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方正小标宋简体" w:hAnsi="文星标宋" w:eastAsia="方正小标宋简体" w:cs="Tahoma"/>
          <w:color w:val="000000"/>
          <w:sz w:val="44"/>
          <w:szCs w:val="44"/>
          <w:highlight w:val="none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  <w:lang w:eastAsia="zh-CN"/>
        </w:rPr>
        <w:t>礼贤镇</w:t>
      </w:r>
      <w:r>
        <w:rPr>
          <w:rFonts w:ascii="方正小标宋简体" w:hAnsi="文星标宋" w:eastAsia="方正小标宋简体" w:cs="Tahoma"/>
          <w:color w:val="000000"/>
          <w:sz w:val="44"/>
          <w:szCs w:val="44"/>
          <w:highlight w:val="none"/>
        </w:rPr>
        <w:t>20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年政府决算公开</w:t>
      </w:r>
    </w:p>
    <w:p>
      <w:pPr>
        <w:spacing w:line="620" w:lineRule="exact"/>
        <w:jc w:val="center"/>
        <w:rPr>
          <w:rFonts w:ascii="方正小标宋简体" w:hAnsi="文星标宋" w:eastAsia="方正小标宋简体" w:cs="Tahoma"/>
          <w:color w:val="000000"/>
          <w:sz w:val="44"/>
          <w:szCs w:val="44"/>
          <w:highlight w:val="none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套表说明</w:t>
      </w:r>
    </w:p>
    <w:p>
      <w:pPr>
        <w:spacing w:line="620" w:lineRule="exact"/>
        <w:jc w:val="center"/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ahoma" w:eastAsia="仿宋_GB2312" w:cs="Tahoma"/>
          <w:b/>
          <w:bCs/>
          <w:color w:val="000000"/>
          <w:sz w:val="32"/>
          <w:szCs w:val="32"/>
          <w:highlight w:val="none"/>
          <w:lang w:val="en-US" w:eastAsia="zh-CN"/>
        </w:rPr>
        <w:t>目  录</w:t>
      </w:r>
    </w:p>
    <w:tbl>
      <w:tblPr>
        <w:tblStyle w:val="7"/>
        <w:tblW w:w="88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年一般公共预算收入决算表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年一般公共预算支出决算表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年本级一般公共预算支出决算表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年一般公共预算基本支出决算表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年一般公共预算“三公经费”财政拨款支出决算表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年政府性基金预算收入决算表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七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年政府性基金支出决算表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八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年本级政府性基金支出决算表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九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年国有资本经营预算收入决算表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年国有资本经营支出决算表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十一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年本级国有资本经营支出决算表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十二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年社会保险基金预算收入决算表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十三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年社会保险基金预算支出决算表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十四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年一般公共预算税收返还和转移支付明细表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十五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年政府性基金预算转移支付明细表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十六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年对下级专项转移支付执行情况表（按项目）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十七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年地方政府债务限额及余额决算情况表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十八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年地方政府一般债务余额情况表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十九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年地方政府专项债务余额情况表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年地方政府债券使用情况表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二十一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年地方政府债券发行及还本付息情况表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二十二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年镇本级政府采购情况表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二十三 大兴区礼贤镇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年镇本级政府购买服务支出情况表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二十四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其他重要事项的情况说明</w:t>
            </w:r>
          </w:p>
        </w:tc>
      </w:tr>
    </w:tbl>
    <w:p>
      <w:pPr>
        <w:pStyle w:val="4"/>
        <w:rPr>
          <w:rFonts w:hint="eastAsia"/>
          <w:highlight w:val="none"/>
          <w:lang w:val="en-US" w:eastAsia="zh-CN"/>
        </w:rPr>
      </w:pPr>
    </w:p>
    <w:p>
      <w:pPr>
        <w:spacing w:line="620" w:lineRule="exact"/>
        <w:ind w:firstLine="640" w:firstLineChars="200"/>
        <w:jc w:val="left"/>
        <w:rPr>
          <w:rFonts w:ascii="黑体" w:hAnsi="Tahoma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一、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</w:t>
      </w:r>
      <w:r>
        <w:rPr>
          <w:rFonts w:ascii="黑体" w:hAnsi="Tahoma" w:eastAsia="黑体" w:cs="Tahoma"/>
          <w:color w:val="000000"/>
          <w:sz w:val="32"/>
          <w:szCs w:val="32"/>
          <w:highlight w:val="none"/>
        </w:rPr>
        <w:t>20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年一般公共预算收入决算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一般公共预算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总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收入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75276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预算数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72478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103.86</w:t>
      </w:r>
      <w:r>
        <w:rPr>
          <w:rFonts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</w:rPr>
        <w:t>其中：财政收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入12577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为税收返还形成的财政收入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2024年调整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数10706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117.48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；非税收入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3164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2024年调整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数2940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107.62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转移性支付48549万元，完成调整预算数47845万元的101.47%；上年结余10986万元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累计完成财政收入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12577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万元。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其中：增值税截至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12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月末，累计完成财政收入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2097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调整预算数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1862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112.62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；企业所得税截至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12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月末，累计完成财政收入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2594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调整预算数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1272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203.93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；城建税截至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12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月末，累计完成财政收入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561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调整预算数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377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148.81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；土地使用税截至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12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月末，累计完成财政收入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调整预算数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97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91.75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；印花税截至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12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月末，累计完成财政收入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377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调整预算数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383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98.43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；房产税截至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12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月末，累计完成财政收入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6853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调整预算数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6703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102.24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土地增值税截至12月末，累计完成财政收入6万元，完成调整预算数12万元的50%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jc w:val="left"/>
        <w:rPr>
          <w:rFonts w:ascii="文星标宋" w:hAnsi="文星标宋" w:eastAsia="文星标宋" w:cs="Tahoma"/>
          <w:color w:val="000000"/>
          <w:sz w:val="32"/>
          <w:szCs w:val="32"/>
          <w:highlight w:val="none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二、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一般公共预算支出决算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2024年一般公共预算财政拨款支出55244.12万元，完成2024年调整预算数69044.59万元的80.01%，支出较调整预算有所增加的原因详见《礼贤镇2024年一般公共预算本级支出决算说明》说明，上解支出4365.25万元为调整预算3433万元的127.16%，主要是按照需上解项目测算，专项上解支出增加。</w:t>
      </w:r>
    </w:p>
    <w:p>
      <w:pPr>
        <w:spacing w:line="620" w:lineRule="exact"/>
        <w:ind w:firstLine="642" w:firstLineChars="200"/>
        <w:rPr>
          <w:rFonts w:hint="default" w:ascii="仿宋_GB2312" w:hAnsi="文星标宋" w:eastAsia="仿宋_GB2312" w:cs="宋体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本级一般公共预算支出决算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一般公共预算财政拨款支出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55244.12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预算数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69044.59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80.01</w:t>
      </w:r>
      <w:r>
        <w:rPr>
          <w:rFonts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主要是因为调整预算中的部分收入未形成实际支出，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其中：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 xml:space="preserve"> </w:t>
      </w:r>
    </w:p>
    <w:p>
      <w:pPr>
        <w:numPr>
          <w:ilvl w:val="0"/>
          <w:numId w:val="1"/>
        </w:numPr>
        <w:spacing w:line="620" w:lineRule="exact"/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13318.43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万元，完成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12607.32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105.64</w:t>
      </w: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增加主要是因为保人员、保运转、保基本民生支出增加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  <w:lang w:eastAsia="zh-CN"/>
        </w:rPr>
        <w:t>公共安全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政府法律顾问项目，保障依法行政，促进科学民主决策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教育支出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228.13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数283.6万元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80.44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促进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2座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幼儿园搬迁新址项目、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1座幼儿园周边设施建设以及中高考奖励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328.92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数461.23万元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71.31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主要用于开展福满京城春贺神州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迎春</w:t>
      </w:r>
      <w:r>
        <w:rPr>
          <w:rFonts w:hint="eastAsia" w:ascii="仿宋_GB2312" w:eastAsia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艾草文化节、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合唱大赛</w:t>
      </w:r>
      <w:r>
        <w:rPr>
          <w:rFonts w:hint="eastAsia" w:ascii="仿宋_GB2312" w:eastAsia="仿宋_GB2312"/>
          <w:sz w:val="32"/>
          <w:szCs w:val="32"/>
          <w:highlight w:val="none"/>
        </w:rPr>
        <w:t>等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系列</w:t>
      </w:r>
      <w:r>
        <w:rPr>
          <w:rFonts w:hint="eastAsia" w:ascii="仿宋_GB2312" w:eastAsia="仿宋_GB2312"/>
          <w:sz w:val="32"/>
          <w:szCs w:val="32"/>
          <w:highlight w:val="none"/>
        </w:rPr>
        <w:t>群众文化活动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，不</w:t>
      </w:r>
      <w:r>
        <w:rPr>
          <w:rFonts w:hint="eastAsia" w:ascii="仿宋_GB2312" w:eastAsia="仿宋_GB2312"/>
          <w:sz w:val="32"/>
          <w:szCs w:val="32"/>
          <w:highlight w:val="none"/>
        </w:rPr>
        <w:t>断满足群众精神文化需求，提升群众幸福感。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2645.6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数3071.39万元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86.14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主要用于落实现役军人优待金抚恤、退役军人优抚对象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待遇；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加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大社区治理投入力度，加强</w:t>
      </w:r>
      <w:r>
        <w:rPr>
          <w:rFonts w:hint="eastAsia" w:ascii="仿宋_GB2312" w:eastAsia="仿宋_GB2312"/>
          <w:sz w:val="32"/>
          <w:szCs w:val="32"/>
          <w:highlight w:val="none"/>
        </w:rPr>
        <w:t>残疾人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社救对象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等群体帮扶救助；增加敬老爱老活动慰问、家庭照护床位建设，健全养老保障体系；支持稳岗就业，提供社会公益性岗位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卫生健康支出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5126.1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数5283.65万元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97.02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主要用于加强公共卫生系统人员建设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，提高计生家庭奖、特、残扶对象的生活水平，</w:t>
      </w:r>
      <w:r>
        <w:rPr>
          <w:rFonts w:hint="eastAsia" w:ascii="仿宋_GB2312" w:eastAsia="仿宋_GB2312"/>
          <w:sz w:val="32"/>
          <w:szCs w:val="32"/>
          <w:highlight w:val="none"/>
        </w:rPr>
        <w:t>加大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院前急救保障</w:t>
      </w:r>
      <w:r>
        <w:rPr>
          <w:rFonts w:hint="eastAsia" w:ascii="仿宋_GB2312" w:eastAsia="仿宋_GB2312"/>
          <w:sz w:val="32"/>
          <w:szCs w:val="32"/>
          <w:highlight w:val="none"/>
        </w:rPr>
        <w:t>力度，提高基础医疗卫生服务能力。</w:t>
      </w:r>
    </w:p>
    <w:p>
      <w:pPr>
        <w:numPr>
          <w:ilvl w:val="0"/>
          <w:numId w:val="0"/>
        </w:numPr>
        <w:spacing w:line="620" w:lineRule="exact"/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节能环保支出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671.64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数726.27万元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92.48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精细化大气治理防治以及农村地区无煤化管护补贴</w:t>
      </w:r>
      <w:r>
        <w:rPr>
          <w:rFonts w:hint="eastAsia" w:ascii="仿宋_GB2312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提升生态环境质量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城乡社区支出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8004.05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数14201.85万元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56.36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主要用于保障镇域环境整洁，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深入推进</w:t>
      </w:r>
      <w:r>
        <w:rPr>
          <w:rFonts w:hint="eastAsia" w:ascii="仿宋_GB2312" w:eastAsia="仿宋_GB2312"/>
          <w:sz w:val="32"/>
          <w:szCs w:val="32"/>
          <w:highlight w:val="none"/>
        </w:rPr>
        <w:t>垃圾分类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及清运</w:t>
      </w:r>
      <w:r>
        <w:rPr>
          <w:rFonts w:hint="eastAsia" w:ascii="仿宋_GB2312" w:eastAsia="仿宋_GB2312"/>
          <w:sz w:val="32"/>
          <w:szCs w:val="32"/>
          <w:highlight w:val="none"/>
        </w:rPr>
        <w:t>，加强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公共公益手续合规性</w:t>
      </w:r>
      <w:r>
        <w:rPr>
          <w:rFonts w:hint="eastAsia" w:ascii="仿宋_GB2312" w:eastAsia="仿宋_GB2312"/>
          <w:sz w:val="32"/>
          <w:szCs w:val="32"/>
          <w:highlight w:val="none"/>
        </w:rPr>
        <w:t>，开展疏整促提升专项行动，推动乡村公路大修等基础设施建设，提高镇域治理能力。</w:t>
      </w:r>
    </w:p>
    <w:p>
      <w:pPr>
        <w:numPr>
          <w:ilvl w:val="0"/>
          <w:numId w:val="0"/>
        </w:numPr>
        <w:spacing w:line="620" w:lineRule="exact"/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农林水支出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24393.22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数29590万元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82.44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推进实施</w:t>
      </w:r>
      <w:r>
        <w:rPr>
          <w:rFonts w:hint="eastAsia" w:ascii="仿宋_GB2312" w:eastAsia="仿宋_GB2312"/>
          <w:sz w:val="32"/>
          <w:szCs w:val="32"/>
          <w:highlight w:val="none"/>
        </w:rPr>
        <w:t>乡村振兴战略，推进美丽乡村、高标准农田建设，加大菜田补贴、农机购置补贴等各类惠农政策力度，做好平原生态林养护工作，实施农村污水治理、供水管线项目。</w:t>
      </w:r>
    </w:p>
    <w:p>
      <w:pPr>
        <w:numPr>
          <w:ilvl w:val="0"/>
          <w:numId w:val="0"/>
        </w:numPr>
        <w:spacing w:line="620" w:lineRule="exact"/>
        <w:ind w:firstLine="640" w:firstLineChars="20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10.交通运输支出10.54万元，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数10.55万元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99.92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保障铁路护路联防工作经费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11.自然资源海洋气象等支出230.64万元，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数231.31万元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99.71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主要用于宅基地、集体建设用地地籍调查和确权登记工作。</w:t>
      </w:r>
    </w:p>
    <w:p>
      <w:pPr>
        <w:pStyle w:val="2"/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 w:bidi="ar-SA"/>
        </w:rPr>
        <w:t>12.住房保障支出0.5万元，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数848.77万元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 w:bidi="ar-SA"/>
        </w:rPr>
        <w:t>，主要由于调整预算时将收回单位实有账户资金房补848万元进行调整，此项不应列入收支。</w:t>
      </w:r>
    </w:p>
    <w:p>
      <w:pPr>
        <w:numPr>
          <w:ilvl w:val="0"/>
          <w:numId w:val="0"/>
        </w:num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13.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241.36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数228.65万元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105.56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105.56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主要用于镇域企业安全生产保障。</w:t>
      </w:r>
    </w:p>
    <w:p>
      <w:pPr>
        <w:pStyle w:val="2"/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14.本年未动用预备费。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一般公共预算基本支出决算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一般公共预算基本支出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8598.07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万元。其中：机关工资福利支出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5423.32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万元；机关商品和服务支出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454.17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万元；对事业单位的经常性补助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2486.31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万元；对个人和家庭的补助支出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234.27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万元。</w:t>
      </w:r>
    </w:p>
    <w:p>
      <w:pPr>
        <w:widowControl/>
        <w:ind w:firstLine="640" w:firstLineChars="200"/>
        <w:rPr>
          <w:rFonts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一般公共预算“三公经费”财政拨款支出决算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“三公”经费财政拨款决算数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8.72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“三公”经费财政拨款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34.5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25.78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原因为单位落实政府过紧日子要求，实行节约常态化。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其中：</w:t>
      </w:r>
    </w:p>
    <w:p>
      <w:pPr>
        <w:spacing w:line="62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因公出国（境）费用支出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0元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较调整预算0元，无增减变动，原因为本年度政府无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因公出国（境）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工作事项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公务接待费支出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0元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减少1.5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原因为本年度未发生公务接待支出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公务用车运行维护费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决算数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8.72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减少24.28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原因为单位落实政府过紧日子要求，勤俭节约，严控公务车辆运行支出；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公务用车购置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支出0元，较调整预算0元，无增减变动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rPr>
          <w:rFonts w:ascii="黑体" w:hAnsi="Tahoma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政府性基金收入决算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default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礼贤镇政府性基金收入均为转移支付13714.01万元，其中：一般性转移支付收入1959万元，较调整预算无增减变化；专项转移支付收入11755.01万元，完成调整预算11767.87万元的99.89%，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主要是因为土地整治、2015年平原造林工程等专项支出有所减少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spacing w:line="620" w:lineRule="exact"/>
        <w:ind w:firstLine="640" w:firstLineChars="200"/>
        <w:jc w:val="left"/>
        <w:rPr>
          <w:rFonts w:ascii="黑体" w:hAnsi="Tahoma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</w:rPr>
        <w:t>政府性基金支出决算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礼贤镇政府性基金总支出13109.69万元，完成调整预算的13726.87万元的95.5%，其中：本级支出13109.69万元，具体情况说明见《礼贤镇2024年本级政府性基金支出决算说明》，上解支出0万元。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Calibri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  <w:t>2024年政府性基金年终结余604万元。</w:t>
      </w:r>
    </w:p>
    <w:p>
      <w:pPr>
        <w:spacing w:line="620" w:lineRule="exact"/>
        <w:ind w:firstLine="640" w:firstLineChars="200"/>
        <w:jc w:val="left"/>
        <w:rPr>
          <w:rFonts w:hint="default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八、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礼贤镇2024年本级政府性基金支出决算表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政府性基金支出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13109.69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完成调整预算的95.5%，主要是因为土地整治、2015年平原造林工程等专项支出有所减少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其中：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1.城乡社区支出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13039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95.47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，主要用于平原造林工程款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孙家营小学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及配套设施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项目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礼贤镇综合服务用房项目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、供水管线改造、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土地整治项目及美丽乡村项目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2"/>
        <w:ind w:firstLine="640" w:firstLineChars="200"/>
        <w:rPr>
          <w:rFonts w:hint="eastAsia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-SA"/>
        </w:rPr>
        <w:t>2.资源勘探工业信息等支出1.72万元，用于农机更新报废补贴。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3.其他支出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68.49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万元，完成调整预算的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，用于体育特色乡镇扶持。</w:t>
      </w:r>
    </w:p>
    <w:p>
      <w:pPr>
        <w:spacing w:line="620" w:lineRule="exact"/>
        <w:ind w:firstLine="640" w:firstLineChars="200"/>
        <w:jc w:val="left"/>
        <w:rPr>
          <w:rFonts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礼贤镇202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国有资本经营预算收入决算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暂无国有资本经营预算收入。</w:t>
      </w:r>
    </w:p>
    <w:p>
      <w:pPr>
        <w:spacing w:line="620" w:lineRule="exact"/>
        <w:ind w:firstLine="640" w:firstLineChars="200"/>
        <w:jc w:val="left"/>
        <w:rPr>
          <w:rFonts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礼贤镇20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国有资本经营预算支出决算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暂无国有资本经营预算支出。</w:t>
      </w:r>
    </w:p>
    <w:p>
      <w:pPr>
        <w:widowControl/>
        <w:numPr>
          <w:ilvl w:val="0"/>
          <w:numId w:val="2"/>
        </w:numPr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关于《大兴区礼贤镇2024年本级国有资本经营预算支出决算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暂无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本级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国有资本经营预算支出。</w:t>
      </w:r>
    </w:p>
    <w:p>
      <w:pPr>
        <w:pStyle w:val="4"/>
        <w:numPr>
          <w:ilvl w:val="0"/>
          <w:numId w:val="2"/>
        </w:numPr>
        <w:ind w:left="0" w:leftChars="0"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礼贤镇2024年社会保险基金预算收入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暂无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社会保险基金预算收入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礼贤镇2024年社会保险基金预算支出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暂无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社会保险基金预算支出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。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十四、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礼贤镇2024年一般公共预算税收返还和对下级转移支付明细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ind w:firstLine="640" w:firstLineChars="20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礼贤镇不涉及一般公共预算对下级税收返还和转移支付。</w:t>
      </w:r>
    </w:p>
    <w:p>
      <w:pPr>
        <w:ind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十五、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礼贤镇2024年政府性基金预算转移支付明细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pStyle w:val="4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礼贤镇不涉及政府性基金对下级预算转移支付。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十六、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关于《大兴区礼贤镇2024年对下级专项转移支付执行情况表（按项目）》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礼贤镇不涉及对下级专项转移支付执行情况。</w:t>
      </w:r>
    </w:p>
    <w:p>
      <w:pPr>
        <w:pStyle w:val="4"/>
        <w:rPr>
          <w:rFonts w:hint="default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十七、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礼贤镇2024年地方政府债务限额及余额决算情况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礼贤镇不涉及政府债务限额及余额决算情况。</w:t>
      </w:r>
    </w:p>
    <w:p>
      <w:pPr>
        <w:pStyle w:val="4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十八、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礼贤镇2024年地方政府一般债务余额情况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礼贤镇不涉及政府一般债务余额情况。</w:t>
      </w:r>
    </w:p>
    <w:p>
      <w:pPr>
        <w:pStyle w:val="4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十九、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礼贤镇2024年地方政府专项债务余额情况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礼贤镇不涉及政府专项债务余额情况。</w:t>
      </w:r>
    </w:p>
    <w:p>
      <w:pPr>
        <w:pStyle w:val="4"/>
        <w:rPr>
          <w:rFonts w:hint="eastAsia"/>
          <w:highlight w:val="none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二十</w:t>
      </w:r>
      <w:r>
        <w:rPr>
          <w:rFonts w:hint="eastAsia"/>
          <w:highlight w:val="none"/>
          <w:lang w:val="en-US" w:eastAsia="zh-CN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关于《大兴区礼贤镇2024年地方政府债券使用情况表》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pStyle w:val="4"/>
        <w:rPr>
          <w:rFonts w:hint="eastAsia"/>
          <w:highlight w:val="none"/>
          <w:lang w:val="en-US" w:eastAsia="zh-CN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礼贤镇不涉地方政府债券使用情况。</w:t>
      </w:r>
    </w:p>
    <w:p>
      <w:pPr>
        <w:pStyle w:val="4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二十一、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礼贤镇2024年地方政府债券发行及还本付息情况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礼贤镇不涉及政府债券发行及还本付息情况。</w:t>
      </w:r>
    </w:p>
    <w:p>
      <w:pPr>
        <w:pStyle w:val="4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二十二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礼贤镇2024年镇本级政府采购情况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礼贤镇2024年政府采购支出6148.06万元，其中：货物支出160.29万元，工程支出5462.59万元，服务支出525.18万元；授予中小企业合同金额5918.97万元，其中：授予小微企业合同金额5537.4万元。</w:t>
      </w:r>
    </w:p>
    <w:p>
      <w:pPr>
        <w:pStyle w:val="4"/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二十三、关于《大兴区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礼贤镇2024年镇本级政府购买服务支出情况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highlight w:val="none"/>
          <w:lang w:val="en-US" w:eastAsia="zh-CN" w:bidi="ar-SA"/>
        </w:rPr>
        <w:t>说明</w:t>
      </w:r>
    </w:p>
    <w:p>
      <w:pPr>
        <w:ind w:firstLine="640" w:firstLineChars="200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礼贤镇2024年政府购买服务支出995.89万元，其中：公共服务466.8万元，政府履职辅助性服务529.1万元。</w:t>
      </w:r>
    </w:p>
    <w:p>
      <w:pPr>
        <w:widowControl/>
        <w:ind w:firstLine="640" w:firstLineChars="200"/>
        <w:jc w:val="left"/>
        <w:rPr>
          <w:rFonts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二十四、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其他重要事项的情况说明</w:t>
      </w:r>
    </w:p>
    <w:p>
      <w:pPr>
        <w:widowControl/>
        <w:ind w:firstLine="642" w:firstLineChars="200"/>
        <w:jc w:val="left"/>
        <w:rPr>
          <w:rFonts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</w:rPr>
        <w:t>举借债务情况说明</w:t>
      </w:r>
    </w:p>
    <w:p>
      <w:pPr>
        <w:widowControl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无举借债务情况。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ascii="仿宋_GB2312" w:hAnsi="仿宋_GB2312" w:eastAsia="仿宋_GB2312" w:cs="仿宋_GB2312"/>
          <w:b/>
          <w:bCs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预算绩效管理工作情况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礼贤镇严格按照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《大兴区预算绩效目标管理办法》、《北京市大兴区财政局关于加强各镇、街道、基地预算绩效管理工作的指导意见》等文件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的要求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积极落实预算绩效管理工作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有效提高财政资金使用效益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强化预算绩效控制理念，提高绩效管理质量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聚焦镇街运行领域，开展冬季扫雪除冰、20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24年装修垃圾收集运输2个项目成本绩效分析。通过开展绩效分析，确立项目的定额标准，推动财政支出标准化，加强项目成本管控力度，推动财政资金降本增效。开展村庄公园补植补种环境美化项目的事前绩效评估工作，将评估结果作为政策项目立项、调整的前置条件，从源头上严格立项管理，健全评估结果的运用机制。</w:t>
      </w:r>
    </w:p>
    <w:p>
      <w:pPr>
        <w:widowControl/>
        <w:adjustRightInd w:val="0"/>
        <w:snapToGrid w:val="0"/>
        <w:spacing w:line="560" w:lineRule="exact"/>
        <w:ind w:firstLine="642" w:firstLineChars="200"/>
        <w:rPr>
          <w:rFonts w:hint="eastAsia" w:ascii="仿宋_GB2312" w:hAnsi="宋体" w:eastAsia="仿宋_GB2312" w:cs="Arial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加强预算绩效运行监控管理，提高预算执行效率。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年实现所有项目绩效监控全覆盖。一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开展对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业务科室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所有项目支出的预算执行情况和绩效目标实现程度的日常监控。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二是年中组织</w:t>
      </w:r>
      <w:r>
        <w:rPr>
          <w:rFonts w:hint="eastAsia" w:ascii="仿宋_GB2312" w:hAnsi="宋体" w:eastAsia="仿宋_GB2312" w:cs="Arial"/>
          <w:bCs/>
          <w:sz w:val="32"/>
          <w:szCs w:val="32"/>
          <w:highlight w:val="none"/>
        </w:rPr>
        <w:t>对</w:t>
      </w:r>
      <w:r>
        <w:rPr>
          <w:rFonts w:hint="eastAsia" w:ascii="仿宋_GB2312" w:hAnsi="宋体" w:eastAsia="仿宋_GB2312" w:cs="Arial"/>
          <w:bCs/>
          <w:sz w:val="32"/>
          <w:szCs w:val="32"/>
          <w:highlight w:val="none"/>
          <w:lang w:eastAsia="zh-CN"/>
        </w:rPr>
        <w:t>当年</w:t>
      </w:r>
      <w:r>
        <w:rPr>
          <w:rFonts w:hint="eastAsia" w:ascii="仿宋_GB2312" w:hAnsi="宋体" w:eastAsia="仿宋_GB2312" w:cs="Arial"/>
          <w:bCs/>
          <w:sz w:val="32"/>
          <w:szCs w:val="32"/>
          <w:highlight w:val="none"/>
        </w:rPr>
        <w:t>1-6月的预算执行情况和绩效目标实现程度开展一次绩效监控汇总分析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Arial"/>
          <w:bCs/>
          <w:sz w:val="32"/>
          <w:szCs w:val="32"/>
          <w:highlight w:val="none"/>
        </w:rPr>
        <w:t>分析绩效监控信息，对偏离绩效目标的原因进行分析，对全年绩效目标完成情况进行预计，并对预计年底不能完成目标的采取</w:t>
      </w:r>
      <w:r>
        <w:rPr>
          <w:rFonts w:hint="eastAsia" w:ascii="仿宋_GB2312" w:hAnsi="宋体" w:eastAsia="仿宋_GB2312" w:cs="Arial"/>
          <w:bCs/>
          <w:sz w:val="32"/>
          <w:szCs w:val="32"/>
          <w:highlight w:val="none"/>
          <w:lang w:val="en-US" w:eastAsia="zh-CN"/>
        </w:rPr>
        <w:t>积极</w:t>
      </w:r>
      <w:r>
        <w:rPr>
          <w:rFonts w:hint="eastAsia" w:ascii="仿宋_GB2312" w:hAnsi="宋体" w:eastAsia="仿宋_GB2312" w:cs="Arial"/>
          <w:bCs/>
          <w:sz w:val="32"/>
          <w:szCs w:val="32"/>
          <w:highlight w:val="none"/>
        </w:rPr>
        <w:t>的改进措施。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全面推进预算绩效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评价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，提高资金使用效益。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一方面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实现202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所有项目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绩效自评全覆盖。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对未完成绩效目标或偏离绩效目标较大、预算执行率偏低的项目进行分析并说明原因，研究提出改进措施。并首次开展了政府整体的绩效自评工作；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另一方面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开展财政运行综合绩效评价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重点对我镇财政运行的保障能力、成本节约、运行成效、规范管理五方面进行分析。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0" w:firstLineChars="200"/>
        <w:jc w:val="both"/>
        <w:textAlignment w:val="auto"/>
        <w:rPr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年，开展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重点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项目绩效评价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个，涉及金额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94.1万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评价得分75.96分，评价结果为“中”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文星标宋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9C7898"/>
    <w:multiLevelType w:val="singleLevel"/>
    <w:tmpl w:val="8B9C78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8565978"/>
    <w:multiLevelType w:val="singleLevel"/>
    <w:tmpl w:val="C8565978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AD"/>
    <w:rsid w:val="00046CF6"/>
    <w:rsid w:val="00065CAD"/>
    <w:rsid w:val="0016568E"/>
    <w:rsid w:val="00211B3C"/>
    <w:rsid w:val="0023609F"/>
    <w:rsid w:val="00275F86"/>
    <w:rsid w:val="002B4771"/>
    <w:rsid w:val="003146C4"/>
    <w:rsid w:val="00422A6E"/>
    <w:rsid w:val="0057683F"/>
    <w:rsid w:val="005E3299"/>
    <w:rsid w:val="00680963"/>
    <w:rsid w:val="006E5269"/>
    <w:rsid w:val="007137A4"/>
    <w:rsid w:val="007A2996"/>
    <w:rsid w:val="0085204C"/>
    <w:rsid w:val="0087454C"/>
    <w:rsid w:val="00875E29"/>
    <w:rsid w:val="008B10D9"/>
    <w:rsid w:val="00952184"/>
    <w:rsid w:val="00997AC0"/>
    <w:rsid w:val="009C2A5B"/>
    <w:rsid w:val="009C5BA1"/>
    <w:rsid w:val="009E2090"/>
    <w:rsid w:val="00A16047"/>
    <w:rsid w:val="00A9300A"/>
    <w:rsid w:val="00B646B1"/>
    <w:rsid w:val="00D54838"/>
    <w:rsid w:val="00E05AF9"/>
    <w:rsid w:val="00E31A91"/>
    <w:rsid w:val="00E60B5F"/>
    <w:rsid w:val="00EA0FBA"/>
    <w:rsid w:val="00F469E7"/>
    <w:rsid w:val="00FD32CB"/>
    <w:rsid w:val="014B436B"/>
    <w:rsid w:val="01D1537F"/>
    <w:rsid w:val="03377967"/>
    <w:rsid w:val="03A23FC0"/>
    <w:rsid w:val="0429731F"/>
    <w:rsid w:val="04E16DD5"/>
    <w:rsid w:val="05A2360D"/>
    <w:rsid w:val="06E12380"/>
    <w:rsid w:val="072C01D3"/>
    <w:rsid w:val="075968CB"/>
    <w:rsid w:val="08D10464"/>
    <w:rsid w:val="08E84C6A"/>
    <w:rsid w:val="0913480F"/>
    <w:rsid w:val="0B681650"/>
    <w:rsid w:val="0BE171D8"/>
    <w:rsid w:val="0BE54F48"/>
    <w:rsid w:val="0C3C5B35"/>
    <w:rsid w:val="0CF77098"/>
    <w:rsid w:val="0D6F5A20"/>
    <w:rsid w:val="0E01532F"/>
    <w:rsid w:val="0E8E4391"/>
    <w:rsid w:val="0EC27DCE"/>
    <w:rsid w:val="0EE74F67"/>
    <w:rsid w:val="0F1B1687"/>
    <w:rsid w:val="0F6F584B"/>
    <w:rsid w:val="10094319"/>
    <w:rsid w:val="101627E1"/>
    <w:rsid w:val="10165012"/>
    <w:rsid w:val="101D6788"/>
    <w:rsid w:val="10B460E8"/>
    <w:rsid w:val="112F655D"/>
    <w:rsid w:val="11E3794D"/>
    <w:rsid w:val="1204456E"/>
    <w:rsid w:val="132E4158"/>
    <w:rsid w:val="134D1EC3"/>
    <w:rsid w:val="13F83A40"/>
    <w:rsid w:val="148909CD"/>
    <w:rsid w:val="14CC5CBE"/>
    <w:rsid w:val="15E016F7"/>
    <w:rsid w:val="164877A3"/>
    <w:rsid w:val="16CE1E28"/>
    <w:rsid w:val="17112031"/>
    <w:rsid w:val="17280551"/>
    <w:rsid w:val="174747E9"/>
    <w:rsid w:val="1836061E"/>
    <w:rsid w:val="193241DC"/>
    <w:rsid w:val="199A100D"/>
    <w:rsid w:val="19DB3E69"/>
    <w:rsid w:val="1A522DB3"/>
    <w:rsid w:val="1ADA2EF9"/>
    <w:rsid w:val="1BAB2CFF"/>
    <w:rsid w:val="1BBD2EDD"/>
    <w:rsid w:val="1C8B2E77"/>
    <w:rsid w:val="1D12415B"/>
    <w:rsid w:val="1D5E495B"/>
    <w:rsid w:val="1DBF5C4A"/>
    <w:rsid w:val="1DC43243"/>
    <w:rsid w:val="1EA54E54"/>
    <w:rsid w:val="1EC17427"/>
    <w:rsid w:val="1EC371CA"/>
    <w:rsid w:val="1ED9620A"/>
    <w:rsid w:val="1EE81879"/>
    <w:rsid w:val="20BB3B1B"/>
    <w:rsid w:val="210A097C"/>
    <w:rsid w:val="21477A81"/>
    <w:rsid w:val="219D44DA"/>
    <w:rsid w:val="22B25920"/>
    <w:rsid w:val="22CB522F"/>
    <w:rsid w:val="234A323A"/>
    <w:rsid w:val="2420169A"/>
    <w:rsid w:val="25FC09AB"/>
    <w:rsid w:val="25FD7404"/>
    <w:rsid w:val="26DA6B85"/>
    <w:rsid w:val="27182C84"/>
    <w:rsid w:val="27E91C94"/>
    <w:rsid w:val="291117DE"/>
    <w:rsid w:val="2A2849E2"/>
    <w:rsid w:val="2C084A83"/>
    <w:rsid w:val="2CEA457E"/>
    <w:rsid w:val="2CFB3CB0"/>
    <w:rsid w:val="2D7A76C2"/>
    <w:rsid w:val="2D7D3DC9"/>
    <w:rsid w:val="2DF5414E"/>
    <w:rsid w:val="2E0B6217"/>
    <w:rsid w:val="2EFF0A5B"/>
    <w:rsid w:val="304344A5"/>
    <w:rsid w:val="310E5D30"/>
    <w:rsid w:val="31652E5D"/>
    <w:rsid w:val="31BF8A44"/>
    <w:rsid w:val="31F915E7"/>
    <w:rsid w:val="32B23EE7"/>
    <w:rsid w:val="33237D4C"/>
    <w:rsid w:val="333F63A8"/>
    <w:rsid w:val="33996A97"/>
    <w:rsid w:val="33A62FB0"/>
    <w:rsid w:val="33E16117"/>
    <w:rsid w:val="34C67E01"/>
    <w:rsid w:val="34D7670D"/>
    <w:rsid w:val="355E4B91"/>
    <w:rsid w:val="35F02C96"/>
    <w:rsid w:val="3618047D"/>
    <w:rsid w:val="3662202E"/>
    <w:rsid w:val="372B395E"/>
    <w:rsid w:val="375E3EFF"/>
    <w:rsid w:val="386500DB"/>
    <w:rsid w:val="38B31A1A"/>
    <w:rsid w:val="38E506B8"/>
    <w:rsid w:val="39232017"/>
    <w:rsid w:val="39F60CB4"/>
    <w:rsid w:val="3A0A5AF5"/>
    <w:rsid w:val="3A37401C"/>
    <w:rsid w:val="3A7D182E"/>
    <w:rsid w:val="3AC56719"/>
    <w:rsid w:val="3BD854E5"/>
    <w:rsid w:val="3C082E48"/>
    <w:rsid w:val="3C3A7F9D"/>
    <w:rsid w:val="3CC32E61"/>
    <w:rsid w:val="3ED3022A"/>
    <w:rsid w:val="3F9D2375"/>
    <w:rsid w:val="3FCF0B34"/>
    <w:rsid w:val="409E1532"/>
    <w:rsid w:val="40FC0FD9"/>
    <w:rsid w:val="425F1605"/>
    <w:rsid w:val="427C213C"/>
    <w:rsid w:val="42C4062F"/>
    <w:rsid w:val="430602C7"/>
    <w:rsid w:val="44372C87"/>
    <w:rsid w:val="45371848"/>
    <w:rsid w:val="46100DF3"/>
    <w:rsid w:val="46F1147D"/>
    <w:rsid w:val="470233D9"/>
    <w:rsid w:val="47215BBE"/>
    <w:rsid w:val="47CA11C6"/>
    <w:rsid w:val="48713B4D"/>
    <w:rsid w:val="48821ABC"/>
    <w:rsid w:val="48A01176"/>
    <w:rsid w:val="48B41104"/>
    <w:rsid w:val="48E96810"/>
    <w:rsid w:val="4A62380B"/>
    <w:rsid w:val="4B7917EE"/>
    <w:rsid w:val="4BA910AF"/>
    <w:rsid w:val="4CBE7C20"/>
    <w:rsid w:val="4D37259A"/>
    <w:rsid w:val="4D4F07F9"/>
    <w:rsid w:val="4D642736"/>
    <w:rsid w:val="4E0453C0"/>
    <w:rsid w:val="4E60294E"/>
    <w:rsid w:val="4F1F666B"/>
    <w:rsid w:val="50147AA0"/>
    <w:rsid w:val="50C204BF"/>
    <w:rsid w:val="512F077A"/>
    <w:rsid w:val="51511D60"/>
    <w:rsid w:val="530F283A"/>
    <w:rsid w:val="533F36B9"/>
    <w:rsid w:val="534209B4"/>
    <w:rsid w:val="535571C2"/>
    <w:rsid w:val="536F71A4"/>
    <w:rsid w:val="551F427E"/>
    <w:rsid w:val="58E5699C"/>
    <w:rsid w:val="596D3DF5"/>
    <w:rsid w:val="5A0B6D28"/>
    <w:rsid w:val="5A4D0F8D"/>
    <w:rsid w:val="5BA90F52"/>
    <w:rsid w:val="5CA5523E"/>
    <w:rsid w:val="5D504742"/>
    <w:rsid w:val="5E057FD6"/>
    <w:rsid w:val="5E4C32AB"/>
    <w:rsid w:val="5EA84F34"/>
    <w:rsid w:val="5EB80803"/>
    <w:rsid w:val="5F5D696D"/>
    <w:rsid w:val="5FD90FFD"/>
    <w:rsid w:val="614677BB"/>
    <w:rsid w:val="61DD36F2"/>
    <w:rsid w:val="62004A05"/>
    <w:rsid w:val="623715E9"/>
    <w:rsid w:val="62B22F3D"/>
    <w:rsid w:val="62CE0DFC"/>
    <w:rsid w:val="62D07C34"/>
    <w:rsid w:val="6311098F"/>
    <w:rsid w:val="63B0502F"/>
    <w:rsid w:val="64161848"/>
    <w:rsid w:val="648D1448"/>
    <w:rsid w:val="65465BD2"/>
    <w:rsid w:val="665A005A"/>
    <w:rsid w:val="67363C0D"/>
    <w:rsid w:val="67583689"/>
    <w:rsid w:val="68BE66A2"/>
    <w:rsid w:val="68FE54E4"/>
    <w:rsid w:val="6909481D"/>
    <w:rsid w:val="6A0112A7"/>
    <w:rsid w:val="6A792E07"/>
    <w:rsid w:val="6C4648AE"/>
    <w:rsid w:val="6C67078F"/>
    <w:rsid w:val="6CE36A21"/>
    <w:rsid w:val="6E2574A5"/>
    <w:rsid w:val="6F30545F"/>
    <w:rsid w:val="6F40418C"/>
    <w:rsid w:val="6F900880"/>
    <w:rsid w:val="6F9C480F"/>
    <w:rsid w:val="6FDB1DCE"/>
    <w:rsid w:val="6FFE6539"/>
    <w:rsid w:val="70523411"/>
    <w:rsid w:val="70852A04"/>
    <w:rsid w:val="70F84E8D"/>
    <w:rsid w:val="714E168F"/>
    <w:rsid w:val="71746A3C"/>
    <w:rsid w:val="723212DC"/>
    <w:rsid w:val="72377456"/>
    <w:rsid w:val="7269700B"/>
    <w:rsid w:val="733F5E48"/>
    <w:rsid w:val="743D7ECF"/>
    <w:rsid w:val="753B0C93"/>
    <w:rsid w:val="764C3DCF"/>
    <w:rsid w:val="76A82E0D"/>
    <w:rsid w:val="76D847A4"/>
    <w:rsid w:val="776F64F3"/>
    <w:rsid w:val="77AF084D"/>
    <w:rsid w:val="77EF71AA"/>
    <w:rsid w:val="78027758"/>
    <w:rsid w:val="78084E23"/>
    <w:rsid w:val="7848547E"/>
    <w:rsid w:val="7A865AED"/>
    <w:rsid w:val="7AAD6D7B"/>
    <w:rsid w:val="7B2863F7"/>
    <w:rsid w:val="7B361EFC"/>
    <w:rsid w:val="7B395B5B"/>
    <w:rsid w:val="7BBC1C5D"/>
    <w:rsid w:val="7BC768E5"/>
    <w:rsid w:val="7BD13B90"/>
    <w:rsid w:val="7C291AED"/>
    <w:rsid w:val="7E4C1AE7"/>
    <w:rsid w:val="7E626EB2"/>
    <w:rsid w:val="EBA9F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2"/>
    </w:rPr>
  </w:style>
  <w:style w:type="paragraph" w:customStyle="1" w:styleId="3">
    <w:name w:val="toc 1_b958cacf-7e5f-454f-8c5b-6e15b77831f9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8"/>
    <w:link w:val="5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328</Words>
  <Characters>1875</Characters>
  <Lines>15</Lines>
  <Paragraphs>4</Paragraphs>
  <TotalTime>19</TotalTime>
  <ScaleCrop>false</ScaleCrop>
  <LinksUpToDate>false</LinksUpToDate>
  <CharactersWithSpaces>2199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2022-08-29T09:09:00Z</dcterms:created>
  <dc:creator>user</dc:creator>
  <cp:lastModifiedBy>Huawei</cp:lastModifiedBy>
  <cp:lastPrinted>2022-10-26T15:54:00Z</cp:lastPrinted>
  <dcterms:modified xsi:type="dcterms:W3CDTF">2025-08-13T17:20:04Z</dcterms:modified>
  <dc:title>大兴区庞各庄镇2018年政府决算公开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9A5540DB8B521379344C9C6811A92C9A_42</vt:lpwstr>
  </property>
</Properties>
</file>