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63638">
      <w:pPr>
        <w:jc w:val="both"/>
        <w:rPr>
          <w:rFonts w:hint="eastAsia" w:ascii="黑体" w:eastAsia="黑体"/>
          <w:sz w:val="72"/>
          <w:szCs w:val="72"/>
        </w:rPr>
      </w:pPr>
    </w:p>
    <w:p w14:paraId="428D244B">
      <w:pPr>
        <w:jc w:val="both"/>
        <w:rPr>
          <w:rFonts w:hint="eastAsia" w:ascii="黑体" w:eastAsia="黑体"/>
          <w:sz w:val="72"/>
          <w:szCs w:val="72"/>
        </w:rPr>
      </w:pPr>
    </w:p>
    <w:p w14:paraId="53E553E7">
      <w:pPr>
        <w:jc w:val="both"/>
        <w:rPr>
          <w:rFonts w:hint="eastAsia" w:ascii="黑体" w:eastAsia="黑体"/>
          <w:sz w:val="72"/>
          <w:szCs w:val="72"/>
        </w:rPr>
      </w:pPr>
    </w:p>
    <w:p w14:paraId="462AE91F">
      <w:pPr>
        <w:spacing w:line="800" w:lineRule="exact"/>
        <w:jc w:val="center"/>
        <w:rPr>
          <w:rFonts w:hint="eastAsia" w:ascii="黑体" w:eastAsia="黑体"/>
          <w:sz w:val="72"/>
          <w:szCs w:val="72"/>
        </w:rPr>
      </w:pPr>
      <w:r>
        <w:rPr>
          <w:rFonts w:hint="eastAsia" w:ascii="黑体" w:eastAsia="黑体"/>
          <w:sz w:val="72"/>
          <w:szCs w:val="72"/>
        </w:rPr>
        <w:t>北京市大兴区西红门镇金星卫生社区服务中心</w:t>
      </w:r>
    </w:p>
    <w:p w14:paraId="019B6CF2">
      <w:pPr>
        <w:jc w:val="center"/>
        <w:rPr>
          <w:rFonts w:hint="eastAsia" w:ascii="黑体" w:eastAsia="黑体"/>
          <w:sz w:val="52"/>
          <w:szCs w:val="52"/>
        </w:rPr>
      </w:pPr>
      <w:r>
        <w:rPr>
          <w:rFonts w:hint="eastAsia" w:ascii="黑体" w:eastAsia="黑体"/>
          <w:sz w:val="72"/>
          <w:szCs w:val="72"/>
        </w:rPr>
        <w:t>202</w:t>
      </w:r>
      <w:r>
        <w:rPr>
          <w:rFonts w:hint="default" w:ascii="黑体" w:eastAsia="黑体"/>
          <w:sz w:val="72"/>
          <w:szCs w:val="72"/>
          <w:lang w:val="en-US"/>
        </w:rPr>
        <w:t>4</w:t>
      </w:r>
      <w:r>
        <w:rPr>
          <w:rFonts w:hint="eastAsia" w:ascii="黑体" w:eastAsia="黑体"/>
          <w:sz w:val="72"/>
          <w:szCs w:val="72"/>
        </w:rPr>
        <w:t>年度部门决算公开报表及说明</w:t>
      </w:r>
    </w:p>
    <w:p w14:paraId="55B586B4">
      <w:pPr>
        <w:jc w:val="center"/>
        <w:rPr>
          <w:rFonts w:hint="eastAsia" w:ascii="黑体" w:eastAsia="黑体"/>
          <w:sz w:val="52"/>
          <w:szCs w:val="52"/>
        </w:rPr>
      </w:pPr>
    </w:p>
    <w:p w14:paraId="4C0907D2">
      <w:pPr>
        <w:jc w:val="center"/>
        <w:rPr>
          <w:rFonts w:ascii="黑体" w:eastAsia="黑体"/>
          <w:sz w:val="52"/>
          <w:szCs w:val="52"/>
        </w:rPr>
      </w:pPr>
    </w:p>
    <w:p w14:paraId="38D26A21">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14:paraId="6DF3569B">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14:paraId="39FC539A">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14:paraId="56279B2A">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03171E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86551D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C16264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079272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2BF0135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3B300A4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06015D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63308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109FC6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E5D42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6F85BD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7D1D54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14:paraId="631C9021">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14:paraId="43FB1EF9">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14:paraId="1B55D2F5">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14:paraId="283BA730">
      <w:pPr>
        <w:tabs>
          <w:tab w:val="center" w:pos="6979"/>
        </w:tabs>
        <w:spacing w:before="156" w:beforeLines="50" w:after="156" w:afterLines="50"/>
        <w:jc w:val="center"/>
        <w:rPr>
          <w:rFonts w:hint="eastAsia" w:ascii="宋体" w:hAnsi="宋体" w:cs="宋体"/>
          <w:b/>
          <w:bCs/>
          <w:spacing w:val="40"/>
          <w:kern w:val="0"/>
          <w:sz w:val="32"/>
          <w:szCs w:val="32"/>
        </w:rPr>
      </w:pPr>
    </w:p>
    <w:p w14:paraId="2BCBBC6A">
      <w:pPr>
        <w:tabs>
          <w:tab w:val="center" w:pos="6979"/>
        </w:tabs>
        <w:spacing w:before="156" w:beforeLines="50" w:after="156" w:afterLines="50"/>
        <w:jc w:val="center"/>
        <w:rPr>
          <w:rFonts w:hint="eastAsia" w:ascii="宋体" w:hAnsi="宋体" w:cs="宋体"/>
          <w:b/>
          <w:bCs/>
          <w:spacing w:val="40"/>
          <w:kern w:val="0"/>
          <w:sz w:val="32"/>
          <w:szCs w:val="32"/>
        </w:rPr>
      </w:pPr>
    </w:p>
    <w:p w14:paraId="6CBE4DEF">
      <w:pPr>
        <w:tabs>
          <w:tab w:val="center" w:pos="6979"/>
        </w:tabs>
        <w:spacing w:before="156" w:beforeLines="50" w:after="156" w:afterLines="50"/>
        <w:rPr>
          <w:rFonts w:hint="eastAsia" w:ascii="宋体" w:hAnsi="宋体" w:cs="宋体"/>
          <w:b/>
          <w:bCs/>
          <w:spacing w:val="40"/>
          <w:kern w:val="0"/>
          <w:sz w:val="32"/>
          <w:szCs w:val="32"/>
        </w:rPr>
      </w:pPr>
    </w:p>
    <w:p w14:paraId="248B9A5D">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14:paraId="053C97E7">
      <w:pPr>
        <w:tabs>
          <w:tab w:val="center" w:pos="6979"/>
        </w:tabs>
        <w:spacing w:before="156" w:beforeLines="50" w:after="156" w:afterLines="50"/>
        <w:rPr>
          <w:rFonts w:hint="eastAsia" w:ascii="宋体" w:hAnsi="宋体" w:cs="宋体"/>
          <w:b/>
          <w:bCs/>
          <w:spacing w:val="40"/>
          <w:kern w:val="0"/>
          <w:sz w:val="32"/>
          <w:szCs w:val="32"/>
        </w:rPr>
      </w:pPr>
    </w:p>
    <w:p w14:paraId="587B72D8">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14:paraId="49026A7C">
      <w:pPr>
        <w:tabs>
          <w:tab w:val="center" w:pos="6979"/>
        </w:tabs>
        <w:spacing w:before="156" w:beforeLines="50" w:after="156" w:afterLines="50"/>
        <w:jc w:val="both"/>
        <w:rPr>
          <w:rFonts w:hint="eastAsia" w:ascii="宋体" w:hAnsi="宋体" w:cs="宋体"/>
          <w:b/>
          <w:bCs/>
          <w:spacing w:val="40"/>
          <w:kern w:val="0"/>
          <w:sz w:val="32"/>
          <w:szCs w:val="32"/>
        </w:rPr>
      </w:pPr>
    </w:p>
    <w:p w14:paraId="2F32CE86">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42448B32">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14:paraId="554B6AD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hAnsi="仿宋_GB2312" w:eastAsia="仿宋_GB2312"/>
          <w:sz w:val="28"/>
          <w:szCs w:val="28"/>
        </w:rPr>
        <w:t>我单位为一级乙等医疗机构，属于差额拨款事业单位,我单位的主要职责为:为人民身体健康提供医疗与预防保健服务。医疗、护理；预防保健；卫生技术人员培训；初级卫生保健规划实施；合作医疗组织与管理；卫生监督与卫生信息管理。我单位内设机构包括2</w:t>
      </w:r>
      <w:r>
        <w:rPr>
          <w:rFonts w:hint="default" w:ascii="仿宋_GB2312" w:hAnsi="仿宋_GB2312" w:eastAsia="仿宋_GB2312"/>
          <w:sz w:val="28"/>
          <w:szCs w:val="28"/>
          <w:lang w:val="en-US"/>
        </w:rPr>
        <w:t>5</w:t>
      </w:r>
      <w:r>
        <w:rPr>
          <w:rFonts w:hint="eastAsia" w:ascii="仿宋_GB2312" w:hAnsi="仿宋_GB2312" w:eastAsia="仿宋_GB2312"/>
          <w:sz w:val="28"/>
          <w:szCs w:val="28"/>
        </w:rPr>
        <w:t>个科室，分别是：后勤科、医务科、护理部、医保科、药剂科、财务科、精防科、院感科、综合保健科、采供科、检验科、影像科、社区科、行政办公室、120站、公共卫生科、信息科、全科、体检科、总务科、内审科、大生庄村卫生室、新三余村卫生室、团河社区及</w:t>
      </w:r>
      <w:bookmarkStart w:id="0" w:name="OLE_LINK1"/>
      <w:r>
        <w:rPr>
          <w:rFonts w:hint="eastAsia" w:ascii="仿宋_GB2312" w:hAnsi="仿宋_GB2312" w:eastAsia="仿宋_GB2312"/>
          <w:sz w:val="28"/>
          <w:szCs w:val="28"/>
          <w:lang w:eastAsia="zh-CN"/>
        </w:rPr>
        <w:t>金星社区卫生中心南区门诊</w:t>
      </w:r>
      <w:bookmarkEnd w:id="0"/>
      <w:r>
        <w:rPr>
          <w:rFonts w:hint="eastAsia" w:ascii="仿宋_GB2312" w:hAnsi="仿宋_GB2312" w:eastAsia="仿宋_GB2312"/>
          <w:sz w:val="28"/>
          <w:szCs w:val="28"/>
        </w:rPr>
        <w:t>。共有在职职工10</w:t>
      </w:r>
      <w:r>
        <w:rPr>
          <w:rFonts w:hint="default" w:ascii="仿宋_GB2312" w:hAnsi="仿宋_GB2312" w:eastAsia="仿宋_GB2312"/>
          <w:sz w:val="28"/>
          <w:szCs w:val="28"/>
          <w:lang w:val="en-US"/>
        </w:rPr>
        <w:t>2</w:t>
      </w:r>
      <w:r>
        <w:rPr>
          <w:rFonts w:hint="eastAsia" w:ascii="仿宋_GB2312" w:hAnsi="仿宋_GB2312" w:eastAsia="仿宋_GB2312"/>
          <w:sz w:val="28"/>
          <w:szCs w:val="28"/>
        </w:rPr>
        <w:t>人，其中：正式职工5</w:t>
      </w:r>
      <w:r>
        <w:rPr>
          <w:rFonts w:hint="default" w:ascii="仿宋_GB2312" w:hAnsi="仿宋_GB2312" w:eastAsia="仿宋_GB2312"/>
          <w:sz w:val="28"/>
          <w:szCs w:val="28"/>
          <w:lang w:val="en-US"/>
        </w:rPr>
        <w:t>2</w:t>
      </w:r>
      <w:r>
        <w:rPr>
          <w:rFonts w:hint="eastAsia" w:ascii="仿宋_GB2312" w:hAnsi="仿宋_GB2312" w:eastAsia="仿宋_GB2312"/>
          <w:sz w:val="28"/>
          <w:szCs w:val="28"/>
        </w:rPr>
        <w:t>人。临时工5</w:t>
      </w:r>
      <w:r>
        <w:rPr>
          <w:rFonts w:hint="default" w:ascii="仿宋_GB2312" w:hAnsi="仿宋_GB2312" w:eastAsia="仿宋_GB2312"/>
          <w:sz w:val="28"/>
          <w:szCs w:val="28"/>
          <w:lang w:val="en-US"/>
        </w:rPr>
        <w:t>0</w:t>
      </w:r>
      <w:r>
        <w:rPr>
          <w:rFonts w:hint="eastAsia" w:ascii="仿宋_GB2312" w:hAnsi="仿宋_GB2312" w:eastAsia="仿宋_GB2312"/>
          <w:sz w:val="28"/>
          <w:szCs w:val="28"/>
        </w:rPr>
        <w:t>人，与202</w:t>
      </w:r>
      <w:r>
        <w:rPr>
          <w:rFonts w:hint="default" w:ascii="仿宋_GB2312" w:hAnsi="仿宋_GB2312" w:eastAsia="仿宋_GB2312"/>
          <w:sz w:val="28"/>
          <w:szCs w:val="28"/>
          <w:lang w:val="en-US"/>
        </w:rPr>
        <w:t>3</w:t>
      </w:r>
      <w:r>
        <w:rPr>
          <w:rFonts w:hint="eastAsia" w:ascii="仿宋_GB2312" w:hAnsi="仿宋_GB2312" w:eastAsia="仿宋_GB2312"/>
          <w:sz w:val="28"/>
          <w:szCs w:val="28"/>
        </w:rPr>
        <w:t>年同期相比临时人员</w:t>
      </w:r>
      <w:r>
        <w:rPr>
          <w:rFonts w:hint="eastAsia" w:ascii="仿宋_GB2312" w:hAnsi="仿宋_GB2312" w:eastAsia="仿宋_GB2312"/>
          <w:sz w:val="28"/>
          <w:szCs w:val="28"/>
          <w:lang w:eastAsia="zh-CN"/>
        </w:rPr>
        <w:t>减员</w:t>
      </w:r>
      <w:r>
        <w:rPr>
          <w:rFonts w:hint="default" w:ascii="仿宋_GB2312" w:hAnsi="仿宋_GB2312" w:eastAsia="仿宋_GB2312"/>
          <w:sz w:val="28"/>
          <w:szCs w:val="28"/>
          <w:lang w:val="en-US" w:eastAsia="zh-CN"/>
        </w:rPr>
        <w:t>3</w:t>
      </w:r>
      <w:r>
        <w:rPr>
          <w:rFonts w:hint="eastAsia" w:ascii="仿宋_GB2312" w:hAnsi="仿宋_GB2312" w:eastAsia="仿宋_GB2312"/>
          <w:sz w:val="28"/>
          <w:szCs w:val="28"/>
          <w:lang w:val="en-US" w:eastAsia="zh-CN"/>
        </w:rPr>
        <w:t>人</w:t>
      </w:r>
      <w:r>
        <w:rPr>
          <w:rFonts w:hint="eastAsia" w:ascii="仿宋_GB2312" w:hAnsi="仿宋_GB2312" w:eastAsia="仿宋_GB2312"/>
          <w:sz w:val="28"/>
          <w:szCs w:val="28"/>
        </w:rPr>
        <w:t>。有退休人员</w:t>
      </w:r>
      <w:r>
        <w:rPr>
          <w:rFonts w:hint="default" w:ascii="仿宋_GB2312" w:hAnsi="仿宋_GB2312" w:eastAsia="仿宋_GB2312"/>
          <w:sz w:val="28"/>
          <w:szCs w:val="28"/>
          <w:lang w:val="en-US"/>
        </w:rPr>
        <w:t>15</w:t>
      </w:r>
      <w:r>
        <w:rPr>
          <w:rFonts w:hint="eastAsia" w:ascii="仿宋_GB2312" w:hAnsi="仿宋_GB2312" w:eastAsia="仿宋_GB2312"/>
          <w:sz w:val="28"/>
          <w:szCs w:val="28"/>
        </w:rPr>
        <w:t>人，与202</w:t>
      </w:r>
      <w:r>
        <w:rPr>
          <w:rFonts w:hint="default" w:ascii="仿宋_GB2312" w:hAnsi="仿宋_GB2312" w:eastAsia="仿宋_GB2312"/>
          <w:sz w:val="28"/>
          <w:szCs w:val="28"/>
          <w:lang w:val="en-US"/>
        </w:rPr>
        <w:t>3</w:t>
      </w:r>
      <w:r>
        <w:rPr>
          <w:rFonts w:hint="eastAsia" w:ascii="仿宋_GB2312" w:hAnsi="仿宋_GB2312" w:eastAsia="仿宋_GB2312"/>
          <w:sz w:val="28"/>
          <w:szCs w:val="28"/>
        </w:rPr>
        <w:t>年同期相比</w:t>
      </w:r>
      <w:r>
        <w:rPr>
          <w:rFonts w:hint="eastAsia" w:ascii="仿宋_GB2312" w:hAnsi="仿宋_GB2312" w:eastAsia="仿宋_GB2312"/>
          <w:sz w:val="28"/>
          <w:szCs w:val="28"/>
          <w:lang w:eastAsia="zh-CN"/>
        </w:rPr>
        <w:t>增加</w:t>
      </w:r>
      <w:r>
        <w:rPr>
          <w:rFonts w:hint="default" w:ascii="仿宋_GB2312" w:hAnsi="仿宋_GB2312" w:eastAsia="仿宋_GB2312"/>
          <w:sz w:val="28"/>
          <w:szCs w:val="28"/>
          <w:lang w:val="en-US"/>
        </w:rPr>
        <w:t>1</w:t>
      </w:r>
      <w:r>
        <w:rPr>
          <w:rFonts w:hint="eastAsia" w:ascii="仿宋_GB2312" w:hAnsi="仿宋_GB2312" w:eastAsia="仿宋_GB2312"/>
          <w:sz w:val="28"/>
          <w:szCs w:val="28"/>
        </w:rPr>
        <w:t>人；财政供给在职人员经费5</w:t>
      </w:r>
      <w:r>
        <w:rPr>
          <w:rFonts w:hint="default" w:ascii="仿宋_GB2312" w:hAnsi="仿宋_GB2312" w:eastAsia="仿宋_GB2312"/>
          <w:sz w:val="28"/>
          <w:szCs w:val="28"/>
          <w:lang w:val="en-US"/>
        </w:rPr>
        <w:t>2</w:t>
      </w:r>
      <w:r>
        <w:rPr>
          <w:rFonts w:hint="eastAsia" w:ascii="仿宋_GB2312" w:hAnsi="仿宋_GB2312" w:eastAsia="仿宋_GB2312"/>
          <w:sz w:val="28"/>
          <w:szCs w:val="28"/>
        </w:rPr>
        <w:t>人，占在职职工的</w:t>
      </w:r>
      <w:r>
        <w:rPr>
          <w:rFonts w:hint="default" w:ascii="仿宋_GB2312" w:hAnsi="仿宋_GB2312" w:eastAsia="仿宋_GB2312"/>
          <w:sz w:val="28"/>
          <w:szCs w:val="28"/>
          <w:lang w:val="en-US"/>
        </w:rPr>
        <w:t>50.98</w:t>
      </w:r>
      <w:r>
        <w:rPr>
          <w:rFonts w:hint="eastAsia" w:ascii="仿宋_GB2312" w:hAnsi="仿宋_GB2312" w:eastAsia="仿宋_GB2312"/>
          <w:sz w:val="28"/>
          <w:szCs w:val="28"/>
        </w:rPr>
        <w:t>%。</w:t>
      </w:r>
    </w:p>
    <w:p w14:paraId="1ADFFCE8">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14:paraId="57695C6E">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本单位</w:t>
      </w:r>
      <w:r>
        <w:rPr>
          <w:rFonts w:hint="eastAsia" w:ascii="仿宋_GB2312" w:eastAsia="仿宋_GB2312"/>
          <w:sz w:val="28"/>
          <w:szCs w:val="28"/>
        </w:rPr>
        <w:t>部门决算包括：本级决算。具体为：财务科、后勤科、总务科、采供科、信息科、精防科、院感科、医务科。</w:t>
      </w:r>
    </w:p>
    <w:p w14:paraId="3B016A39">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14:paraId="6032382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年度收入总计</w:t>
      </w:r>
      <w:r>
        <w:rPr>
          <w:rFonts w:hint="default" w:ascii="仿宋_GB2312" w:eastAsia="仿宋_GB2312"/>
          <w:sz w:val="28"/>
          <w:szCs w:val="28"/>
          <w:lang w:val="en-US"/>
        </w:rPr>
        <w:t>6236.71</w:t>
      </w:r>
      <w:r>
        <w:rPr>
          <w:rFonts w:hint="eastAsia" w:ascii="仿宋_GB2312" w:eastAsia="仿宋_GB2312"/>
          <w:sz w:val="28"/>
          <w:szCs w:val="28"/>
        </w:rPr>
        <w:t>万元，比上年增加</w:t>
      </w:r>
      <w:r>
        <w:rPr>
          <w:rFonts w:hint="default" w:ascii="仿宋_GB2312" w:eastAsia="仿宋_GB2312"/>
          <w:sz w:val="28"/>
          <w:szCs w:val="28"/>
          <w:lang w:val="en-US"/>
        </w:rPr>
        <w:t>104.49</w:t>
      </w:r>
      <w:r>
        <w:rPr>
          <w:rFonts w:hint="eastAsia" w:ascii="仿宋_GB2312" w:eastAsia="仿宋_GB2312"/>
          <w:sz w:val="28"/>
          <w:szCs w:val="28"/>
        </w:rPr>
        <w:t>万元，增长</w:t>
      </w:r>
      <w:r>
        <w:rPr>
          <w:rFonts w:hint="default" w:ascii="仿宋_GB2312" w:eastAsia="仿宋_GB2312"/>
          <w:sz w:val="28"/>
          <w:szCs w:val="28"/>
          <w:lang w:val="en-US"/>
        </w:rPr>
        <w:t>1.70</w:t>
      </w:r>
      <w:r>
        <w:rPr>
          <w:rFonts w:hint="eastAsia" w:ascii="仿宋_GB2312" w:eastAsia="仿宋_GB2312"/>
          <w:sz w:val="28"/>
          <w:szCs w:val="28"/>
        </w:rPr>
        <w:t>%。主要原因：202</w:t>
      </w:r>
      <w:r>
        <w:rPr>
          <w:rFonts w:hint="default" w:ascii="仿宋_GB2312" w:eastAsia="仿宋_GB2312"/>
          <w:sz w:val="28"/>
          <w:szCs w:val="28"/>
          <w:lang w:val="en-US"/>
        </w:rPr>
        <w:t>4</w:t>
      </w:r>
      <w:r>
        <w:rPr>
          <w:rFonts w:hint="eastAsia" w:ascii="仿宋_GB2312" w:eastAsia="仿宋_GB2312"/>
          <w:sz w:val="28"/>
          <w:szCs w:val="28"/>
        </w:rPr>
        <w:t>年区镇两级财政加大了我院卫生事业的投入，202</w:t>
      </w:r>
      <w:r>
        <w:rPr>
          <w:rFonts w:hint="default" w:ascii="仿宋_GB2312" w:eastAsia="仿宋_GB2312"/>
          <w:sz w:val="28"/>
          <w:szCs w:val="28"/>
          <w:lang w:val="en-US"/>
        </w:rPr>
        <w:t>4</w:t>
      </w:r>
      <w:r>
        <w:rPr>
          <w:rFonts w:hint="eastAsia" w:ascii="仿宋_GB2312" w:eastAsia="仿宋_GB2312"/>
          <w:sz w:val="28"/>
          <w:szCs w:val="28"/>
        </w:rPr>
        <w:t>年补发以前年度绩效工资、住房补贴，区财政增加的人员经费补助。202</w:t>
      </w:r>
      <w:r>
        <w:rPr>
          <w:rFonts w:hint="default" w:ascii="仿宋_GB2312" w:eastAsia="仿宋_GB2312"/>
          <w:sz w:val="28"/>
          <w:szCs w:val="28"/>
          <w:lang w:val="en-US"/>
        </w:rPr>
        <w:t>4</w:t>
      </w:r>
      <w:r>
        <w:rPr>
          <w:rFonts w:hint="eastAsia" w:ascii="仿宋_GB2312" w:eastAsia="仿宋_GB2312"/>
          <w:sz w:val="28"/>
          <w:szCs w:val="28"/>
        </w:rPr>
        <w:t>年度支出总计</w:t>
      </w:r>
      <w:r>
        <w:rPr>
          <w:rFonts w:hint="default" w:ascii="仿宋_GB2312" w:eastAsia="仿宋_GB2312"/>
          <w:sz w:val="28"/>
          <w:szCs w:val="28"/>
          <w:lang w:val="en-US"/>
        </w:rPr>
        <w:t>6218.03</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default" w:ascii="仿宋_GB2312" w:eastAsia="仿宋_GB2312"/>
          <w:sz w:val="28"/>
          <w:szCs w:val="28"/>
          <w:lang w:val="en-US" w:eastAsia="zh-CN"/>
        </w:rPr>
        <w:t>92.10</w:t>
      </w:r>
      <w:r>
        <w:rPr>
          <w:rFonts w:hint="eastAsia" w:ascii="仿宋_GB2312" w:eastAsia="仿宋_GB2312"/>
          <w:sz w:val="28"/>
          <w:szCs w:val="28"/>
        </w:rPr>
        <w:t>万元，</w:t>
      </w:r>
      <w:r>
        <w:rPr>
          <w:rFonts w:hint="eastAsia" w:ascii="仿宋_GB2312" w:eastAsia="仿宋_GB2312"/>
          <w:sz w:val="28"/>
          <w:szCs w:val="28"/>
          <w:lang w:eastAsia="zh-CN"/>
        </w:rPr>
        <w:t>上升</w:t>
      </w:r>
      <w:r>
        <w:rPr>
          <w:rFonts w:hint="default" w:ascii="仿宋_GB2312" w:eastAsia="仿宋_GB2312"/>
          <w:sz w:val="28"/>
          <w:szCs w:val="28"/>
          <w:lang w:val="en-US"/>
        </w:rPr>
        <w:t>1.50</w:t>
      </w:r>
      <w:r>
        <w:rPr>
          <w:rFonts w:hint="eastAsia" w:ascii="仿宋_GB2312" w:eastAsia="仿宋_GB2312"/>
          <w:sz w:val="28"/>
          <w:szCs w:val="28"/>
        </w:rPr>
        <w:t>%。主要原因：202</w:t>
      </w:r>
      <w:r>
        <w:rPr>
          <w:rFonts w:hint="default" w:ascii="仿宋_GB2312" w:eastAsia="仿宋_GB2312"/>
          <w:sz w:val="28"/>
          <w:szCs w:val="28"/>
          <w:lang w:val="en-US"/>
        </w:rPr>
        <w:t>4</w:t>
      </w:r>
      <w:r>
        <w:rPr>
          <w:rFonts w:hint="eastAsia" w:ascii="仿宋_GB2312" w:eastAsia="仿宋_GB2312"/>
          <w:sz w:val="28"/>
          <w:szCs w:val="28"/>
        </w:rPr>
        <w:t>年补发以前年度绩效工资、住房补贴，区财政增加的人员经费补助</w:t>
      </w:r>
      <w:r>
        <w:rPr>
          <w:rFonts w:hint="eastAsia" w:ascii="仿宋_GB2312" w:eastAsia="仿宋_GB2312"/>
          <w:sz w:val="28"/>
          <w:szCs w:val="28"/>
          <w:lang w:eastAsia="zh-CN"/>
        </w:rPr>
        <w:t>，相应支出增长造成</w:t>
      </w:r>
      <w:r>
        <w:rPr>
          <w:rFonts w:hint="eastAsia" w:ascii="仿宋_GB2312" w:eastAsia="仿宋_GB2312"/>
          <w:sz w:val="28"/>
          <w:szCs w:val="28"/>
          <w:lang w:val="en-US" w:eastAsia="zh-CN"/>
        </w:rPr>
        <w:t>202</w:t>
      </w:r>
      <w:r>
        <w:rPr>
          <w:rFonts w:hint="default" w:ascii="仿宋_GB2312" w:eastAsia="仿宋_GB2312"/>
          <w:sz w:val="28"/>
          <w:szCs w:val="28"/>
          <w:lang w:val="en-US" w:eastAsia="zh-CN"/>
        </w:rPr>
        <w:t>4</w:t>
      </w:r>
      <w:r>
        <w:rPr>
          <w:rFonts w:hint="eastAsia" w:ascii="仿宋_GB2312" w:eastAsia="仿宋_GB2312"/>
          <w:sz w:val="28"/>
          <w:szCs w:val="28"/>
          <w:lang w:val="en-US" w:eastAsia="zh-CN"/>
        </w:rPr>
        <w:t>年支出总计与上年相比有小幅度上升</w:t>
      </w:r>
      <w:r>
        <w:rPr>
          <w:rFonts w:hint="eastAsia" w:ascii="仿宋_GB2312" w:eastAsia="仿宋_GB2312"/>
          <w:sz w:val="28"/>
          <w:szCs w:val="28"/>
        </w:rPr>
        <w:t>。</w:t>
      </w:r>
    </w:p>
    <w:p w14:paraId="6E5501F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67D39F5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年度本年收入合计</w:t>
      </w:r>
      <w:r>
        <w:rPr>
          <w:rFonts w:hint="default" w:ascii="仿宋_GB2312" w:eastAsia="仿宋_GB2312"/>
          <w:sz w:val="28"/>
          <w:szCs w:val="28"/>
          <w:lang w:val="en-US"/>
        </w:rPr>
        <w:t>6236.71</w:t>
      </w:r>
      <w:r>
        <w:rPr>
          <w:rFonts w:hint="eastAsia" w:ascii="仿宋_GB2312" w:eastAsia="仿宋_GB2312"/>
          <w:sz w:val="28"/>
          <w:szCs w:val="28"/>
        </w:rPr>
        <w:t>万元，比上年增加</w:t>
      </w:r>
      <w:r>
        <w:rPr>
          <w:rFonts w:hint="default" w:ascii="仿宋_GB2312" w:eastAsia="仿宋_GB2312"/>
          <w:sz w:val="28"/>
          <w:szCs w:val="28"/>
          <w:lang w:val="en-US"/>
        </w:rPr>
        <w:t>104.49</w:t>
      </w:r>
      <w:r>
        <w:rPr>
          <w:rFonts w:hint="eastAsia" w:ascii="仿宋_GB2312" w:eastAsia="仿宋_GB2312"/>
          <w:sz w:val="28"/>
          <w:szCs w:val="28"/>
        </w:rPr>
        <w:t>万元，增长</w:t>
      </w:r>
      <w:r>
        <w:rPr>
          <w:rFonts w:hint="default" w:ascii="仿宋_GB2312" w:eastAsia="仿宋_GB2312"/>
          <w:sz w:val="28"/>
          <w:szCs w:val="28"/>
          <w:lang w:val="en-US"/>
        </w:rPr>
        <w:t>1.70</w:t>
      </w:r>
      <w:r>
        <w:rPr>
          <w:rFonts w:hint="eastAsia" w:ascii="仿宋_GB2312" w:eastAsia="仿宋_GB2312"/>
          <w:sz w:val="28"/>
          <w:szCs w:val="28"/>
        </w:rPr>
        <w:t>%。主要原因：202</w:t>
      </w:r>
      <w:r>
        <w:rPr>
          <w:rFonts w:hint="default" w:ascii="仿宋_GB2312" w:eastAsia="仿宋_GB2312"/>
          <w:sz w:val="28"/>
          <w:szCs w:val="28"/>
          <w:lang w:val="en-US"/>
        </w:rPr>
        <w:t>4</w:t>
      </w:r>
      <w:r>
        <w:rPr>
          <w:rFonts w:hint="eastAsia" w:ascii="仿宋_GB2312" w:eastAsia="仿宋_GB2312"/>
          <w:sz w:val="28"/>
          <w:szCs w:val="28"/>
        </w:rPr>
        <w:t>年区镇两级财政加大了我院卫生事业的投入，202</w:t>
      </w:r>
      <w:r>
        <w:rPr>
          <w:rFonts w:hint="default" w:ascii="仿宋_GB2312" w:eastAsia="仿宋_GB2312"/>
          <w:sz w:val="28"/>
          <w:szCs w:val="28"/>
          <w:lang w:val="en-US"/>
        </w:rPr>
        <w:t>4</w:t>
      </w:r>
      <w:r>
        <w:rPr>
          <w:rFonts w:hint="eastAsia" w:ascii="仿宋_GB2312" w:eastAsia="仿宋_GB2312"/>
          <w:sz w:val="28"/>
          <w:szCs w:val="28"/>
        </w:rPr>
        <w:t>年补发以前年度绩效工资、住房补贴，区财政增加的人员经费补助。其中：</w:t>
      </w:r>
    </w:p>
    <w:p w14:paraId="0943473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default" w:ascii="仿宋_GB2312" w:eastAsia="仿宋_GB2312"/>
          <w:sz w:val="28"/>
          <w:szCs w:val="28"/>
          <w:lang w:val="en-US"/>
        </w:rPr>
        <w:t>3274.84</w:t>
      </w:r>
      <w:r>
        <w:rPr>
          <w:rFonts w:hint="eastAsia" w:ascii="仿宋_GB2312" w:eastAsia="仿宋_GB2312"/>
          <w:sz w:val="28"/>
          <w:szCs w:val="28"/>
        </w:rPr>
        <w:t>万元，占收入合计的</w:t>
      </w:r>
      <w:r>
        <w:rPr>
          <w:rFonts w:hint="default" w:ascii="仿宋_GB2312" w:eastAsia="仿宋_GB2312"/>
          <w:sz w:val="28"/>
          <w:szCs w:val="28"/>
          <w:lang w:val="en-US"/>
        </w:rPr>
        <w:t>52.51</w:t>
      </w:r>
      <w:r>
        <w:rPr>
          <w:rFonts w:hint="eastAsia" w:ascii="仿宋_GB2312" w:eastAsia="仿宋_GB2312"/>
          <w:sz w:val="28"/>
          <w:szCs w:val="28"/>
        </w:rPr>
        <w:t>%。其中：一般公共预算财政拨款收入</w:t>
      </w:r>
      <w:r>
        <w:rPr>
          <w:rFonts w:hint="default" w:ascii="仿宋_GB2312" w:eastAsia="仿宋_GB2312"/>
          <w:sz w:val="28"/>
          <w:szCs w:val="28"/>
          <w:lang w:val="en-US"/>
        </w:rPr>
        <w:t>3274.84</w:t>
      </w:r>
      <w:r>
        <w:rPr>
          <w:rFonts w:hint="eastAsia" w:ascii="仿宋_GB2312" w:eastAsia="仿宋_GB2312"/>
          <w:sz w:val="28"/>
          <w:szCs w:val="28"/>
        </w:rPr>
        <w:t>万元，占收入合计的</w:t>
      </w:r>
      <w:r>
        <w:rPr>
          <w:rFonts w:hint="default" w:ascii="仿宋_GB2312" w:eastAsia="仿宋_GB2312"/>
          <w:sz w:val="28"/>
          <w:szCs w:val="28"/>
          <w:lang w:val="en-US"/>
        </w:rPr>
        <w:t>50.06</w:t>
      </w:r>
      <w:r>
        <w:rPr>
          <w:rFonts w:hint="eastAsia" w:ascii="仿宋_GB2312" w:eastAsia="仿宋_GB2312"/>
          <w:sz w:val="28"/>
          <w:szCs w:val="28"/>
        </w:rPr>
        <w:t>%；政府性基金预算财政拨款收入</w:t>
      </w:r>
      <w:r>
        <w:rPr>
          <w:rFonts w:hint="eastAsia" w:ascii="仿宋_GB2312" w:eastAsia="仿宋_GB2312"/>
          <w:sz w:val="28"/>
          <w:szCs w:val="28"/>
          <w:lang w:val="en-US"/>
        </w:rPr>
        <w:t>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rPr>
        <w:t>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eastAsia" w:ascii="仿宋_GB2312" w:eastAsia="仿宋_GB2312"/>
          <w:sz w:val="28"/>
          <w:szCs w:val="28"/>
        </w:rPr>
        <w:t>%。</w:t>
      </w:r>
    </w:p>
    <w:p w14:paraId="6F2D9EC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rPr>
        <w:t>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eastAsia" w:ascii="仿宋_GB2312" w:eastAsia="仿宋_GB2312"/>
          <w:sz w:val="28"/>
          <w:szCs w:val="28"/>
        </w:rPr>
        <w:t>%。</w:t>
      </w:r>
    </w:p>
    <w:p w14:paraId="548E736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default" w:ascii="仿宋_GB2312" w:eastAsia="仿宋_GB2312"/>
          <w:sz w:val="28"/>
          <w:szCs w:val="28"/>
          <w:lang w:val="en-US"/>
        </w:rPr>
        <w:t>2955.87</w:t>
      </w:r>
      <w:r>
        <w:rPr>
          <w:rFonts w:hint="eastAsia" w:ascii="仿宋_GB2312" w:eastAsia="仿宋_GB2312"/>
          <w:sz w:val="28"/>
          <w:szCs w:val="28"/>
        </w:rPr>
        <w:t>万元，占收入合计的</w:t>
      </w:r>
      <w:r>
        <w:rPr>
          <w:rFonts w:hint="default" w:ascii="仿宋_GB2312" w:eastAsia="仿宋_GB2312"/>
          <w:sz w:val="28"/>
          <w:szCs w:val="28"/>
          <w:lang w:val="en-US"/>
        </w:rPr>
        <w:t>47.39</w:t>
      </w:r>
      <w:r>
        <w:rPr>
          <w:rFonts w:hint="eastAsia" w:ascii="仿宋_GB2312" w:eastAsia="仿宋_GB2312"/>
          <w:sz w:val="28"/>
          <w:szCs w:val="28"/>
        </w:rPr>
        <w:t>%。</w:t>
      </w:r>
    </w:p>
    <w:p w14:paraId="051F054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rPr>
        <w:t>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eastAsia" w:ascii="仿宋_GB2312" w:eastAsia="仿宋_GB2312"/>
          <w:sz w:val="28"/>
          <w:szCs w:val="28"/>
        </w:rPr>
        <w:t>%。</w:t>
      </w:r>
    </w:p>
    <w:p w14:paraId="243368C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rPr>
        <w:t>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eastAsia" w:ascii="仿宋_GB2312" w:eastAsia="仿宋_GB2312"/>
          <w:sz w:val="28"/>
          <w:szCs w:val="28"/>
        </w:rPr>
        <w:t>%。</w:t>
      </w:r>
    </w:p>
    <w:p w14:paraId="7C77115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default" w:ascii="仿宋_GB2312" w:eastAsia="仿宋_GB2312"/>
          <w:sz w:val="28"/>
          <w:szCs w:val="28"/>
          <w:lang w:val="en-US"/>
        </w:rPr>
        <w:t>6.00</w:t>
      </w:r>
      <w:r>
        <w:rPr>
          <w:rFonts w:hint="eastAsia" w:ascii="仿宋_GB2312" w:eastAsia="仿宋_GB2312"/>
          <w:sz w:val="28"/>
          <w:szCs w:val="28"/>
        </w:rPr>
        <w:t>万元，占收入合计的</w:t>
      </w:r>
      <w:r>
        <w:rPr>
          <w:rFonts w:hint="eastAsia" w:ascii="仿宋_GB2312" w:eastAsia="仿宋_GB2312"/>
          <w:sz w:val="28"/>
          <w:szCs w:val="28"/>
          <w:lang w:val="en-US"/>
        </w:rPr>
        <w:t>0.</w:t>
      </w:r>
      <w:r>
        <w:rPr>
          <w:rFonts w:hint="default" w:ascii="仿宋_GB2312" w:eastAsia="仿宋_GB2312"/>
          <w:sz w:val="28"/>
          <w:szCs w:val="28"/>
          <w:lang w:val="en-US"/>
        </w:rPr>
        <w:t>10</w:t>
      </w:r>
      <w:r>
        <w:rPr>
          <w:rFonts w:hint="eastAsia" w:ascii="仿宋_GB2312" w:eastAsia="仿宋_GB2312"/>
          <w:sz w:val="28"/>
          <w:szCs w:val="28"/>
        </w:rPr>
        <w:t>%。</w:t>
      </w:r>
    </w:p>
    <w:p w14:paraId="69D429E1">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14:paraId="5ED871E3">
      <w:pPr>
        <w:pStyle w:val="2"/>
        <w:ind w:firstLine="0"/>
        <w:jc w:val="center"/>
      </w:pPr>
      <w:r>
        <w:rPr>
          <w:rFonts w:hint="eastAsia" w:ascii="仿宋_GB2312" w:eastAsia="仿宋_GB2312"/>
          <w:color w:val="000000"/>
          <w:sz w:val="32"/>
          <w:szCs w:val="32"/>
          <w:highlight w:val="none"/>
          <w:lang w:val="en-US" w:eastAsia="zh-CN"/>
        </w:rPr>
        <w:t>图1：收入决算</w:t>
      </w:r>
    </w:p>
    <w:p w14:paraId="143DF4F2">
      <w:pPr>
        <w:pStyle w:val="2"/>
        <w:ind w:firstLine="0"/>
        <w:jc w:val="center"/>
        <w:rPr>
          <w:rFonts w:hint="eastAsia" w:ascii="仿宋_GB2312" w:eastAsia="仿宋_GB2312"/>
          <w:color w:val="000000"/>
          <w:sz w:val="32"/>
          <w:szCs w:val="32"/>
          <w:highlight w:val="none"/>
          <w:lang w:val="en-US" w:eastAsia="zh-CN"/>
        </w:rPr>
      </w:pPr>
      <w:r>
        <w:drawing>
          <wp:inline distT="0" distB="0" distL="114300" distR="114300">
            <wp:extent cx="3612515" cy="1740535"/>
            <wp:effectExtent l="4445" t="4445" r="21590" b="7620"/>
            <wp:docPr id="1" name="图片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D17E5EC">
      <w:pPr>
        <w:tabs>
          <w:tab w:val="center" w:pos="6979"/>
        </w:tabs>
        <w:spacing w:line="580" w:lineRule="exact"/>
        <w:ind w:firstLine="570"/>
        <w:rPr>
          <w:rFonts w:hint="eastAsia" w:ascii="仿宋_GB2312" w:eastAsia="仿宋_GB2312"/>
          <w:sz w:val="28"/>
          <w:szCs w:val="28"/>
        </w:rPr>
      </w:pPr>
    </w:p>
    <w:p w14:paraId="36814F7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0D34F7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年度本年支出合计</w:t>
      </w:r>
      <w:r>
        <w:rPr>
          <w:rFonts w:hint="default" w:ascii="仿宋_GB2312" w:eastAsia="仿宋_GB2312"/>
          <w:sz w:val="28"/>
          <w:szCs w:val="28"/>
          <w:lang w:val="en-US"/>
        </w:rPr>
        <w:t>6218.03</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default" w:ascii="仿宋_GB2312" w:eastAsia="仿宋_GB2312"/>
          <w:sz w:val="28"/>
          <w:szCs w:val="28"/>
          <w:lang w:val="en-US"/>
        </w:rPr>
        <w:t>92.10</w:t>
      </w:r>
      <w:r>
        <w:rPr>
          <w:rFonts w:hint="eastAsia" w:ascii="仿宋_GB2312" w:eastAsia="仿宋_GB2312"/>
          <w:sz w:val="28"/>
          <w:szCs w:val="28"/>
        </w:rPr>
        <w:t>万元，</w:t>
      </w:r>
      <w:r>
        <w:rPr>
          <w:rFonts w:hint="eastAsia" w:ascii="仿宋_GB2312" w:eastAsia="仿宋_GB2312"/>
          <w:sz w:val="28"/>
          <w:szCs w:val="28"/>
          <w:lang w:eastAsia="zh-CN"/>
        </w:rPr>
        <w:t>上升</w:t>
      </w:r>
      <w:r>
        <w:rPr>
          <w:rFonts w:hint="default" w:ascii="仿宋_GB2312" w:eastAsia="仿宋_GB2312"/>
          <w:sz w:val="28"/>
          <w:szCs w:val="28"/>
          <w:lang w:val="en-US"/>
        </w:rPr>
        <w:t>1.50</w:t>
      </w:r>
      <w:r>
        <w:rPr>
          <w:rFonts w:hint="eastAsia" w:ascii="仿宋_GB2312" w:eastAsia="仿宋_GB2312"/>
          <w:sz w:val="28"/>
          <w:szCs w:val="28"/>
        </w:rPr>
        <w:t>%。主要原因：202</w:t>
      </w:r>
      <w:r>
        <w:rPr>
          <w:rFonts w:hint="default" w:ascii="仿宋_GB2312" w:eastAsia="仿宋_GB2312"/>
          <w:sz w:val="28"/>
          <w:szCs w:val="28"/>
          <w:lang w:val="en-US"/>
        </w:rPr>
        <w:t>4</w:t>
      </w:r>
      <w:r>
        <w:rPr>
          <w:rFonts w:hint="eastAsia" w:ascii="仿宋_GB2312" w:eastAsia="仿宋_GB2312"/>
          <w:sz w:val="28"/>
          <w:szCs w:val="28"/>
        </w:rPr>
        <w:t>年补发以前年度绩效工资、住房补贴，区财政增加的人员经费补助</w:t>
      </w:r>
      <w:r>
        <w:rPr>
          <w:rFonts w:hint="eastAsia" w:ascii="仿宋_GB2312" w:eastAsia="仿宋_GB2312"/>
          <w:sz w:val="28"/>
          <w:szCs w:val="28"/>
          <w:lang w:eastAsia="zh-CN"/>
        </w:rPr>
        <w:t>，相应支出增长造成</w:t>
      </w:r>
      <w:r>
        <w:rPr>
          <w:rFonts w:hint="eastAsia" w:ascii="仿宋_GB2312" w:eastAsia="仿宋_GB2312"/>
          <w:sz w:val="28"/>
          <w:szCs w:val="28"/>
          <w:lang w:val="en-US" w:eastAsia="zh-CN"/>
        </w:rPr>
        <w:t>202</w:t>
      </w:r>
      <w:r>
        <w:rPr>
          <w:rFonts w:hint="default" w:ascii="仿宋_GB2312" w:eastAsia="仿宋_GB2312"/>
          <w:sz w:val="28"/>
          <w:szCs w:val="28"/>
          <w:lang w:val="en-US" w:eastAsia="zh-CN"/>
        </w:rPr>
        <w:t>4</w:t>
      </w:r>
      <w:r>
        <w:rPr>
          <w:rFonts w:hint="eastAsia" w:ascii="仿宋_GB2312" w:eastAsia="仿宋_GB2312"/>
          <w:sz w:val="28"/>
          <w:szCs w:val="28"/>
          <w:lang w:val="en-US" w:eastAsia="zh-CN"/>
        </w:rPr>
        <w:t>年支出总计与上年相比有小幅度上升</w:t>
      </w:r>
      <w:r>
        <w:rPr>
          <w:rFonts w:hint="eastAsia" w:ascii="仿宋_GB2312" w:eastAsia="仿宋_GB2312"/>
          <w:sz w:val="28"/>
          <w:szCs w:val="28"/>
        </w:rPr>
        <w:t>。其中：</w:t>
      </w:r>
    </w:p>
    <w:p w14:paraId="1E0DC6E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default" w:ascii="仿宋_GB2312" w:eastAsia="仿宋_GB2312"/>
          <w:sz w:val="28"/>
          <w:szCs w:val="28"/>
          <w:lang w:val="en-US"/>
        </w:rPr>
        <w:t>4307.38</w:t>
      </w:r>
      <w:r>
        <w:rPr>
          <w:rFonts w:hint="eastAsia" w:ascii="仿宋_GB2312" w:eastAsia="仿宋_GB2312"/>
          <w:sz w:val="28"/>
          <w:szCs w:val="28"/>
        </w:rPr>
        <w:t>万元，占支出合计的</w:t>
      </w:r>
      <w:r>
        <w:rPr>
          <w:rFonts w:hint="default" w:ascii="仿宋_GB2312" w:eastAsia="仿宋_GB2312"/>
          <w:sz w:val="28"/>
          <w:szCs w:val="28"/>
          <w:lang w:val="en-US"/>
        </w:rPr>
        <w:t>69.27</w:t>
      </w:r>
      <w:r>
        <w:rPr>
          <w:rFonts w:hint="eastAsia" w:ascii="仿宋_GB2312" w:eastAsia="仿宋_GB2312"/>
          <w:sz w:val="28"/>
          <w:szCs w:val="28"/>
        </w:rPr>
        <w:t>%。</w:t>
      </w:r>
    </w:p>
    <w:p w14:paraId="3597689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default" w:ascii="仿宋_GB2312" w:eastAsia="仿宋_GB2312"/>
          <w:sz w:val="28"/>
          <w:szCs w:val="28"/>
          <w:lang w:val="en-US"/>
        </w:rPr>
        <w:t>1910.65</w:t>
      </w:r>
      <w:r>
        <w:rPr>
          <w:rFonts w:hint="eastAsia" w:ascii="仿宋_GB2312" w:eastAsia="仿宋_GB2312"/>
          <w:sz w:val="28"/>
          <w:szCs w:val="28"/>
        </w:rPr>
        <w:t>万元，占支出合计的</w:t>
      </w:r>
      <w:r>
        <w:rPr>
          <w:rFonts w:hint="default" w:ascii="仿宋_GB2312" w:eastAsia="仿宋_GB2312"/>
          <w:sz w:val="28"/>
          <w:szCs w:val="28"/>
          <w:lang w:val="en-US"/>
        </w:rPr>
        <w:t>30.73</w:t>
      </w:r>
      <w:r>
        <w:rPr>
          <w:rFonts w:hint="eastAsia" w:ascii="仿宋_GB2312" w:eastAsia="仿宋_GB2312"/>
          <w:sz w:val="28"/>
          <w:szCs w:val="28"/>
        </w:rPr>
        <w:t>%。</w:t>
      </w:r>
    </w:p>
    <w:p w14:paraId="41C5569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rPr>
        <w:t>0</w:t>
      </w:r>
      <w:r>
        <w:rPr>
          <w:rFonts w:hint="eastAsia" w:ascii="仿宋_GB2312" w:eastAsia="仿宋_GB2312"/>
          <w:sz w:val="28"/>
          <w:szCs w:val="28"/>
        </w:rPr>
        <w:t>万元，占支出合计的</w:t>
      </w:r>
      <w:r>
        <w:rPr>
          <w:rFonts w:hint="eastAsia" w:ascii="仿宋_GB2312" w:eastAsia="仿宋_GB2312"/>
          <w:sz w:val="28"/>
          <w:szCs w:val="28"/>
          <w:lang w:val="en-US"/>
        </w:rPr>
        <w:t>0</w:t>
      </w:r>
      <w:r>
        <w:rPr>
          <w:rFonts w:hint="eastAsia" w:ascii="仿宋_GB2312" w:eastAsia="仿宋_GB2312"/>
          <w:sz w:val="28"/>
          <w:szCs w:val="28"/>
        </w:rPr>
        <w:t>%。</w:t>
      </w:r>
    </w:p>
    <w:p w14:paraId="3FF3B66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rPr>
        <w:t>0</w:t>
      </w:r>
      <w:r>
        <w:rPr>
          <w:rFonts w:hint="eastAsia" w:ascii="仿宋_GB2312" w:eastAsia="仿宋_GB2312"/>
          <w:sz w:val="28"/>
          <w:szCs w:val="28"/>
        </w:rPr>
        <w:t>万元，占支出合计的</w:t>
      </w:r>
      <w:r>
        <w:rPr>
          <w:rFonts w:hint="eastAsia" w:ascii="仿宋_GB2312" w:eastAsia="仿宋_GB2312"/>
          <w:sz w:val="28"/>
          <w:szCs w:val="28"/>
          <w:lang w:val="en-US"/>
        </w:rPr>
        <w:t>0</w:t>
      </w:r>
      <w:r>
        <w:rPr>
          <w:rFonts w:hint="eastAsia" w:ascii="仿宋_GB2312" w:eastAsia="仿宋_GB2312"/>
          <w:sz w:val="28"/>
          <w:szCs w:val="28"/>
        </w:rPr>
        <w:t>%。</w:t>
      </w:r>
    </w:p>
    <w:p w14:paraId="0722F24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rPr>
        <w:t>0</w:t>
      </w:r>
      <w:r>
        <w:rPr>
          <w:rFonts w:hint="eastAsia" w:ascii="仿宋_GB2312" w:eastAsia="仿宋_GB2312"/>
          <w:sz w:val="28"/>
          <w:szCs w:val="28"/>
        </w:rPr>
        <w:t>万元，占支出合计的</w:t>
      </w:r>
      <w:r>
        <w:rPr>
          <w:rFonts w:hint="eastAsia" w:ascii="仿宋_GB2312" w:eastAsia="仿宋_GB2312"/>
          <w:sz w:val="28"/>
          <w:szCs w:val="28"/>
          <w:lang w:val="en-US"/>
        </w:rPr>
        <w:t>0</w:t>
      </w:r>
      <w:r>
        <w:rPr>
          <w:rFonts w:hint="eastAsia" w:ascii="仿宋_GB2312" w:eastAsia="仿宋_GB2312"/>
          <w:sz w:val="28"/>
          <w:szCs w:val="28"/>
        </w:rPr>
        <w:t>%。</w:t>
      </w:r>
    </w:p>
    <w:p w14:paraId="4383EC54">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14:paraId="28B0DC64">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0CDF0B3C">
      <w:pPr>
        <w:jc w:val="center"/>
        <w:rPr>
          <w:rFonts w:hint="eastAsia" w:ascii="黑体" w:eastAsia="黑体"/>
          <w:b/>
          <w:sz w:val="28"/>
          <w:szCs w:val="28"/>
        </w:rPr>
      </w:pPr>
      <w:r>
        <w:drawing>
          <wp:inline distT="0" distB="0" distL="114300" distR="114300">
            <wp:extent cx="3822700" cy="1854200"/>
            <wp:effectExtent l="4445" t="4445" r="20955" b="8255"/>
            <wp:docPr id="2" name="图片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835042E">
      <w:pPr>
        <w:tabs>
          <w:tab w:val="center" w:pos="6979"/>
        </w:tabs>
        <w:spacing w:line="580" w:lineRule="exact"/>
        <w:ind w:firstLine="570"/>
        <w:rPr>
          <w:rFonts w:hint="eastAsia" w:ascii="仿宋_GB2312" w:eastAsia="仿宋_GB2312"/>
          <w:sz w:val="28"/>
          <w:szCs w:val="28"/>
        </w:rPr>
      </w:pPr>
    </w:p>
    <w:p w14:paraId="78EB0F39">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14:paraId="754E223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年度财政拨款收入总计</w:t>
      </w:r>
      <w:r>
        <w:rPr>
          <w:rFonts w:hint="default" w:ascii="仿宋_GB2312" w:eastAsia="仿宋_GB2312"/>
          <w:sz w:val="28"/>
          <w:szCs w:val="28"/>
          <w:lang w:val="en-US"/>
        </w:rPr>
        <w:t>3274.84</w:t>
      </w:r>
      <w:r>
        <w:rPr>
          <w:rFonts w:hint="eastAsia" w:ascii="仿宋_GB2312" w:eastAsia="仿宋_GB2312"/>
          <w:sz w:val="28"/>
          <w:szCs w:val="28"/>
        </w:rPr>
        <w:t>万元，比上年</w:t>
      </w:r>
      <w:r>
        <w:rPr>
          <w:rFonts w:hint="eastAsia" w:ascii="仿宋_GB2312" w:eastAsia="仿宋_GB2312"/>
          <w:sz w:val="28"/>
          <w:szCs w:val="28"/>
          <w:lang w:eastAsia="zh-CN"/>
        </w:rPr>
        <w:t>减少</w:t>
      </w:r>
      <w:r>
        <w:rPr>
          <w:rFonts w:hint="default" w:ascii="仿宋_GB2312" w:eastAsia="仿宋_GB2312"/>
          <w:sz w:val="28"/>
          <w:szCs w:val="28"/>
          <w:lang w:val="en-US" w:eastAsia="zh-CN"/>
        </w:rPr>
        <w:t>8.83</w:t>
      </w:r>
      <w:r>
        <w:rPr>
          <w:rFonts w:hint="eastAsia" w:ascii="仿宋_GB2312" w:eastAsia="仿宋_GB2312"/>
          <w:sz w:val="28"/>
          <w:szCs w:val="28"/>
        </w:rPr>
        <w:t>万元，</w:t>
      </w:r>
      <w:r>
        <w:rPr>
          <w:rFonts w:hint="eastAsia" w:ascii="仿宋_GB2312" w:eastAsia="仿宋_GB2312"/>
          <w:sz w:val="28"/>
          <w:szCs w:val="28"/>
          <w:lang w:eastAsia="zh-CN"/>
        </w:rPr>
        <w:t>下降</w:t>
      </w:r>
      <w:r>
        <w:rPr>
          <w:rFonts w:hint="default" w:ascii="仿宋_GB2312" w:eastAsia="仿宋_GB2312"/>
          <w:sz w:val="28"/>
          <w:szCs w:val="28"/>
          <w:lang w:val="en-US" w:eastAsia="zh-CN"/>
        </w:rPr>
        <w:t>0.27</w:t>
      </w:r>
      <w:r>
        <w:rPr>
          <w:rFonts w:hint="eastAsia" w:ascii="仿宋_GB2312" w:eastAsia="仿宋_GB2312"/>
          <w:sz w:val="28"/>
          <w:szCs w:val="28"/>
        </w:rPr>
        <w:t>%。主要原因：为中央及市级资金补助项目有所变化，造成财政补助资金稍有</w:t>
      </w:r>
      <w:r>
        <w:rPr>
          <w:rFonts w:hint="eastAsia" w:ascii="仿宋_GB2312" w:eastAsia="仿宋_GB2312"/>
          <w:sz w:val="28"/>
          <w:szCs w:val="28"/>
          <w:lang w:eastAsia="zh-CN"/>
        </w:rPr>
        <w:t>减少</w:t>
      </w: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年度财政拨款支出总计</w:t>
      </w:r>
      <w:r>
        <w:rPr>
          <w:rFonts w:hint="default" w:ascii="仿宋_GB2312" w:eastAsia="仿宋_GB2312"/>
          <w:sz w:val="28"/>
          <w:szCs w:val="28"/>
          <w:lang w:val="en-US"/>
        </w:rPr>
        <w:t>3454.28</w:t>
      </w:r>
      <w:r>
        <w:rPr>
          <w:rFonts w:hint="eastAsia" w:ascii="仿宋_GB2312" w:eastAsia="仿宋_GB2312"/>
          <w:sz w:val="28"/>
          <w:szCs w:val="28"/>
        </w:rPr>
        <w:t>万元，比上年</w:t>
      </w:r>
      <w:r>
        <w:rPr>
          <w:rFonts w:hint="eastAsia" w:ascii="仿宋_GB2312" w:eastAsia="仿宋_GB2312"/>
          <w:sz w:val="28"/>
          <w:szCs w:val="28"/>
          <w:lang w:eastAsia="zh-CN"/>
        </w:rPr>
        <w:t>增加</w:t>
      </w:r>
      <w:r>
        <w:rPr>
          <w:rFonts w:hint="default" w:ascii="仿宋_GB2312" w:eastAsia="仿宋_GB2312"/>
          <w:sz w:val="28"/>
          <w:szCs w:val="28"/>
          <w:lang w:val="en-US" w:eastAsia="zh-CN"/>
        </w:rPr>
        <w:t>170.61</w:t>
      </w:r>
      <w:r>
        <w:rPr>
          <w:rFonts w:hint="eastAsia" w:ascii="仿宋_GB2312" w:eastAsia="仿宋_GB2312"/>
          <w:sz w:val="28"/>
          <w:szCs w:val="28"/>
        </w:rPr>
        <w:t>万元，</w:t>
      </w:r>
      <w:r>
        <w:rPr>
          <w:rFonts w:hint="eastAsia" w:ascii="仿宋_GB2312" w:eastAsia="仿宋_GB2312"/>
          <w:sz w:val="28"/>
          <w:szCs w:val="28"/>
          <w:lang w:eastAsia="zh-CN"/>
        </w:rPr>
        <w:t>上升</w:t>
      </w:r>
      <w:r>
        <w:rPr>
          <w:rFonts w:hint="default" w:ascii="仿宋_GB2312" w:eastAsia="仿宋_GB2312"/>
          <w:sz w:val="28"/>
          <w:szCs w:val="28"/>
          <w:lang w:val="en-US" w:eastAsia="zh-CN"/>
        </w:rPr>
        <w:t>5.20</w:t>
      </w:r>
      <w:r>
        <w:rPr>
          <w:rFonts w:hint="eastAsia" w:ascii="仿宋_GB2312" w:eastAsia="仿宋_GB2312"/>
          <w:sz w:val="28"/>
          <w:szCs w:val="28"/>
        </w:rPr>
        <w:t>%。主要原因：</w:t>
      </w:r>
      <w:r>
        <w:rPr>
          <w:rFonts w:hint="eastAsia" w:ascii="仿宋_GB2312" w:eastAsia="仿宋_GB2312"/>
          <w:sz w:val="28"/>
          <w:szCs w:val="28"/>
          <w:lang w:eastAsia="zh-CN"/>
        </w:rPr>
        <w:t>由于</w:t>
      </w:r>
      <w:r>
        <w:rPr>
          <w:rFonts w:hint="eastAsia" w:ascii="仿宋_GB2312" w:eastAsia="仿宋_GB2312"/>
          <w:sz w:val="28"/>
          <w:szCs w:val="28"/>
          <w:lang w:val="en-US" w:eastAsia="zh-CN"/>
        </w:rPr>
        <w:t>2023年无上年结转项目，</w:t>
      </w:r>
      <w:r>
        <w:rPr>
          <w:rFonts w:hint="eastAsia" w:ascii="仿宋_GB2312" w:eastAsia="仿宋_GB2312"/>
          <w:sz w:val="28"/>
          <w:szCs w:val="28"/>
          <w:lang w:eastAsia="zh-CN"/>
        </w:rPr>
        <w:t>财政拨款支出总计减少，</w:t>
      </w:r>
      <w:r>
        <w:rPr>
          <w:rFonts w:hint="eastAsia" w:ascii="仿宋_GB2312" w:eastAsia="仿宋_GB2312"/>
          <w:sz w:val="28"/>
          <w:szCs w:val="28"/>
          <w:lang w:val="en-US" w:eastAsia="zh-CN"/>
        </w:rPr>
        <w:t>202</w:t>
      </w:r>
      <w:r>
        <w:rPr>
          <w:rFonts w:hint="default" w:ascii="仿宋_GB2312" w:eastAsia="仿宋_GB2312"/>
          <w:sz w:val="28"/>
          <w:szCs w:val="28"/>
          <w:lang w:val="en-US" w:eastAsia="zh-CN"/>
        </w:rPr>
        <w:t>4</w:t>
      </w:r>
      <w:r>
        <w:rPr>
          <w:rFonts w:hint="eastAsia" w:ascii="仿宋_GB2312" w:eastAsia="仿宋_GB2312"/>
          <w:sz w:val="28"/>
          <w:szCs w:val="28"/>
          <w:lang w:val="en-US" w:eastAsia="zh-CN"/>
        </w:rPr>
        <w:t>年有结转项目，所以</w:t>
      </w:r>
      <w:r>
        <w:rPr>
          <w:rFonts w:hint="eastAsia" w:ascii="仿宋_GB2312" w:eastAsia="仿宋_GB2312"/>
          <w:sz w:val="28"/>
          <w:szCs w:val="28"/>
        </w:rPr>
        <w:t>造成财政补助资金稍有</w:t>
      </w:r>
      <w:r>
        <w:rPr>
          <w:rFonts w:hint="eastAsia" w:ascii="仿宋_GB2312" w:eastAsia="仿宋_GB2312"/>
          <w:sz w:val="28"/>
          <w:szCs w:val="28"/>
          <w:lang w:eastAsia="zh-CN"/>
        </w:rPr>
        <w:t>增加</w:t>
      </w:r>
      <w:r>
        <w:rPr>
          <w:rFonts w:hint="eastAsia" w:ascii="仿宋_GB2312" w:eastAsia="仿宋_GB2312"/>
          <w:sz w:val="28"/>
          <w:szCs w:val="28"/>
        </w:rPr>
        <w:t xml:space="preserve">。 </w:t>
      </w:r>
    </w:p>
    <w:p w14:paraId="1E49CB58">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14:paraId="2D3E547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8AA2C43">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年度一般公共预算财政拨款支出</w:t>
      </w:r>
      <w:r>
        <w:rPr>
          <w:rFonts w:hint="default" w:ascii="仿宋_GB2312" w:eastAsia="仿宋_GB2312"/>
          <w:sz w:val="28"/>
          <w:szCs w:val="28"/>
          <w:lang w:val="en-US"/>
        </w:rPr>
        <w:t>3454.28</w:t>
      </w:r>
      <w:r>
        <w:rPr>
          <w:rFonts w:hint="eastAsia" w:ascii="仿宋_GB2312" w:eastAsia="仿宋_GB2312"/>
          <w:sz w:val="28"/>
          <w:szCs w:val="28"/>
        </w:rPr>
        <w:t>万元，主要用于以下方面（按大类）：社会保障和就业支出</w:t>
      </w:r>
      <w:r>
        <w:rPr>
          <w:rFonts w:hint="default" w:ascii="仿宋_GB2312" w:eastAsia="仿宋_GB2312"/>
          <w:sz w:val="28"/>
          <w:szCs w:val="28"/>
          <w:lang w:val="en-US"/>
        </w:rPr>
        <w:t>264.86</w:t>
      </w:r>
      <w:r>
        <w:rPr>
          <w:rFonts w:hint="eastAsia" w:ascii="仿宋_GB2312" w:eastAsia="仿宋_GB2312"/>
          <w:sz w:val="28"/>
          <w:szCs w:val="28"/>
        </w:rPr>
        <w:t>万元，占本年财政拨款支出</w:t>
      </w:r>
      <w:r>
        <w:rPr>
          <w:rFonts w:hint="default" w:ascii="仿宋_GB2312" w:eastAsia="仿宋_GB2312"/>
          <w:sz w:val="28"/>
          <w:szCs w:val="28"/>
          <w:lang w:val="en-US"/>
        </w:rPr>
        <w:t>7.67</w:t>
      </w:r>
      <w:r>
        <w:rPr>
          <w:rFonts w:hint="eastAsia" w:ascii="仿宋_GB2312" w:eastAsia="仿宋_GB2312"/>
          <w:sz w:val="28"/>
          <w:szCs w:val="28"/>
        </w:rPr>
        <w:t>%；卫生健康支出</w:t>
      </w:r>
      <w:r>
        <w:rPr>
          <w:rFonts w:hint="default" w:ascii="仿宋_GB2312" w:eastAsia="仿宋_GB2312"/>
          <w:sz w:val="28"/>
          <w:szCs w:val="28"/>
          <w:lang w:val="en-US"/>
        </w:rPr>
        <w:t>3009.98</w:t>
      </w:r>
      <w:r>
        <w:rPr>
          <w:rFonts w:hint="eastAsia" w:ascii="仿宋_GB2312" w:eastAsia="仿宋_GB2312"/>
          <w:sz w:val="28"/>
          <w:szCs w:val="28"/>
        </w:rPr>
        <w:t>万元，占本年财政拨款支出</w:t>
      </w:r>
      <w:r>
        <w:rPr>
          <w:rFonts w:hint="default" w:ascii="仿宋_GB2312" w:eastAsia="仿宋_GB2312"/>
          <w:sz w:val="28"/>
          <w:szCs w:val="28"/>
          <w:lang w:val="en-US"/>
        </w:rPr>
        <w:t>87.14</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default" w:ascii="仿宋_GB2312" w:eastAsia="仿宋_GB2312"/>
          <w:sz w:val="28"/>
          <w:szCs w:val="28"/>
          <w:lang w:val="en-US" w:eastAsia="zh-CN"/>
        </w:rPr>
        <w:t>179.44</w:t>
      </w:r>
      <w:r>
        <w:rPr>
          <w:rFonts w:hint="eastAsia" w:ascii="仿宋_GB2312" w:eastAsia="仿宋_GB2312"/>
          <w:sz w:val="28"/>
          <w:szCs w:val="28"/>
          <w:lang w:val="en-US" w:eastAsia="zh-CN"/>
        </w:rPr>
        <w:t>万元，占本年财政拨款支出</w:t>
      </w:r>
      <w:r>
        <w:rPr>
          <w:rFonts w:hint="default" w:ascii="仿宋_GB2312" w:eastAsia="仿宋_GB2312"/>
          <w:sz w:val="28"/>
          <w:szCs w:val="28"/>
          <w:lang w:val="en-US" w:eastAsia="zh-CN"/>
        </w:rPr>
        <w:t>5.19%</w:t>
      </w:r>
      <w:r>
        <w:rPr>
          <w:rFonts w:hint="eastAsia" w:ascii="仿宋_GB2312" w:eastAsia="仿宋_GB2312"/>
          <w:sz w:val="28"/>
          <w:szCs w:val="28"/>
        </w:rPr>
        <w:t>。</w:t>
      </w:r>
    </w:p>
    <w:p w14:paraId="1605ACB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CA8477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264.86</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default" w:ascii="仿宋_GB2312" w:eastAsia="仿宋_GB2312"/>
          <w:sz w:val="28"/>
          <w:szCs w:val="28"/>
          <w:lang w:val="en-US" w:eastAsia="zh-CN"/>
        </w:rPr>
        <w:t>6.06</w:t>
      </w:r>
      <w:r>
        <w:rPr>
          <w:rFonts w:hint="eastAsia" w:ascii="仿宋_GB2312" w:eastAsia="仿宋_GB2312"/>
          <w:sz w:val="28"/>
          <w:szCs w:val="28"/>
        </w:rPr>
        <w:t>万元，</w:t>
      </w:r>
      <w:r>
        <w:rPr>
          <w:rFonts w:hint="eastAsia" w:ascii="仿宋_GB2312" w:eastAsia="仿宋_GB2312"/>
          <w:sz w:val="28"/>
          <w:szCs w:val="28"/>
          <w:lang w:eastAsia="zh-CN"/>
        </w:rPr>
        <w:t>下降</w:t>
      </w:r>
      <w:r>
        <w:rPr>
          <w:rFonts w:hint="default" w:ascii="仿宋_GB2312" w:eastAsia="仿宋_GB2312"/>
          <w:sz w:val="28"/>
          <w:szCs w:val="28"/>
          <w:lang w:val="en-US" w:eastAsia="zh-CN"/>
        </w:rPr>
        <w:t>2.24</w:t>
      </w:r>
      <w:r>
        <w:rPr>
          <w:rFonts w:hint="eastAsia" w:ascii="仿宋_GB2312" w:eastAsia="仿宋_GB2312"/>
          <w:sz w:val="28"/>
          <w:szCs w:val="28"/>
        </w:rPr>
        <w:t>%。其中：</w:t>
      </w:r>
    </w:p>
    <w:p w14:paraId="1B514E6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264.86</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default" w:ascii="仿宋_GB2312" w:eastAsia="仿宋_GB2312"/>
          <w:sz w:val="28"/>
          <w:szCs w:val="28"/>
          <w:lang w:val="en-US"/>
        </w:rPr>
        <w:t>6.06</w:t>
      </w:r>
      <w:r>
        <w:rPr>
          <w:rFonts w:hint="eastAsia" w:ascii="仿宋_GB2312" w:eastAsia="仿宋_GB2312"/>
          <w:sz w:val="28"/>
          <w:szCs w:val="28"/>
        </w:rPr>
        <w:t>万元，</w:t>
      </w:r>
      <w:r>
        <w:rPr>
          <w:rFonts w:hint="eastAsia" w:ascii="仿宋_GB2312" w:eastAsia="仿宋_GB2312"/>
          <w:sz w:val="28"/>
          <w:szCs w:val="28"/>
          <w:lang w:eastAsia="zh-CN"/>
        </w:rPr>
        <w:t>下降</w:t>
      </w:r>
      <w:r>
        <w:rPr>
          <w:rFonts w:hint="default" w:ascii="仿宋_GB2312" w:eastAsia="仿宋_GB2312"/>
          <w:sz w:val="28"/>
          <w:szCs w:val="28"/>
          <w:lang w:val="en-US"/>
        </w:rPr>
        <w:t>2.24</w:t>
      </w:r>
      <w:r>
        <w:rPr>
          <w:rFonts w:hint="eastAsia" w:ascii="仿宋_GB2312" w:eastAsia="仿宋_GB2312"/>
          <w:sz w:val="28"/>
          <w:szCs w:val="28"/>
        </w:rPr>
        <w:t>%。主要原因：由于在职职工</w:t>
      </w:r>
      <w:r>
        <w:rPr>
          <w:rFonts w:ascii="仿宋_GB2312" w:eastAsia="仿宋_GB2312"/>
          <w:sz w:val="28"/>
          <w:szCs w:val="28"/>
        </w:rPr>
        <w:t>人员</w:t>
      </w:r>
      <w:r>
        <w:rPr>
          <w:rFonts w:hint="eastAsia" w:ascii="仿宋_GB2312" w:eastAsia="仿宋_GB2312"/>
          <w:sz w:val="28"/>
          <w:szCs w:val="28"/>
        </w:rPr>
        <w:t>保险</w:t>
      </w:r>
      <w:r>
        <w:rPr>
          <w:rFonts w:ascii="仿宋_GB2312" w:eastAsia="仿宋_GB2312"/>
          <w:sz w:val="28"/>
          <w:szCs w:val="28"/>
        </w:rPr>
        <w:t>缴费标准</w:t>
      </w:r>
      <w:r>
        <w:rPr>
          <w:rFonts w:hint="eastAsia" w:ascii="仿宋_GB2312" w:eastAsia="仿宋_GB2312"/>
          <w:sz w:val="28"/>
          <w:szCs w:val="28"/>
          <w:lang w:eastAsia="zh-CN"/>
        </w:rPr>
        <w:t>减少</w:t>
      </w:r>
      <w:r>
        <w:rPr>
          <w:rFonts w:hint="eastAsia" w:ascii="仿宋_GB2312" w:eastAsia="仿宋_GB2312"/>
          <w:sz w:val="28"/>
          <w:szCs w:val="28"/>
        </w:rPr>
        <w:t>，造成社会保障和就业支出与预算相比</w:t>
      </w:r>
      <w:r>
        <w:rPr>
          <w:rFonts w:hint="eastAsia" w:ascii="仿宋_GB2312" w:eastAsia="仿宋_GB2312"/>
          <w:sz w:val="28"/>
          <w:szCs w:val="28"/>
          <w:lang w:eastAsia="zh-CN"/>
        </w:rPr>
        <w:t>减少</w:t>
      </w:r>
      <w:r>
        <w:rPr>
          <w:rFonts w:hint="eastAsia" w:ascii="仿宋_GB2312" w:eastAsia="仿宋_GB2312"/>
          <w:sz w:val="28"/>
          <w:szCs w:val="28"/>
        </w:rPr>
        <w:t>。</w:t>
      </w:r>
    </w:p>
    <w:p w14:paraId="6090A9A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3009.98</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default" w:ascii="仿宋_GB2312" w:eastAsia="仿宋_GB2312"/>
          <w:sz w:val="28"/>
          <w:szCs w:val="28"/>
          <w:lang w:val="en-US" w:eastAsia="zh-CN"/>
        </w:rPr>
        <w:t>752.52</w:t>
      </w:r>
      <w:r>
        <w:rPr>
          <w:rFonts w:hint="eastAsia" w:ascii="仿宋_GB2312" w:eastAsia="仿宋_GB2312"/>
          <w:sz w:val="28"/>
          <w:szCs w:val="28"/>
        </w:rPr>
        <w:t>万元，上升</w:t>
      </w:r>
      <w:r>
        <w:rPr>
          <w:rFonts w:hint="default" w:ascii="仿宋_GB2312" w:eastAsia="仿宋_GB2312"/>
          <w:sz w:val="28"/>
          <w:szCs w:val="28"/>
          <w:lang w:val="en-US"/>
        </w:rPr>
        <w:t>33.33</w:t>
      </w:r>
      <w:r>
        <w:rPr>
          <w:rFonts w:hint="eastAsia" w:ascii="仿宋_GB2312" w:eastAsia="仿宋_GB2312"/>
          <w:sz w:val="28"/>
          <w:szCs w:val="28"/>
        </w:rPr>
        <w:t>%。其中：</w:t>
      </w:r>
    </w:p>
    <w:p w14:paraId="64EB6576">
      <w:pPr>
        <w:spacing w:line="580" w:lineRule="exact"/>
        <w:ind w:firstLine="560" w:firstLineChars="200"/>
        <w:rPr>
          <w:rFonts w:ascii="仿宋_GB2312" w:eastAsia="仿宋_GB2312"/>
          <w:sz w:val="28"/>
          <w:szCs w:val="28"/>
        </w:rPr>
      </w:pPr>
      <w:r>
        <w:rPr>
          <w:rFonts w:hint="eastAsia" w:ascii="仿宋_GB2312" w:eastAsia="仿宋_GB2312"/>
          <w:sz w:val="28"/>
          <w:szCs w:val="28"/>
        </w:rPr>
        <w:t>“基层医疗卫生机构”202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1623.69</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年年初预算增加</w:t>
      </w:r>
      <w:r>
        <w:rPr>
          <w:rFonts w:hint="default" w:ascii="仿宋_GB2312" w:eastAsia="仿宋_GB2312"/>
          <w:sz w:val="28"/>
          <w:szCs w:val="28"/>
          <w:lang w:val="en-US"/>
        </w:rPr>
        <w:t>317.09</w:t>
      </w:r>
      <w:r>
        <w:rPr>
          <w:rFonts w:hint="eastAsia" w:ascii="仿宋_GB2312" w:eastAsia="仿宋_GB2312"/>
          <w:sz w:val="28"/>
          <w:szCs w:val="28"/>
        </w:rPr>
        <w:t>万元，上升</w:t>
      </w:r>
      <w:r>
        <w:rPr>
          <w:rFonts w:hint="default" w:ascii="仿宋_GB2312" w:eastAsia="仿宋_GB2312"/>
          <w:sz w:val="28"/>
          <w:szCs w:val="28"/>
          <w:lang w:val="en-US"/>
        </w:rPr>
        <w:t>24.27</w:t>
      </w:r>
      <w:r>
        <w:rPr>
          <w:rFonts w:hint="eastAsia" w:ascii="仿宋_GB2312" w:eastAsia="仿宋_GB2312"/>
          <w:sz w:val="28"/>
          <w:szCs w:val="28"/>
        </w:rPr>
        <w:t>%。主要原因：202</w:t>
      </w:r>
      <w:r>
        <w:rPr>
          <w:rFonts w:hint="default" w:ascii="仿宋_GB2312" w:eastAsia="仿宋_GB2312"/>
          <w:sz w:val="28"/>
          <w:szCs w:val="28"/>
          <w:lang w:val="en-US"/>
        </w:rPr>
        <w:t>4</w:t>
      </w:r>
      <w:r>
        <w:rPr>
          <w:rFonts w:hint="eastAsia" w:ascii="仿宋_GB2312" w:eastAsia="仿宋_GB2312"/>
          <w:sz w:val="28"/>
          <w:szCs w:val="28"/>
        </w:rPr>
        <w:t>年补发以前年度绩效工资、住房补贴，区财政增加的人员经费补助</w:t>
      </w:r>
      <w:r>
        <w:rPr>
          <w:rFonts w:hint="eastAsia" w:ascii="仿宋_GB2312" w:eastAsia="仿宋_GB2312"/>
          <w:sz w:val="28"/>
          <w:szCs w:val="28"/>
          <w:lang w:eastAsia="zh-CN"/>
        </w:rPr>
        <w:t>，相应支出增长造成</w:t>
      </w:r>
      <w:r>
        <w:rPr>
          <w:rFonts w:hint="eastAsia" w:ascii="仿宋_GB2312" w:eastAsia="仿宋_GB2312"/>
          <w:sz w:val="28"/>
          <w:szCs w:val="28"/>
          <w:lang w:val="en-US" w:eastAsia="zh-CN"/>
        </w:rPr>
        <w:t>202</w:t>
      </w:r>
      <w:r>
        <w:rPr>
          <w:rFonts w:hint="default" w:ascii="仿宋_GB2312" w:eastAsia="仿宋_GB2312"/>
          <w:sz w:val="28"/>
          <w:szCs w:val="28"/>
          <w:lang w:val="en-US" w:eastAsia="zh-CN"/>
        </w:rPr>
        <w:t>4</w:t>
      </w:r>
      <w:r>
        <w:rPr>
          <w:rFonts w:hint="eastAsia" w:ascii="仿宋_GB2312" w:eastAsia="仿宋_GB2312"/>
          <w:sz w:val="28"/>
          <w:szCs w:val="28"/>
          <w:lang w:val="en-US" w:eastAsia="zh-CN"/>
        </w:rPr>
        <w:t>年支出总计与上年相比有小幅度上升</w:t>
      </w:r>
      <w:r>
        <w:rPr>
          <w:rFonts w:hint="eastAsia" w:ascii="仿宋_GB2312" w:eastAsia="仿宋_GB2312"/>
          <w:sz w:val="28"/>
          <w:szCs w:val="28"/>
        </w:rPr>
        <w:t>。</w:t>
      </w:r>
    </w:p>
    <w:p w14:paraId="3365B71C">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“公共卫生支出”202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1153.33</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年年初预算增加</w:t>
      </w:r>
      <w:r>
        <w:rPr>
          <w:rFonts w:hint="default" w:ascii="仿宋_GB2312" w:eastAsia="仿宋_GB2312"/>
          <w:sz w:val="28"/>
          <w:szCs w:val="28"/>
          <w:lang w:val="en-US"/>
        </w:rPr>
        <w:t>382.39</w:t>
      </w:r>
      <w:r>
        <w:rPr>
          <w:rFonts w:hint="eastAsia" w:ascii="仿宋_GB2312" w:eastAsia="仿宋_GB2312"/>
          <w:sz w:val="28"/>
          <w:szCs w:val="28"/>
        </w:rPr>
        <w:t>万元，</w:t>
      </w:r>
      <w:r>
        <w:rPr>
          <w:rFonts w:hint="eastAsia" w:ascii="仿宋_GB2312" w:eastAsia="仿宋_GB2312"/>
          <w:sz w:val="28"/>
          <w:szCs w:val="28"/>
          <w:lang w:eastAsia="zh-CN"/>
        </w:rPr>
        <w:t>上升</w:t>
      </w:r>
      <w:r>
        <w:rPr>
          <w:rFonts w:hint="default" w:ascii="仿宋_GB2312" w:eastAsia="仿宋_GB2312"/>
          <w:sz w:val="28"/>
          <w:szCs w:val="28"/>
          <w:lang w:val="en-US"/>
        </w:rPr>
        <w:t>49.60</w:t>
      </w:r>
      <w:r>
        <w:rPr>
          <w:rFonts w:hint="eastAsia" w:ascii="仿宋_GB2312" w:eastAsia="仿宋_GB2312"/>
          <w:sz w:val="28"/>
          <w:szCs w:val="28"/>
        </w:rPr>
        <w:t>%。主要原因：</w:t>
      </w:r>
      <w:r>
        <w:rPr>
          <w:rFonts w:hint="eastAsia" w:ascii="仿宋_GB2312" w:eastAsia="仿宋_GB2312"/>
          <w:sz w:val="28"/>
          <w:szCs w:val="28"/>
          <w:lang w:eastAsia="zh-CN"/>
        </w:rPr>
        <w:t>由于我社区承担老年人体检、</w:t>
      </w:r>
      <w:r>
        <w:rPr>
          <w:rFonts w:hint="default" w:ascii="仿宋_GB2312" w:eastAsia="仿宋_GB2312"/>
          <w:sz w:val="28"/>
          <w:szCs w:val="28"/>
          <w:lang w:val="en-US" w:eastAsia="zh-CN"/>
        </w:rPr>
        <w:t>65</w:t>
      </w:r>
      <w:r>
        <w:rPr>
          <w:rFonts w:hint="eastAsia" w:ascii="仿宋_GB2312" w:eastAsia="仿宋_GB2312"/>
          <w:sz w:val="28"/>
          <w:szCs w:val="28"/>
          <w:lang w:val="en-US" w:eastAsia="zh-CN"/>
        </w:rPr>
        <w:t>岁以上老年人筛查、心脑血管筛查、儿保等相关公共卫生免费筛查工作，业务成本支出过大，造成公共卫生支出与上年相比增幅过大</w:t>
      </w:r>
      <w:r>
        <w:rPr>
          <w:rFonts w:hint="eastAsia" w:ascii="仿宋_GB2312" w:eastAsia="仿宋_GB2312"/>
          <w:sz w:val="28"/>
          <w:szCs w:val="28"/>
        </w:rPr>
        <w:t>。</w:t>
      </w:r>
    </w:p>
    <w:p w14:paraId="1870302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“行政事业单位医疗”202</w:t>
      </w:r>
      <w:r>
        <w:rPr>
          <w:rFonts w:hint="default" w:ascii="仿宋_GB2312" w:eastAsia="仿宋_GB2312"/>
          <w:sz w:val="28"/>
          <w:szCs w:val="28"/>
          <w:lang w:val="en-US"/>
        </w:rPr>
        <w:t>3</w:t>
      </w:r>
      <w:r>
        <w:rPr>
          <w:rFonts w:hint="eastAsia" w:ascii="仿宋_GB2312" w:eastAsia="仿宋_GB2312"/>
          <w:sz w:val="28"/>
          <w:szCs w:val="28"/>
        </w:rPr>
        <w:t>年度决算</w:t>
      </w:r>
      <w:r>
        <w:rPr>
          <w:rFonts w:hint="default" w:ascii="仿宋_GB2312" w:eastAsia="仿宋_GB2312"/>
          <w:sz w:val="28"/>
          <w:szCs w:val="28"/>
          <w:lang w:val="en-US"/>
        </w:rPr>
        <w:t>174.71</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减少</w:t>
      </w:r>
      <w:r>
        <w:rPr>
          <w:rFonts w:hint="default" w:ascii="仿宋_GB2312" w:eastAsia="仿宋_GB2312"/>
          <w:sz w:val="28"/>
          <w:szCs w:val="28"/>
          <w:lang w:val="en-US" w:eastAsia="zh-CN"/>
        </w:rPr>
        <w:t>5.21</w:t>
      </w:r>
      <w:r>
        <w:rPr>
          <w:rFonts w:hint="eastAsia" w:ascii="仿宋_GB2312" w:eastAsia="仿宋_GB2312"/>
          <w:sz w:val="28"/>
          <w:szCs w:val="28"/>
        </w:rPr>
        <w:t>万元，</w:t>
      </w:r>
      <w:r>
        <w:rPr>
          <w:rFonts w:hint="eastAsia" w:ascii="仿宋_GB2312" w:eastAsia="仿宋_GB2312"/>
          <w:sz w:val="28"/>
          <w:szCs w:val="28"/>
          <w:lang w:eastAsia="zh-CN"/>
        </w:rPr>
        <w:t>下降</w:t>
      </w:r>
      <w:r>
        <w:rPr>
          <w:rFonts w:hint="default" w:ascii="仿宋_GB2312" w:eastAsia="仿宋_GB2312"/>
          <w:sz w:val="28"/>
          <w:szCs w:val="28"/>
          <w:lang w:val="en-US" w:eastAsia="zh-CN"/>
        </w:rPr>
        <w:t>2.90</w:t>
      </w:r>
      <w:r>
        <w:rPr>
          <w:rFonts w:hint="eastAsia" w:ascii="仿宋_GB2312" w:eastAsia="仿宋_GB2312"/>
          <w:sz w:val="28"/>
          <w:szCs w:val="28"/>
        </w:rPr>
        <w:t>%。主要原因：由于在职职工</w:t>
      </w:r>
      <w:r>
        <w:rPr>
          <w:rFonts w:ascii="仿宋_GB2312" w:eastAsia="仿宋_GB2312"/>
          <w:sz w:val="28"/>
          <w:szCs w:val="28"/>
        </w:rPr>
        <w:t>人员</w:t>
      </w:r>
      <w:r>
        <w:rPr>
          <w:rFonts w:hint="eastAsia" w:ascii="仿宋_GB2312" w:eastAsia="仿宋_GB2312"/>
          <w:sz w:val="28"/>
          <w:szCs w:val="28"/>
          <w:lang w:eastAsia="zh-CN"/>
        </w:rPr>
        <w:t>增加</w:t>
      </w:r>
      <w:r>
        <w:rPr>
          <w:rFonts w:hint="default" w:ascii="仿宋_GB2312" w:eastAsia="仿宋_GB2312"/>
          <w:sz w:val="28"/>
          <w:szCs w:val="28"/>
          <w:lang w:val="en-US" w:eastAsia="zh-CN"/>
        </w:rPr>
        <w:t>1</w:t>
      </w:r>
      <w:r>
        <w:rPr>
          <w:rFonts w:hint="eastAsia" w:ascii="仿宋_GB2312" w:eastAsia="仿宋_GB2312"/>
          <w:sz w:val="28"/>
          <w:szCs w:val="28"/>
          <w:lang w:val="en-US" w:eastAsia="zh-CN"/>
        </w:rPr>
        <w:t>人，</w:t>
      </w:r>
      <w:r>
        <w:rPr>
          <w:rFonts w:hint="eastAsia" w:ascii="仿宋_GB2312" w:eastAsia="仿宋_GB2312"/>
          <w:sz w:val="28"/>
          <w:szCs w:val="28"/>
        </w:rPr>
        <w:t>保险</w:t>
      </w:r>
      <w:r>
        <w:rPr>
          <w:rFonts w:ascii="仿宋_GB2312" w:eastAsia="仿宋_GB2312"/>
          <w:sz w:val="28"/>
          <w:szCs w:val="28"/>
        </w:rPr>
        <w:t>缴费增</w:t>
      </w:r>
      <w:r>
        <w:rPr>
          <w:rFonts w:hint="eastAsia" w:ascii="仿宋_GB2312" w:eastAsia="仿宋_GB2312"/>
          <w:sz w:val="28"/>
          <w:szCs w:val="28"/>
          <w:lang w:eastAsia="zh-CN"/>
        </w:rPr>
        <w:t>加</w:t>
      </w:r>
      <w:r>
        <w:rPr>
          <w:rFonts w:hint="eastAsia" w:ascii="仿宋_GB2312" w:eastAsia="仿宋_GB2312"/>
          <w:sz w:val="28"/>
          <w:szCs w:val="28"/>
        </w:rPr>
        <w:t>，造成行政</w:t>
      </w:r>
      <w:r>
        <w:rPr>
          <w:rFonts w:hint="eastAsia" w:ascii="仿宋_GB2312" w:eastAsia="仿宋_GB2312"/>
          <w:sz w:val="28"/>
          <w:szCs w:val="28"/>
          <w:lang w:eastAsia="zh-CN"/>
        </w:rPr>
        <w:t>事业</w:t>
      </w:r>
      <w:r>
        <w:rPr>
          <w:rFonts w:hint="eastAsia" w:ascii="仿宋_GB2312" w:eastAsia="仿宋_GB2312"/>
          <w:sz w:val="28"/>
          <w:szCs w:val="28"/>
        </w:rPr>
        <w:t>医疗支出与预算相比增加。</w:t>
      </w:r>
    </w:p>
    <w:p w14:paraId="65234A1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中医药事务</w:t>
      </w:r>
      <w:r>
        <w:rPr>
          <w:rFonts w:hint="eastAsia" w:ascii="仿宋_GB2312" w:eastAsia="仿宋_GB2312"/>
          <w:sz w:val="28"/>
          <w:szCs w:val="28"/>
        </w:rPr>
        <w:t>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29.20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年年初预算增加</w:t>
      </w:r>
      <w:r>
        <w:rPr>
          <w:rFonts w:hint="default" w:ascii="仿宋_GB2312" w:eastAsia="仿宋_GB2312"/>
          <w:sz w:val="28"/>
          <w:szCs w:val="28"/>
          <w:lang w:val="en-US"/>
        </w:rPr>
        <w:t>29.20</w:t>
      </w:r>
      <w:r>
        <w:rPr>
          <w:rFonts w:hint="eastAsia" w:ascii="仿宋_GB2312" w:eastAsia="仿宋_GB2312"/>
          <w:sz w:val="28"/>
          <w:szCs w:val="28"/>
        </w:rPr>
        <w:t>万元，增长</w:t>
      </w:r>
      <w:r>
        <w:rPr>
          <w:rFonts w:ascii="仿宋_GB2312" w:eastAsia="仿宋_GB2312"/>
          <w:sz w:val="28"/>
          <w:szCs w:val="28"/>
        </w:rPr>
        <w:t>100.00</w:t>
      </w:r>
      <w:r>
        <w:rPr>
          <w:rFonts w:hint="eastAsia" w:ascii="仿宋_GB2312" w:eastAsia="仿宋_GB2312"/>
          <w:sz w:val="28"/>
          <w:szCs w:val="28"/>
        </w:rPr>
        <w:t>%。主要原因：区内统筹。</w:t>
      </w:r>
    </w:p>
    <w:p w14:paraId="72F22B1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“其他卫生健康支出”202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29.05</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年年初预算增加</w:t>
      </w:r>
      <w:r>
        <w:rPr>
          <w:rFonts w:hint="default" w:ascii="仿宋_GB2312" w:eastAsia="仿宋_GB2312"/>
          <w:sz w:val="28"/>
          <w:szCs w:val="28"/>
          <w:lang w:val="en-US"/>
        </w:rPr>
        <w:t>29.05</w:t>
      </w:r>
      <w:r>
        <w:rPr>
          <w:rFonts w:hint="eastAsia" w:ascii="仿宋_GB2312" w:eastAsia="仿宋_GB2312"/>
          <w:sz w:val="28"/>
          <w:szCs w:val="28"/>
        </w:rPr>
        <w:t>万元，增长</w:t>
      </w:r>
      <w:r>
        <w:rPr>
          <w:rFonts w:hint="default" w:ascii="仿宋_GB2312" w:eastAsia="仿宋_GB2312"/>
          <w:sz w:val="28"/>
          <w:szCs w:val="28"/>
          <w:lang w:val="en-US"/>
        </w:rPr>
        <w:t>100</w:t>
      </w:r>
      <w:r>
        <w:rPr>
          <w:rFonts w:hint="eastAsia" w:ascii="仿宋_GB2312" w:eastAsia="仿宋_GB2312"/>
          <w:sz w:val="28"/>
          <w:szCs w:val="28"/>
        </w:rPr>
        <w:t>%。主要原因：区内统筹。</w:t>
      </w:r>
    </w:p>
    <w:p w14:paraId="1ACDCCA6">
      <w:pPr>
        <w:autoSpaceDE w:val="0"/>
        <w:autoSpaceDN w:val="0"/>
        <w:adjustRightInd w:val="0"/>
        <w:spacing w:line="580" w:lineRule="exact"/>
        <w:ind w:firstLine="560" w:firstLineChars="200"/>
        <w:jc w:val="left"/>
        <w:rPr>
          <w:rFonts w:hint="eastAsia" w:ascii="仿宋_GB2312" w:eastAsia="仿宋_GB2312"/>
          <w:sz w:val="28"/>
          <w:szCs w:val="28"/>
        </w:rPr>
      </w:pPr>
      <w:r>
        <w:rPr>
          <w:rFonts w:hint="default" w:ascii="仿宋_GB2312" w:eastAsia="仿宋_GB2312"/>
          <w:sz w:val="28"/>
          <w:szCs w:val="28"/>
          <w:lang w:val="en-US"/>
        </w:rPr>
        <w:t>3</w:t>
      </w:r>
      <w:r>
        <w:rPr>
          <w:rFonts w:hint="eastAsia" w:ascii="仿宋_GB2312" w:eastAsia="仿宋_GB2312"/>
          <w:sz w:val="28"/>
          <w:szCs w:val="28"/>
        </w:rPr>
        <w:t>、“</w:t>
      </w:r>
      <w:r>
        <w:rPr>
          <w:rFonts w:hint="eastAsia" w:ascii="仿宋_GB2312" w:eastAsia="仿宋_GB2312"/>
          <w:sz w:val="28"/>
          <w:szCs w:val="28"/>
          <w:lang w:eastAsia="zh-CN"/>
        </w:rPr>
        <w:t>住房保障</w:t>
      </w:r>
      <w:r>
        <w:rPr>
          <w:rFonts w:hint="eastAsia" w:ascii="仿宋_GB2312" w:eastAsia="仿宋_GB2312"/>
          <w:sz w:val="28"/>
          <w:szCs w:val="28"/>
        </w:rPr>
        <w:t>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179.44</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default" w:ascii="仿宋_GB2312" w:eastAsia="仿宋_GB2312"/>
          <w:sz w:val="28"/>
          <w:szCs w:val="28"/>
          <w:lang w:val="en-US" w:eastAsia="zh-CN"/>
        </w:rPr>
        <w:t>55.21</w:t>
      </w:r>
      <w:r>
        <w:rPr>
          <w:rFonts w:hint="eastAsia" w:ascii="仿宋_GB2312" w:eastAsia="仿宋_GB2312"/>
          <w:sz w:val="28"/>
          <w:szCs w:val="28"/>
        </w:rPr>
        <w:t>万元，</w:t>
      </w:r>
      <w:r>
        <w:rPr>
          <w:rFonts w:hint="eastAsia" w:ascii="仿宋_GB2312" w:eastAsia="仿宋_GB2312"/>
          <w:sz w:val="28"/>
          <w:szCs w:val="28"/>
          <w:lang w:eastAsia="zh-CN"/>
        </w:rPr>
        <w:t>增加</w:t>
      </w:r>
      <w:r>
        <w:rPr>
          <w:rFonts w:hint="default" w:ascii="仿宋_GB2312" w:eastAsia="仿宋_GB2312"/>
          <w:sz w:val="28"/>
          <w:szCs w:val="28"/>
          <w:lang w:val="en-US" w:eastAsia="zh-CN"/>
        </w:rPr>
        <w:t>44.44</w:t>
      </w:r>
      <w:r>
        <w:rPr>
          <w:rFonts w:hint="eastAsia" w:ascii="仿宋_GB2312" w:eastAsia="仿宋_GB2312"/>
          <w:sz w:val="28"/>
          <w:szCs w:val="28"/>
        </w:rPr>
        <w:t>%。其中：</w:t>
      </w:r>
    </w:p>
    <w:p w14:paraId="1043FC87">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住房改革</w:t>
      </w:r>
      <w:r>
        <w:rPr>
          <w:rFonts w:hint="eastAsia" w:ascii="仿宋_GB2312" w:eastAsia="仿宋_GB2312"/>
          <w:sz w:val="28"/>
          <w:szCs w:val="28"/>
        </w:rPr>
        <w:t>支出”202</w:t>
      </w:r>
      <w:r>
        <w:rPr>
          <w:rFonts w:hint="default" w:ascii="仿宋_GB2312" w:eastAsia="仿宋_GB2312"/>
          <w:sz w:val="28"/>
          <w:szCs w:val="28"/>
          <w:lang w:val="en-US"/>
        </w:rPr>
        <w:t>4</w:t>
      </w:r>
      <w:r>
        <w:rPr>
          <w:rFonts w:hint="eastAsia" w:ascii="仿宋_GB2312" w:eastAsia="仿宋_GB2312"/>
          <w:sz w:val="28"/>
          <w:szCs w:val="28"/>
        </w:rPr>
        <w:t>年度决算</w:t>
      </w:r>
      <w:r>
        <w:rPr>
          <w:rFonts w:hint="default" w:ascii="仿宋_GB2312" w:eastAsia="仿宋_GB2312"/>
          <w:sz w:val="28"/>
          <w:szCs w:val="28"/>
          <w:lang w:val="en-US"/>
        </w:rPr>
        <w:t>179.44</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年年初预算</w:t>
      </w:r>
      <w:r>
        <w:rPr>
          <w:rFonts w:hint="eastAsia" w:ascii="仿宋_GB2312" w:eastAsia="仿宋_GB2312"/>
          <w:sz w:val="28"/>
          <w:szCs w:val="28"/>
          <w:lang w:eastAsia="zh-CN"/>
        </w:rPr>
        <w:t>增加</w:t>
      </w:r>
      <w:r>
        <w:rPr>
          <w:rFonts w:hint="default" w:ascii="仿宋_GB2312" w:eastAsia="仿宋_GB2312"/>
          <w:sz w:val="28"/>
          <w:szCs w:val="28"/>
          <w:lang w:val="en-US" w:eastAsia="zh-CN"/>
        </w:rPr>
        <w:t>55.21</w:t>
      </w:r>
      <w:r>
        <w:rPr>
          <w:rFonts w:hint="eastAsia" w:ascii="仿宋_GB2312" w:eastAsia="仿宋_GB2312"/>
          <w:sz w:val="28"/>
          <w:szCs w:val="28"/>
        </w:rPr>
        <w:t>万元，</w:t>
      </w:r>
      <w:r>
        <w:rPr>
          <w:rFonts w:hint="eastAsia" w:ascii="仿宋_GB2312" w:eastAsia="仿宋_GB2312"/>
          <w:sz w:val="28"/>
          <w:szCs w:val="28"/>
          <w:lang w:eastAsia="zh-CN"/>
        </w:rPr>
        <w:t>增加</w:t>
      </w:r>
      <w:r>
        <w:rPr>
          <w:rFonts w:hint="default" w:ascii="仿宋_GB2312" w:eastAsia="仿宋_GB2312"/>
          <w:sz w:val="28"/>
          <w:szCs w:val="28"/>
          <w:lang w:val="en-US" w:eastAsia="zh-CN"/>
        </w:rPr>
        <w:t>44.44</w:t>
      </w:r>
      <w:r>
        <w:rPr>
          <w:rFonts w:hint="eastAsia" w:ascii="仿宋_GB2312" w:eastAsia="仿宋_GB2312"/>
          <w:sz w:val="28"/>
          <w:szCs w:val="28"/>
        </w:rPr>
        <w:t>%。主要原因：由于在职职工</w:t>
      </w:r>
      <w:r>
        <w:rPr>
          <w:rFonts w:hint="eastAsia" w:ascii="仿宋_GB2312" w:eastAsia="仿宋_GB2312"/>
          <w:sz w:val="28"/>
          <w:szCs w:val="28"/>
          <w:lang w:eastAsia="zh-CN"/>
        </w:rPr>
        <w:t>发放住房补贴</w:t>
      </w:r>
      <w:r>
        <w:rPr>
          <w:rFonts w:hint="eastAsia" w:ascii="仿宋_GB2312" w:eastAsia="仿宋_GB2312"/>
          <w:sz w:val="28"/>
          <w:szCs w:val="28"/>
        </w:rPr>
        <w:t>，造成</w:t>
      </w:r>
      <w:r>
        <w:rPr>
          <w:rFonts w:hint="eastAsia" w:ascii="仿宋_GB2312" w:eastAsia="仿宋_GB2312"/>
          <w:sz w:val="28"/>
          <w:szCs w:val="28"/>
          <w:lang w:eastAsia="zh-CN"/>
        </w:rPr>
        <w:t>住房改革</w:t>
      </w:r>
      <w:r>
        <w:rPr>
          <w:rFonts w:hint="eastAsia" w:ascii="仿宋_GB2312" w:eastAsia="仿宋_GB2312"/>
          <w:sz w:val="28"/>
          <w:szCs w:val="28"/>
        </w:rPr>
        <w:t>支出与预算相比</w:t>
      </w:r>
      <w:r>
        <w:rPr>
          <w:rFonts w:hint="eastAsia" w:ascii="仿宋_GB2312" w:eastAsia="仿宋_GB2312"/>
          <w:sz w:val="28"/>
          <w:szCs w:val="28"/>
          <w:lang w:eastAsia="zh-CN"/>
        </w:rPr>
        <w:t>增幅较大</w:t>
      </w:r>
      <w:r>
        <w:rPr>
          <w:rFonts w:hint="eastAsia" w:ascii="仿宋_GB2312" w:eastAsia="仿宋_GB2312"/>
          <w:sz w:val="28"/>
          <w:szCs w:val="28"/>
        </w:rPr>
        <w:t>。</w:t>
      </w:r>
    </w:p>
    <w:p w14:paraId="2F342B0F">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14:paraId="2AB5704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w:t>
      </w:r>
      <w:r>
        <w:rPr>
          <w:rFonts w:hint="default" w:ascii="仿宋_GB2312" w:eastAsia="仿宋_GB2312"/>
          <w:sz w:val="28"/>
          <w:szCs w:val="28"/>
          <w:lang w:val="en-US"/>
        </w:rPr>
        <w:t>4</w:t>
      </w:r>
      <w:r>
        <w:rPr>
          <w:rFonts w:hint="eastAsia" w:ascii="仿宋_GB2312" w:eastAsia="仿宋_GB2312"/>
          <w:sz w:val="28"/>
          <w:szCs w:val="28"/>
        </w:rPr>
        <w:t>年度无政府性基金预算财政拨款安排的支出。</w:t>
      </w:r>
    </w:p>
    <w:p w14:paraId="64CE591E">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14:paraId="786A468D">
      <w:pPr>
        <w:ind w:firstLine="537" w:firstLineChars="192"/>
        <w:rPr>
          <w:rFonts w:hint="eastAsia" w:ascii="仿宋_GB2312" w:eastAsia="仿宋_GB2312"/>
          <w:sz w:val="28"/>
          <w:szCs w:val="28"/>
        </w:rPr>
      </w:pPr>
      <w:r>
        <w:rPr>
          <w:rFonts w:hint="eastAsia" w:ascii="仿宋_GB2312" w:eastAsia="仿宋_GB2312"/>
          <w:sz w:val="28"/>
          <w:szCs w:val="28"/>
        </w:rPr>
        <w:t>本单位202</w:t>
      </w:r>
      <w:r>
        <w:rPr>
          <w:rFonts w:hint="default" w:ascii="仿宋_GB2312" w:eastAsia="仿宋_GB2312"/>
          <w:sz w:val="28"/>
          <w:szCs w:val="28"/>
          <w:lang w:val="en-US"/>
        </w:rPr>
        <w:t>4</w:t>
      </w:r>
      <w:r>
        <w:rPr>
          <w:rFonts w:hint="eastAsia" w:ascii="仿宋_GB2312" w:eastAsia="仿宋_GB2312"/>
          <w:sz w:val="28"/>
          <w:szCs w:val="28"/>
        </w:rPr>
        <w:t>年度无国有资本经营预算财政拨款安排的支出。</w:t>
      </w:r>
    </w:p>
    <w:p w14:paraId="29867F95">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14:paraId="1E1F8C57">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w:t>
      </w:r>
      <w:r>
        <w:rPr>
          <w:rFonts w:hint="default" w:ascii="仿宋_GB2312" w:eastAsia="仿宋_GB2312"/>
          <w:sz w:val="28"/>
          <w:szCs w:val="28"/>
          <w:lang w:val="en-US"/>
        </w:rPr>
        <w:t>4</w:t>
      </w:r>
      <w:r>
        <w:rPr>
          <w:rFonts w:hint="eastAsia" w:ascii="仿宋_GB2312" w:eastAsia="仿宋_GB2312"/>
          <w:sz w:val="28"/>
          <w:szCs w:val="28"/>
        </w:rPr>
        <w:t>年度使用一般公共预算财政拨款安排基本支出</w:t>
      </w:r>
      <w:r>
        <w:rPr>
          <w:rFonts w:hint="default" w:ascii="仿宋_GB2312" w:eastAsia="仿宋_GB2312"/>
          <w:sz w:val="28"/>
          <w:szCs w:val="28"/>
          <w:lang w:val="en-US"/>
        </w:rPr>
        <w:t>4162.73</w:t>
      </w:r>
      <w:r>
        <w:rPr>
          <w:rFonts w:hint="eastAsia" w:ascii="仿宋_GB2312" w:eastAsia="仿宋_GB2312"/>
          <w:sz w:val="28"/>
          <w:szCs w:val="28"/>
        </w:rPr>
        <w:t>万元，使用政府性基金财政拨款安排基本支出</w:t>
      </w:r>
      <w:r>
        <w:rPr>
          <w:rFonts w:hint="default" w:ascii="仿宋_GB2312" w:eastAsia="仿宋_GB2312"/>
          <w:sz w:val="28"/>
          <w:szCs w:val="28"/>
          <w:lang w:val="en-US"/>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default" w:ascii="仿宋_GB2312" w:eastAsia="仿宋_GB2312"/>
          <w:sz w:val="28"/>
          <w:szCs w:val="28"/>
          <w:lang w:val="en-US"/>
        </w:rPr>
        <w:t>0</w:t>
      </w:r>
      <w:r>
        <w:rPr>
          <w:rFonts w:hint="eastAsia" w:ascii="仿宋_GB2312" w:eastAsia="仿宋_GB2312"/>
          <w:sz w:val="28"/>
          <w:szCs w:val="28"/>
        </w:rPr>
        <w:t>万元，其中：（1）工资福利支出包括基本工资</w:t>
      </w:r>
      <w:r>
        <w:rPr>
          <w:rFonts w:ascii="仿宋_GB2312" w:eastAsia="仿宋_GB2312"/>
          <w:sz w:val="28"/>
          <w:szCs w:val="28"/>
        </w:rPr>
        <w:t>、津贴补贴、绩效工资、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办公费、手续费、水费、电费、邮电费、取暖费、维修（护）费、租赁费、培训费、专用材料费、劳务费、委托业务费、工会经费、福利费、公务用车运行维护费、其他交通费、其他商品和服务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46D9D07">
      <w:pPr>
        <w:tabs>
          <w:tab w:val="center" w:pos="6979"/>
        </w:tabs>
        <w:jc w:val="center"/>
        <w:rPr>
          <w:rFonts w:hint="eastAsia" w:ascii="宋体" w:hAnsi="宋体" w:cs="宋体"/>
          <w:b/>
          <w:bCs/>
          <w:spacing w:val="40"/>
          <w:kern w:val="0"/>
          <w:sz w:val="32"/>
          <w:szCs w:val="32"/>
        </w:rPr>
      </w:pPr>
    </w:p>
    <w:p w14:paraId="4D41B04F">
      <w:pPr>
        <w:tabs>
          <w:tab w:val="center" w:pos="6979"/>
        </w:tabs>
        <w:jc w:val="center"/>
        <w:rPr>
          <w:rFonts w:hint="eastAsia" w:ascii="宋体" w:hAnsi="宋体" w:cs="宋体"/>
          <w:b/>
          <w:bCs/>
          <w:spacing w:val="40"/>
          <w:kern w:val="0"/>
          <w:sz w:val="32"/>
          <w:szCs w:val="32"/>
        </w:rPr>
      </w:pPr>
    </w:p>
    <w:p w14:paraId="6653694C">
      <w:pPr>
        <w:tabs>
          <w:tab w:val="center" w:pos="6979"/>
        </w:tabs>
        <w:jc w:val="center"/>
        <w:rPr>
          <w:rFonts w:hint="eastAsia" w:ascii="宋体" w:hAnsi="宋体" w:cs="宋体"/>
          <w:b/>
          <w:bCs/>
          <w:spacing w:val="40"/>
          <w:kern w:val="0"/>
          <w:sz w:val="32"/>
          <w:szCs w:val="32"/>
        </w:rPr>
      </w:pPr>
    </w:p>
    <w:p w14:paraId="3EB76D24">
      <w:pPr>
        <w:tabs>
          <w:tab w:val="center" w:pos="6979"/>
        </w:tabs>
        <w:jc w:val="both"/>
        <w:rPr>
          <w:rFonts w:hint="eastAsia" w:ascii="宋体" w:hAnsi="宋体" w:cs="宋体"/>
          <w:b/>
          <w:bCs/>
          <w:spacing w:val="40"/>
          <w:kern w:val="0"/>
          <w:sz w:val="32"/>
          <w:szCs w:val="32"/>
        </w:rPr>
      </w:pPr>
    </w:p>
    <w:p w14:paraId="2489D86F">
      <w:pPr>
        <w:tabs>
          <w:tab w:val="center" w:pos="6979"/>
        </w:tabs>
        <w:jc w:val="both"/>
        <w:rPr>
          <w:rFonts w:hint="eastAsia" w:ascii="宋体" w:hAnsi="宋体" w:cs="宋体"/>
          <w:b/>
          <w:bCs/>
          <w:spacing w:val="40"/>
          <w:kern w:val="0"/>
          <w:sz w:val="32"/>
          <w:szCs w:val="32"/>
        </w:rPr>
      </w:pPr>
    </w:p>
    <w:p w14:paraId="0C3A67E5">
      <w:pPr>
        <w:tabs>
          <w:tab w:val="center" w:pos="6979"/>
        </w:tabs>
        <w:jc w:val="both"/>
        <w:rPr>
          <w:rFonts w:hint="eastAsia" w:ascii="宋体" w:hAnsi="宋体" w:cs="宋体"/>
          <w:b/>
          <w:bCs/>
          <w:spacing w:val="40"/>
          <w:kern w:val="0"/>
          <w:sz w:val="32"/>
          <w:szCs w:val="32"/>
        </w:rPr>
      </w:pPr>
    </w:p>
    <w:p w14:paraId="6559AC34">
      <w:pPr>
        <w:tabs>
          <w:tab w:val="center" w:pos="6979"/>
        </w:tabs>
        <w:jc w:val="both"/>
        <w:rPr>
          <w:rFonts w:hint="eastAsia" w:ascii="宋体" w:hAnsi="宋体" w:cs="宋体"/>
          <w:b/>
          <w:bCs/>
          <w:spacing w:val="40"/>
          <w:kern w:val="0"/>
          <w:sz w:val="32"/>
          <w:szCs w:val="32"/>
        </w:rPr>
      </w:pPr>
    </w:p>
    <w:p w14:paraId="1E1FC44F">
      <w:pPr>
        <w:tabs>
          <w:tab w:val="center" w:pos="6979"/>
        </w:tabs>
        <w:jc w:val="both"/>
        <w:rPr>
          <w:rFonts w:hint="eastAsia" w:ascii="宋体" w:hAnsi="宋体" w:cs="宋体"/>
          <w:b/>
          <w:bCs/>
          <w:spacing w:val="40"/>
          <w:kern w:val="0"/>
          <w:sz w:val="32"/>
          <w:szCs w:val="32"/>
        </w:rPr>
      </w:pPr>
    </w:p>
    <w:p w14:paraId="633B6E0A">
      <w:pPr>
        <w:tabs>
          <w:tab w:val="center" w:pos="6979"/>
        </w:tabs>
        <w:jc w:val="both"/>
        <w:rPr>
          <w:rFonts w:hint="eastAsia" w:ascii="宋体" w:hAnsi="宋体" w:cs="宋体"/>
          <w:b/>
          <w:bCs/>
          <w:spacing w:val="40"/>
          <w:kern w:val="0"/>
          <w:sz w:val="32"/>
          <w:szCs w:val="32"/>
        </w:rPr>
      </w:pPr>
    </w:p>
    <w:p w14:paraId="10427083">
      <w:pPr>
        <w:tabs>
          <w:tab w:val="center" w:pos="6979"/>
        </w:tabs>
        <w:jc w:val="both"/>
        <w:rPr>
          <w:rFonts w:hint="eastAsia" w:ascii="宋体" w:hAnsi="宋体" w:cs="宋体"/>
          <w:b/>
          <w:bCs/>
          <w:spacing w:val="40"/>
          <w:kern w:val="0"/>
          <w:sz w:val="32"/>
          <w:szCs w:val="32"/>
        </w:rPr>
      </w:pPr>
    </w:p>
    <w:p w14:paraId="405970A2">
      <w:pPr>
        <w:tabs>
          <w:tab w:val="center" w:pos="6979"/>
        </w:tabs>
        <w:jc w:val="both"/>
        <w:rPr>
          <w:rFonts w:hint="eastAsia" w:ascii="宋体" w:hAnsi="宋体" w:cs="宋体"/>
          <w:b/>
          <w:bCs/>
          <w:spacing w:val="40"/>
          <w:kern w:val="0"/>
          <w:sz w:val="32"/>
          <w:szCs w:val="32"/>
        </w:rPr>
      </w:pPr>
    </w:p>
    <w:p w14:paraId="264DAFD9">
      <w:pPr>
        <w:tabs>
          <w:tab w:val="center" w:pos="6979"/>
        </w:tabs>
        <w:jc w:val="center"/>
        <w:rPr>
          <w:rFonts w:hint="eastAsia" w:ascii="宋体" w:hAnsi="宋体" w:cs="宋体"/>
          <w:b/>
          <w:bCs/>
          <w:spacing w:val="40"/>
          <w:kern w:val="0"/>
          <w:sz w:val="32"/>
          <w:szCs w:val="32"/>
        </w:rPr>
      </w:pPr>
    </w:p>
    <w:p w14:paraId="1E519409">
      <w:pPr>
        <w:tabs>
          <w:tab w:val="center" w:pos="6979"/>
        </w:tabs>
        <w:jc w:val="center"/>
        <w:rPr>
          <w:rFonts w:hint="eastAsia" w:ascii="宋体" w:hAnsi="宋体" w:cs="宋体"/>
          <w:b/>
          <w:bCs/>
          <w:spacing w:val="40"/>
          <w:kern w:val="0"/>
          <w:sz w:val="32"/>
          <w:szCs w:val="32"/>
        </w:rPr>
      </w:pPr>
    </w:p>
    <w:p w14:paraId="1328123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58CE4511">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14:paraId="7C694BB3">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default" w:ascii="仿宋_GB2312" w:eastAsia="仿宋_GB2312"/>
          <w:bCs/>
          <w:sz w:val="28"/>
          <w:szCs w:val="28"/>
          <w:lang w:val="en-US"/>
        </w:rPr>
        <w:t>0</w:t>
      </w:r>
      <w:r>
        <w:rPr>
          <w:rFonts w:hint="eastAsia" w:ascii="仿宋_GB2312" w:eastAsia="仿宋_GB2312"/>
          <w:sz w:val="28"/>
          <w:szCs w:val="28"/>
        </w:rPr>
        <w:t>个行政单位、</w:t>
      </w:r>
      <w:r>
        <w:rPr>
          <w:rFonts w:hint="default" w:ascii="仿宋_GB2312" w:eastAsia="仿宋_GB2312"/>
          <w:sz w:val="28"/>
          <w:szCs w:val="28"/>
          <w:lang w:val="en-US"/>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default" w:ascii="仿宋_GB2312" w:eastAsia="仿宋_GB2312"/>
          <w:bCs/>
          <w:sz w:val="28"/>
          <w:szCs w:val="28"/>
          <w:lang w:val="en-US"/>
        </w:rPr>
        <w:t>0</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年度“三公”经费财政拨款年初预算</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万元。其中：</w:t>
      </w:r>
    </w:p>
    <w:p w14:paraId="0921727E">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default" w:ascii="仿宋_GB2312" w:eastAsia="仿宋_GB2312"/>
          <w:sz w:val="28"/>
          <w:szCs w:val="28"/>
          <w:lang w:val="en-US"/>
        </w:rPr>
        <w:t>4</w:t>
      </w:r>
      <w:r>
        <w:rPr>
          <w:rFonts w:hint="eastAsia" w:ascii="仿宋_GB2312" w:eastAsia="仿宋_GB2312"/>
          <w:sz w:val="28"/>
          <w:szCs w:val="28"/>
        </w:rPr>
        <w:t>年度决算数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年度年初预算数</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万元。主要原因：本单位202</w:t>
      </w:r>
      <w:r>
        <w:rPr>
          <w:rFonts w:hint="default" w:ascii="仿宋_GB2312" w:eastAsia="仿宋_GB2312"/>
          <w:sz w:val="28"/>
          <w:szCs w:val="28"/>
          <w:lang w:val="en-US"/>
        </w:rPr>
        <w:t>4</w:t>
      </w:r>
      <w:r>
        <w:rPr>
          <w:rFonts w:hint="eastAsia" w:ascii="仿宋_GB2312" w:eastAsia="仿宋_GB2312"/>
          <w:sz w:val="28"/>
          <w:szCs w:val="28"/>
        </w:rPr>
        <w:t>年度无因公出国（境）费用；202</w:t>
      </w:r>
      <w:r>
        <w:rPr>
          <w:rFonts w:hint="default" w:ascii="仿宋_GB2312" w:eastAsia="仿宋_GB2312"/>
          <w:sz w:val="28"/>
          <w:szCs w:val="28"/>
          <w:lang w:val="en-US"/>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因公出国（境）费用，202</w:t>
      </w:r>
      <w:r>
        <w:rPr>
          <w:rFonts w:hint="default" w:ascii="仿宋_GB2312" w:eastAsia="仿宋_GB2312"/>
          <w:sz w:val="28"/>
          <w:szCs w:val="28"/>
          <w:lang w:val="en-US"/>
        </w:rPr>
        <w:t>4</w:t>
      </w:r>
      <w:r>
        <w:rPr>
          <w:rFonts w:hint="eastAsia" w:ascii="仿宋_GB2312" w:eastAsia="仿宋_GB2312"/>
          <w:sz w:val="28"/>
          <w:szCs w:val="28"/>
        </w:rPr>
        <w:t>年度组织因公出国（境）团组</w:t>
      </w:r>
      <w:r>
        <w:rPr>
          <w:rFonts w:hint="default" w:ascii="仿宋_GB2312" w:eastAsia="仿宋_GB2312"/>
          <w:sz w:val="28"/>
          <w:szCs w:val="28"/>
          <w:lang w:val="en-US"/>
        </w:rPr>
        <w:t>0</w:t>
      </w:r>
      <w:r>
        <w:rPr>
          <w:rFonts w:hint="eastAsia" w:ascii="仿宋_GB2312" w:eastAsia="仿宋_GB2312"/>
          <w:sz w:val="28"/>
          <w:szCs w:val="28"/>
        </w:rPr>
        <w:t>个、</w:t>
      </w:r>
      <w:r>
        <w:rPr>
          <w:rFonts w:hint="default" w:ascii="仿宋_GB2312" w:eastAsia="仿宋_GB2312"/>
          <w:sz w:val="28"/>
          <w:szCs w:val="28"/>
          <w:lang w:val="en-US"/>
        </w:rPr>
        <w:t>0</w:t>
      </w:r>
      <w:r>
        <w:rPr>
          <w:rFonts w:hint="eastAsia" w:ascii="仿宋_GB2312" w:eastAsia="仿宋_GB2312"/>
          <w:sz w:val="28"/>
          <w:szCs w:val="28"/>
        </w:rPr>
        <w:t>人次，人均因公出国（境）费用</w:t>
      </w:r>
      <w:r>
        <w:rPr>
          <w:rFonts w:hint="default" w:ascii="仿宋_GB2312" w:eastAsia="仿宋_GB2312"/>
          <w:sz w:val="28"/>
          <w:szCs w:val="28"/>
          <w:lang w:val="en-US"/>
        </w:rPr>
        <w:t>0</w:t>
      </w:r>
      <w:r>
        <w:rPr>
          <w:rFonts w:hint="eastAsia" w:ascii="仿宋_GB2312" w:eastAsia="仿宋_GB2312"/>
          <w:sz w:val="28"/>
          <w:szCs w:val="28"/>
        </w:rPr>
        <w:t>万元。</w:t>
      </w:r>
    </w:p>
    <w:p w14:paraId="010D6B4A">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default" w:ascii="仿宋_GB2312" w:eastAsia="仿宋_GB2312"/>
          <w:sz w:val="28"/>
          <w:szCs w:val="28"/>
          <w:lang w:val="en-US"/>
        </w:rPr>
        <w:t>4</w:t>
      </w:r>
      <w:r>
        <w:rPr>
          <w:rFonts w:hint="eastAsia" w:ascii="仿宋_GB2312" w:eastAsia="仿宋_GB2312"/>
          <w:sz w:val="28"/>
          <w:szCs w:val="28"/>
        </w:rPr>
        <w:t>年度决算数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年度年初预算数</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万元。主要原因：本单位202</w:t>
      </w:r>
      <w:r>
        <w:rPr>
          <w:rFonts w:hint="default" w:ascii="仿宋_GB2312" w:eastAsia="仿宋_GB2312"/>
          <w:sz w:val="28"/>
          <w:szCs w:val="28"/>
          <w:lang w:val="en-US"/>
        </w:rPr>
        <w:t>3</w:t>
      </w:r>
      <w:r>
        <w:rPr>
          <w:rFonts w:hint="eastAsia" w:ascii="仿宋_GB2312" w:eastAsia="仿宋_GB2312"/>
          <w:sz w:val="28"/>
          <w:szCs w:val="28"/>
        </w:rPr>
        <w:t>年度无公务接待费。202</w:t>
      </w:r>
      <w:r>
        <w:rPr>
          <w:rFonts w:hint="default" w:ascii="仿宋_GB2312" w:eastAsia="仿宋_GB2312"/>
          <w:sz w:val="28"/>
          <w:szCs w:val="28"/>
          <w:lang w:val="en-US"/>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公务接待费。公务接待</w:t>
      </w:r>
      <w:r>
        <w:rPr>
          <w:rFonts w:hint="default" w:ascii="仿宋_GB2312" w:eastAsia="仿宋_GB2312"/>
          <w:sz w:val="28"/>
          <w:szCs w:val="28"/>
          <w:lang w:val="en-US"/>
        </w:rPr>
        <w:t>0</w:t>
      </w:r>
      <w:r>
        <w:rPr>
          <w:rFonts w:hint="eastAsia" w:ascii="仿宋_GB2312" w:eastAsia="仿宋_GB2312"/>
          <w:sz w:val="28"/>
          <w:szCs w:val="28"/>
        </w:rPr>
        <w:t>批次，公务接待</w:t>
      </w:r>
      <w:r>
        <w:rPr>
          <w:rFonts w:hint="default" w:ascii="仿宋_GB2312" w:eastAsia="仿宋_GB2312"/>
          <w:sz w:val="28"/>
          <w:szCs w:val="28"/>
          <w:lang w:val="en-US"/>
        </w:rPr>
        <w:t>0</w:t>
      </w:r>
      <w:r>
        <w:rPr>
          <w:rFonts w:hint="eastAsia" w:ascii="仿宋_GB2312" w:eastAsia="仿宋_GB2312"/>
          <w:sz w:val="28"/>
          <w:szCs w:val="28"/>
        </w:rPr>
        <w:t>人次。</w:t>
      </w:r>
    </w:p>
    <w:p w14:paraId="45C879D1">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default" w:ascii="仿宋_GB2312" w:eastAsia="仿宋_GB2312"/>
          <w:sz w:val="28"/>
          <w:szCs w:val="28"/>
          <w:lang w:val="en-US"/>
        </w:rPr>
        <w:t>4</w:t>
      </w:r>
      <w:r>
        <w:rPr>
          <w:rFonts w:hint="eastAsia" w:ascii="仿宋_GB2312" w:eastAsia="仿宋_GB2312"/>
          <w:sz w:val="28"/>
          <w:szCs w:val="28"/>
        </w:rPr>
        <w:t>年度决算数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年度年初预算数</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万元。其中，公务用车购置费202</w:t>
      </w:r>
      <w:r>
        <w:rPr>
          <w:rFonts w:hint="default" w:ascii="仿宋_GB2312" w:eastAsia="仿宋_GB2312"/>
          <w:sz w:val="28"/>
          <w:szCs w:val="28"/>
          <w:lang w:val="en-US"/>
        </w:rPr>
        <w:t>4</w:t>
      </w:r>
      <w:r>
        <w:rPr>
          <w:rFonts w:hint="eastAsia" w:ascii="仿宋_GB2312" w:eastAsia="仿宋_GB2312"/>
          <w:sz w:val="28"/>
          <w:szCs w:val="28"/>
        </w:rPr>
        <w:t>年度决算数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年度年初预算数</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万元。主要原因：本单位202</w:t>
      </w:r>
      <w:r>
        <w:rPr>
          <w:rFonts w:hint="default" w:ascii="仿宋_GB2312" w:eastAsia="仿宋_GB2312"/>
          <w:sz w:val="28"/>
          <w:szCs w:val="28"/>
          <w:lang w:val="en-US"/>
        </w:rPr>
        <w:t>4</w:t>
      </w:r>
      <w:r>
        <w:rPr>
          <w:rFonts w:hint="eastAsia" w:ascii="仿宋_GB2312" w:eastAsia="仿宋_GB2312"/>
          <w:sz w:val="28"/>
          <w:szCs w:val="28"/>
        </w:rPr>
        <w:t>年度无公务用车购置，202</w:t>
      </w:r>
      <w:r>
        <w:rPr>
          <w:rFonts w:hint="default" w:ascii="仿宋_GB2312" w:eastAsia="仿宋_GB2312"/>
          <w:sz w:val="28"/>
          <w:szCs w:val="28"/>
          <w:lang w:val="en-US"/>
        </w:rPr>
        <w:t>4</w:t>
      </w:r>
      <w:r>
        <w:rPr>
          <w:rFonts w:hint="eastAsia" w:ascii="仿宋_GB2312" w:eastAsia="仿宋_GB2312"/>
          <w:sz w:val="28"/>
          <w:szCs w:val="28"/>
        </w:rPr>
        <w:t>年度购置（更新）</w:t>
      </w:r>
      <w:r>
        <w:rPr>
          <w:rFonts w:hint="default" w:ascii="仿宋_GB2312" w:eastAsia="仿宋_GB2312"/>
          <w:sz w:val="28"/>
          <w:szCs w:val="28"/>
          <w:lang w:val="en-US"/>
        </w:rPr>
        <w:t>0</w:t>
      </w:r>
      <w:r>
        <w:rPr>
          <w:rFonts w:hint="eastAsia" w:ascii="仿宋_GB2312" w:eastAsia="仿宋_GB2312"/>
          <w:sz w:val="28"/>
          <w:szCs w:val="28"/>
        </w:rPr>
        <w:t>辆，车均购置费</w:t>
      </w:r>
      <w:r>
        <w:rPr>
          <w:rFonts w:hint="default" w:ascii="仿宋_GB2312" w:eastAsia="仿宋_GB2312"/>
          <w:sz w:val="28"/>
          <w:szCs w:val="28"/>
          <w:lang w:val="en-US"/>
        </w:rPr>
        <w:t>0</w:t>
      </w:r>
      <w:r>
        <w:rPr>
          <w:rFonts w:hint="eastAsia" w:ascii="仿宋_GB2312" w:eastAsia="仿宋_GB2312"/>
          <w:sz w:val="28"/>
          <w:szCs w:val="28"/>
        </w:rPr>
        <w:t>万元。公务用车运行维护费202</w:t>
      </w:r>
      <w:r>
        <w:rPr>
          <w:rFonts w:hint="default" w:ascii="仿宋_GB2312" w:eastAsia="仿宋_GB2312"/>
          <w:sz w:val="28"/>
          <w:szCs w:val="28"/>
          <w:lang w:val="en-US"/>
        </w:rPr>
        <w:t>4</w:t>
      </w:r>
      <w:r>
        <w:rPr>
          <w:rFonts w:hint="eastAsia" w:ascii="仿宋_GB2312" w:eastAsia="仿宋_GB2312"/>
          <w:sz w:val="28"/>
          <w:szCs w:val="28"/>
        </w:rPr>
        <w:t>年度决算数</w:t>
      </w:r>
      <w:r>
        <w:rPr>
          <w:rFonts w:hint="default" w:ascii="仿宋_GB2312" w:eastAsia="仿宋_GB2312"/>
          <w:sz w:val="28"/>
          <w:szCs w:val="28"/>
          <w:lang w:val="en-US"/>
        </w:rPr>
        <w:t>0</w:t>
      </w:r>
      <w:r>
        <w:rPr>
          <w:rFonts w:hint="eastAsia" w:ascii="仿宋_GB2312" w:eastAsia="仿宋_GB2312"/>
          <w:sz w:val="28"/>
          <w:szCs w:val="28"/>
        </w:rPr>
        <w:t>万元，比202</w:t>
      </w:r>
      <w:r>
        <w:rPr>
          <w:rFonts w:hint="default" w:ascii="仿宋_GB2312" w:eastAsia="仿宋_GB2312"/>
          <w:sz w:val="28"/>
          <w:szCs w:val="28"/>
          <w:lang w:val="en-US"/>
        </w:rPr>
        <w:t>4</w:t>
      </w:r>
      <w:r>
        <w:rPr>
          <w:rFonts w:hint="eastAsia" w:ascii="仿宋_GB2312" w:eastAsia="仿宋_GB2312"/>
          <w:sz w:val="28"/>
          <w:szCs w:val="28"/>
        </w:rPr>
        <w:t>年度年初预算数</w:t>
      </w:r>
      <w:r>
        <w:rPr>
          <w:rFonts w:hint="default" w:ascii="仿宋_GB2312" w:eastAsia="仿宋_GB2312"/>
          <w:sz w:val="28"/>
          <w:szCs w:val="28"/>
          <w:lang w:val="en-US"/>
        </w:rPr>
        <w:t>0</w:t>
      </w:r>
      <w:r>
        <w:rPr>
          <w:rFonts w:hint="eastAsia" w:ascii="仿宋_GB2312" w:eastAsia="仿宋_GB2312"/>
          <w:sz w:val="28"/>
          <w:szCs w:val="28"/>
        </w:rPr>
        <w:t>万元增加（减少）</w:t>
      </w:r>
      <w:r>
        <w:rPr>
          <w:rFonts w:hint="default" w:ascii="仿宋_GB2312" w:eastAsia="仿宋_GB2312"/>
          <w:sz w:val="28"/>
          <w:szCs w:val="28"/>
          <w:lang w:val="en-US"/>
        </w:rPr>
        <w:t>0</w:t>
      </w:r>
      <w:r>
        <w:rPr>
          <w:rFonts w:hint="eastAsia" w:ascii="仿宋_GB2312" w:eastAsia="仿宋_GB2312"/>
          <w:sz w:val="28"/>
          <w:szCs w:val="28"/>
        </w:rPr>
        <w:t>万元，主要原因：本单位202</w:t>
      </w:r>
      <w:r>
        <w:rPr>
          <w:rFonts w:hint="default" w:ascii="仿宋_GB2312" w:eastAsia="仿宋_GB2312"/>
          <w:sz w:val="28"/>
          <w:szCs w:val="28"/>
          <w:lang w:val="en-US"/>
        </w:rPr>
        <w:t>4</w:t>
      </w:r>
      <w:r>
        <w:rPr>
          <w:rFonts w:hint="eastAsia" w:ascii="仿宋_GB2312" w:eastAsia="仿宋_GB2312"/>
          <w:sz w:val="28"/>
          <w:szCs w:val="28"/>
        </w:rPr>
        <w:t>年度无公务用车运行维护。202</w:t>
      </w:r>
      <w:r>
        <w:rPr>
          <w:rFonts w:hint="default" w:ascii="仿宋_GB2312" w:eastAsia="仿宋_GB2312"/>
          <w:sz w:val="28"/>
          <w:szCs w:val="28"/>
          <w:lang w:val="en-US"/>
        </w:rPr>
        <w:t>4</w:t>
      </w:r>
      <w:r>
        <w:rPr>
          <w:rFonts w:hint="eastAsia" w:ascii="仿宋_GB2312" w:eastAsia="仿宋_GB2312"/>
          <w:sz w:val="28"/>
          <w:szCs w:val="28"/>
        </w:rPr>
        <w:t>年度公务用车运行维护费中，公务用车加油</w:t>
      </w:r>
      <w:r>
        <w:rPr>
          <w:rFonts w:hint="default" w:ascii="仿宋_GB2312" w:eastAsia="仿宋_GB2312"/>
          <w:sz w:val="28"/>
          <w:szCs w:val="28"/>
          <w:lang w:val="en-US"/>
        </w:rPr>
        <w:t>0</w:t>
      </w:r>
      <w:r>
        <w:rPr>
          <w:rFonts w:hint="eastAsia" w:ascii="仿宋_GB2312" w:eastAsia="仿宋_GB2312"/>
          <w:sz w:val="28"/>
          <w:szCs w:val="28"/>
        </w:rPr>
        <w:t>万元，公务用车维修</w:t>
      </w:r>
      <w:r>
        <w:rPr>
          <w:rFonts w:hint="default" w:ascii="仿宋_GB2312" w:eastAsia="仿宋_GB2312"/>
          <w:sz w:val="28"/>
          <w:szCs w:val="28"/>
          <w:lang w:val="en-US"/>
        </w:rPr>
        <w:t>0</w:t>
      </w:r>
      <w:r>
        <w:rPr>
          <w:rFonts w:hint="eastAsia" w:ascii="仿宋_GB2312" w:eastAsia="仿宋_GB2312"/>
          <w:sz w:val="28"/>
          <w:szCs w:val="28"/>
        </w:rPr>
        <w:t>万元，公务用车保险</w:t>
      </w:r>
      <w:r>
        <w:rPr>
          <w:rFonts w:hint="default" w:ascii="仿宋_GB2312" w:eastAsia="仿宋_GB2312"/>
          <w:sz w:val="28"/>
          <w:szCs w:val="28"/>
          <w:lang w:val="en-US"/>
        </w:rPr>
        <w:t>0</w:t>
      </w:r>
      <w:r>
        <w:rPr>
          <w:rFonts w:hint="eastAsia" w:ascii="仿宋_GB2312" w:eastAsia="仿宋_GB2312"/>
          <w:sz w:val="28"/>
          <w:szCs w:val="28"/>
        </w:rPr>
        <w:t>万元，公务用车其他支出</w:t>
      </w:r>
      <w:r>
        <w:rPr>
          <w:rFonts w:hint="default" w:ascii="仿宋_GB2312" w:eastAsia="仿宋_GB2312"/>
          <w:sz w:val="28"/>
          <w:szCs w:val="28"/>
          <w:lang w:val="en-US"/>
        </w:rPr>
        <w:t>0</w:t>
      </w:r>
      <w:r>
        <w:rPr>
          <w:rFonts w:hint="eastAsia" w:ascii="仿宋_GB2312" w:eastAsia="仿宋_GB2312"/>
          <w:sz w:val="28"/>
          <w:szCs w:val="28"/>
        </w:rPr>
        <w:t>万元。202</w:t>
      </w:r>
      <w:r>
        <w:rPr>
          <w:rFonts w:hint="default" w:ascii="仿宋_GB2312" w:eastAsia="仿宋_GB2312"/>
          <w:sz w:val="28"/>
          <w:szCs w:val="28"/>
          <w:lang w:val="en-US"/>
        </w:rPr>
        <w:t>4</w:t>
      </w:r>
      <w:r>
        <w:rPr>
          <w:rFonts w:hint="eastAsia" w:ascii="仿宋_GB2312" w:eastAsia="仿宋_GB2312"/>
          <w:sz w:val="28"/>
          <w:szCs w:val="28"/>
        </w:rPr>
        <w:t>年度公务用车保有量</w:t>
      </w:r>
      <w:r>
        <w:rPr>
          <w:rFonts w:hint="default" w:ascii="仿宋_GB2312" w:eastAsia="仿宋_GB2312"/>
          <w:sz w:val="28"/>
          <w:szCs w:val="28"/>
          <w:lang w:val="en-US"/>
        </w:rPr>
        <w:t>0</w:t>
      </w:r>
      <w:r>
        <w:rPr>
          <w:rFonts w:hint="eastAsia" w:ascii="仿宋_GB2312" w:eastAsia="仿宋_GB2312"/>
          <w:sz w:val="28"/>
          <w:szCs w:val="28"/>
        </w:rPr>
        <w:t>辆，车均运行维护费</w:t>
      </w:r>
      <w:r>
        <w:rPr>
          <w:rFonts w:hint="default" w:ascii="仿宋_GB2312" w:eastAsia="仿宋_GB2312"/>
          <w:sz w:val="28"/>
          <w:szCs w:val="28"/>
          <w:lang w:val="en-US"/>
        </w:rPr>
        <w:t>0</w:t>
      </w:r>
      <w:r>
        <w:rPr>
          <w:rFonts w:hint="eastAsia" w:ascii="仿宋_GB2312" w:eastAsia="仿宋_GB2312"/>
          <w:sz w:val="28"/>
          <w:szCs w:val="28"/>
        </w:rPr>
        <w:t>万元。</w:t>
      </w:r>
    </w:p>
    <w:p w14:paraId="38E71757">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14:paraId="1343CC06">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728739B">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14:paraId="3228DD1F">
      <w:pPr>
        <w:ind w:firstLine="537" w:firstLineChars="192"/>
        <w:rPr>
          <w:rFonts w:hint="eastAsia" w:ascii="仿宋_GB2312" w:eastAsia="仿宋_GB2312"/>
          <w:sz w:val="28"/>
          <w:szCs w:val="28"/>
          <w:highlight w:val="none"/>
        </w:rPr>
      </w:pPr>
      <w:r>
        <w:rPr>
          <w:rFonts w:hint="eastAsia" w:ascii="仿宋_GB2312" w:eastAsia="仿宋_GB2312"/>
          <w:sz w:val="28"/>
          <w:szCs w:val="28"/>
        </w:rPr>
        <w:t>202</w:t>
      </w:r>
      <w:r>
        <w:rPr>
          <w:rFonts w:hint="default" w:ascii="仿宋_GB2312" w:eastAsia="仿宋_GB2312"/>
          <w:sz w:val="28"/>
          <w:szCs w:val="28"/>
          <w:lang w:val="en-US"/>
        </w:rPr>
        <w:t>4</w:t>
      </w:r>
      <w:r>
        <w:rPr>
          <w:rFonts w:hint="eastAsia" w:ascii="仿宋_GB2312" w:eastAsia="仿宋_GB2312"/>
          <w:sz w:val="28"/>
          <w:szCs w:val="28"/>
        </w:rPr>
        <w:t>年度政府采购支出总额</w:t>
      </w:r>
      <w:r>
        <w:rPr>
          <w:rFonts w:hint="default" w:ascii="仿宋_GB2312" w:eastAsia="仿宋_GB2312"/>
          <w:sz w:val="28"/>
          <w:szCs w:val="28"/>
          <w:lang w:val="en-US"/>
        </w:rPr>
        <w:t>101.29</w:t>
      </w:r>
      <w:r>
        <w:rPr>
          <w:rFonts w:hint="eastAsia" w:ascii="仿宋_GB2312" w:eastAsia="仿宋_GB2312"/>
          <w:sz w:val="28"/>
          <w:szCs w:val="28"/>
        </w:rPr>
        <w:t>万元，其中：政府采购货物支出</w:t>
      </w:r>
      <w:r>
        <w:rPr>
          <w:rFonts w:hint="default" w:ascii="仿宋_GB2312" w:eastAsia="仿宋_GB2312"/>
          <w:sz w:val="28"/>
          <w:szCs w:val="28"/>
          <w:lang w:val="en-US"/>
        </w:rPr>
        <w:t>19.39</w:t>
      </w:r>
      <w:r>
        <w:rPr>
          <w:rFonts w:hint="eastAsia" w:ascii="仿宋_GB2312" w:eastAsia="仿宋_GB2312"/>
          <w:sz w:val="28"/>
          <w:szCs w:val="28"/>
        </w:rPr>
        <w:t>万元，政府采购工程支出</w:t>
      </w:r>
      <w:r>
        <w:rPr>
          <w:rFonts w:hint="default" w:ascii="仿宋_GB2312" w:eastAsia="仿宋_GB2312"/>
          <w:sz w:val="28"/>
          <w:szCs w:val="28"/>
          <w:lang w:val="en-US"/>
        </w:rPr>
        <w:t>0</w:t>
      </w:r>
      <w:r>
        <w:rPr>
          <w:rFonts w:hint="eastAsia" w:ascii="仿宋_GB2312" w:eastAsia="仿宋_GB2312"/>
          <w:sz w:val="28"/>
          <w:szCs w:val="28"/>
        </w:rPr>
        <w:t>万元，政府采购服务支出</w:t>
      </w:r>
      <w:r>
        <w:rPr>
          <w:rFonts w:hint="default" w:ascii="仿宋_GB2312" w:eastAsia="仿宋_GB2312"/>
          <w:sz w:val="28"/>
          <w:szCs w:val="28"/>
          <w:lang w:val="en-US"/>
        </w:rPr>
        <w:t>81.90</w:t>
      </w:r>
      <w:r>
        <w:rPr>
          <w:rFonts w:hint="eastAsia" w:ascii="仿宋_GB2312" w:eastAsia="仿宋_GB2312"/>
          <w:sz w:val="28"/>
          <w:szCs w:val="28"/>
        </w:rPr>
        <w:t>万元。授予中小企业合同金额</w:t>
      </w:r>
      <w:r>
        <w:rPr>
          <w:rFonts w:hint="default" w:ascii="仿宋_GB2312" w:eastAsia="仿宋_GB2312"/>
          <w:sz w:val="28"/>
          <w:szCs w:val="28"/>
          <w:lang w:val="en-US"/>
        </w:rPr>
        <w:t>73.82</w:t>
      </w:r>
      <w:r>
        <w:rPr>
          <w:rFonts w:hint="eastAsia" w:ascii="仿宋_GB2312" w:eastAsia="仿宋_GB2312"/>
          <w:sz w:val="28"/>
          <w:szCs w:val="28"/>
        </w:rPr>
        <w:t>万元，占政府采购支出总额的</w:t>
      </w:r>
      <w:r>
        <w:rPr>
          <w:rFonts w:hint="default" w:ascii="仿宋_GB2312" w:eastAsia="仿宋_GB2312"/>
          <w:sz w:val="28"/>
          <w:szCs w:val="28"/>
          <w:lang w:val="en-US"/>
        </w:rPr>
        <w:t>72.88</w:t>
      </w:r>
      <w:r>
        <w:rPr>
          <w:rFonts w:hint="eastAsia" w:ascii="仿宋_GB2312" w:eastAsia="仿宋_GB2312"/>
          <w:sz w:val="28"/>
          <w:szCs w:val="28"/>
        </w:rPr>
        <w:t>%，其中：授予小微企业合同金额</w:t>
      </w:r>
      <w:r>
        <w:rPr>
          <w:rFonts w:hint="default" w:ascii="仿宋_GB2312" w:eastAsia="仿宋_GB2312"/>
          <w:sz w:val="28"/>
          <w:szCs w:val="28"/>
          <w:lang w:val="en-US"/>
        </w:rPr>
        <w:t>73.82</w:t>
      </w:r>
      <w:r>
        <w:rPr>
          <w:rFonts w:hint="eastAsia" w:ascii="仿宋_GB2312" w:eastAsia="仿宋_GB2312"/>
          <w:sz w:val="28"/>
          <w:szCs w:val="28"/>
        </w:rPr>
        <w:t>万元，占政府采购支出总额的</w:t>
      </w:r>
      <w:r>
        <w:rPr>
          <w:rFonts w:hint="default" w:ascii="仿宋_GB2312" w:eastAsia="仿宋_GB2312"/>
          <w:sz w:val="28"/>
          <w:szCs w:val="28"/>
          <w:lang w:val="en-US"/>
        </w:rPr>
        <w:t>72.88</w:t>
      </w:r>
      <w:r>
        <w:rPr>
          <w:rFonts w:hint="eastAsia" w:ascii="仿宋_GB2312" w:eastAsia="仿宋_GB2312"/>
          <w:sz w:val="28"/>
          <w:szCs w:val="28"/>
        </w:rPr>
        <w:t>%</w:t>
      </w:r>
      <w:r>
        <w:rPr>
          <w:rFonts w:hint="eastAsia" w:ascii="仿宋_GB2312" w:eastAsia="仿宋_GB2312"/>
          <w:sz w:val="28"/>
          <w:szCs w:val="28"/>
          <w:highlight w:val="none"/>
        </w:rPr>
        <w:t>。</w:t>
      </w:r>
    </w:p>
    <w:p w14:paraId="35109C63">
      <w:pPr>
        <w:ind w:firstLine="560" w:firstLineChars="200"/>
        <w:rPr>
          <w:rFonts w:hint="eastAsia" w:ascii="黑体" w:eastAsia="黑体"/>
          <w:sz w:val="28"/>
          <w:szCs w:val="28"/>
        </w:rPr>
      </w:pPr>
      <w:r>
        <w:rPr>
          <w:rFonts w:hint="eastAsia" w:ascii="黑体" w:eastAsia="黑体"/>
          <w:sz w:val="28"/>
          <w:szCs w:val="28"/>
        </w:rPr>
        <w:t>四、国有资产占用情况</w:t>
      </w:r>
    </w:p>
    <w:p w14:paraId="103B5421">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default" w:ascii="仿宋_GB2312" w:eastAsia="仿宋_GB2312"/>
          <w:sz w:val="28"/>
          <w:szCs w:val="28"/>
          <w:lang w:val="en-US"/>
        </w:rPr>
        <w:t>0</w:t>
      </w:r>
      <w:r>
        <w:rPr>
          <w:rFonts w:hint="eastAsia" w:ascii="仿宋_GB2312" w:eastAsia="仿宋_GB2312"/>
          <w:sz w:val="28"/>
          <w:szCs w:val="28"/>
        </w:rPr>
        <w:t>台，共计</w:t>
      </w:r>
      <w:r>
        <w:rPr>
          <w:rFonts w:hint="default" w:ascii="仿宋_GB2312" w:eastAsia="仿宋_GB2312"/>
          <w:sz w:val="28"/>
          <w:szCs w:val="28"/>
          <w:lang w:val="en-US"/>
        </w:rPr>
        <w:t>0</w:t>
      </w:r>
      <w:r>
        <w:rPr>
          <w:rFonts w:hint="eastAsia" w:ascii="仿宋_GB2312" w:eastAsia="仿宋_GB2312"/>
          <w:sz w:val="28"/>
          <w:szCs w:val="28"/>
        </w:rPr>
        <w:t>万元；新购置单位价值100万元以上的设备</w:t>
      </w:r>
      <w:r>
        <w:rPr>
          <w:rFonts w:hint="default" w:ascii="仿宋_GB2312" w:eastAsia="仿宋_GB2312"/>
          <w:sz w:val="28"/>
          <w:szCs w:val="28"/>
          <w:lang w:val="en-US"/>
        </w:rPr>
        <w:t>0</w:t>
      </w:r>
      <w:r>
        <w:rPr>
          <w:rFonts w:hint="eastAsia" w:ascii="仿宋_GB2312" w:eastAsia="仿宋_GB2312"/>
          <w:sz w:val="28"/>
          <w:szCs w:val="28"/>
        </w:rPr>
        <w:t>台（套），共计</w:t>
      </w:r>
      <w:r>
        <w:rPr>
          <w:rFonts w:hint="default" w:ascii="仿宋_GB2312" w:eastAsia="仿宋_GB2312"/>
          <w:sz w:val="28"/>
          <w:szCs w:val="28"/>
          <w:lang w:val="en-US"/>
        </w:rPr>
        <w:t>0</w:t>
      </w:r>
      <w:r>
        <w:rPr>
          <w:rFonts w:hint="eastAsia" w:ascii="仿宋_GB2312" w:eastAsia="仿宋_GB2312"/>
          <w:sz w:val="28"/>
          <w:szCs w:val="28"/>
        </w:rPr>
        <w:t>万元。截至2024年底，本单位固定资产总额</w:t>
      </w:r>
      <w:r>
        <w:rPr>
          <w:rFonts w:hint="default" w:ascii="仿宋_GB2312" w:eastAsia="仿宋_GB2312"/>
          <w:sz w:val="28"/>
          <w:szCs w:val="28"/>
          <w:lang w:val="en-US"/>
        </w:rPr>
        <w:t>3910.64</w:t>
      </w:r>
      <w:r>
        <w:rPr>
          <w:rFonts w:hint="eastAsia" w:ascii="仿宋_GB2312" w:eastAsia="仿宋_GB2312"/>
          <w:sz w:val="28"/>
          <w:szCs w:val="28"/>
        </w:rPr>
        <w:t>万元，其中车辆</w:t>
      </w:r>
      <w:r>
        <w:rPr>
          <w:rFonts w:hint="default" w:ascii="仿宋_GB2312" w:eastAsia="仿宋_GB2312"/>
          <w:sz w:val="28"/>
          <w:szCs w:val="28"/>
          <w:lang w:val="en-US"/>
        </w:rPr>
        <w:t>7</w:t>
      </w:r>
      <w:r>
        <w:rPr>
          <w:rFonts w:hint="eastAsia" w:ascii="仿宋_GB2312" w:eastAsia="仿宋_GB2312"/>
          <w:sz w:val="28"/>
          <w:szCs w:val="28"/>
        </w:rPr>
        <w:t>台，共计</w:t>
      </w:r>
      <w:r>
        <w:rPr>
          <w:rFonts w:hint="default" w:ascii="仿宋_GB2312" w:eastAsia="仿宋_GB2312"/>
          <w:sz w:val="28"/>
          <w:szCs w:val="28"/>
          <w:lang w:val="en-US"/>
        </w:rPr>
        <w:t>208.35</w:t>
      </w:r>
      <w:r>
        <w:rPr>
          <w:rFonts w:hint="eastAsia" w:ascii="仿宋_GB2312" w:eastAsia="仿宋_GB2312"/>
          <w:sz w:val="28"/>
          <w:szCs w:val="28"/>
        </w:rPr>
        <w:t>万元；单位价值100万元以上的设备</w:t>
      </w:r>
      <w:r>
        <w:rPr>
          <w:rFonts w:hint="default" w:ascii="仿宋_GB2312" w:eastAsia="仿宋_GB2312"/>
          <w:sz w:val="28"/>
          <w:szCs w:val="28"/>
          <w:lang w:val="en-US"/>
        </w:rPr>
        <w:t>3</w:t>
      </w:r>
      <w:r>
        <w:rPr>
          <w:rFonts w:hint="eastAsia" w:ascii="仿宋_GB2312" w:eastAsia="仿宋_GB2312"/>
          <w:sz w:val="28"/>
          <w:szCs w:val="28"/>
        </w:rPr>
        <w:t>台（套），共计</w:t>
      </w:r>
      <w:r>
        <w:rPr>
          <w:rFonts w:hint="default" w:ascii="仿宋_GB2312" w:eastAsia="仿宋_GB2312"/>
          <w:sz w:val="28"/>
          <w:szCs w:val="28"/>
          <w:lang w:val="en-US"/>
        </w:rPr>
        <w:t>470.60</w:t>
      </w:r>
      <w:r>
        <w:rPr>
          <w:rFonts w:hint="eastAsia" w:ascii="仿宋_GB2312" w:eastAsia="仿宋_GB2312"/>
          <w:sz w:val="28"/>
          <w:szCs w:val="28"/>
        </w:rPr>
        <w:t>万元。</w:t>
      </w:r>
    </w:p>
    <w:p w14:paraId="4AE0F040">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14:paraId="5D699DD9">
      <w:pPr>
        <w:spacing w:line="560" w:lineRule="exact"/>
        <w:ind w:firstLine="560" w:firstLineChars="200"/>
        <w:rPr>
          <w:rFonts w:hint="eastAsia" w:ascii="仿宋_GB2312" w:eastAsia="仿宋_GB2312"/>
          <w:sz w:val="28"/>
          <w:szCs w:val="28"/>
          <w:highlight w:val="none"/>
        </w:rPr>
      </w:pPr>
      <w:r>
        <w:rPr>
          <w:rFonts w:ascii="仿宋_GB2312" w:eastAsia="仿宋_GB2312"/>
          <w:sz w:val="28"/>
          <w:szCs w:val="28"/>
          <w:highlight w:val="none"/>
        </w:rPr>
        <w:t>202</w:t>
      </w:r>
      <w:r>
        <w:rPr>
          <w:rFonts w:hint="eastAsia" w:ascii="仿宋_GB2312" w:eastAsia="仿宋_GB2312"/>
          <w:sz w:val="28"/>
          <w:szCs w:val="28"/>
          <w:highlight w:val="none"/>
          <w:lang w:val="en-US" w:eastAsia="zh-CN"/>
        </w:rPr>
        <w:t>5</w:t>
      </w:r>
      <w:r>
        <w:rPr>
          <w:rFonts w:ascii="仿宋_GB2312" w:eastAsia="仿宋_GB2312"/>
          <w:sz w:val="28"/>
          <w:szCs w:val="28"/>
          <w:highlight w:val="none"/>
        </w:rPr>
        <w:t>年</w:t>
      </w:r>
      <w:r>
        <w:rPr>
          <w:rFonts w:hint="eastAsia" w:ascii="仿宋_GB2312" w:eastAsia="仿宋_GB2312"/>
          <w:sz w:val="28"/>
          <w:szCs w:val="28"/>
          <w:highlight w:val="none"/>
        </w:rPr>
        <w:t>，</w:t>
      </w:r>
      <w:r>
        <w:rPr>
          <w:rFonts w:ascii="仿宋_GB2312" w:eastAsia="仿宋_GB2312"/>
          <w:sz w:val="28"/>
          <w:szCs w:val="28"/>
          <w:highlight w:val="none"/>
        </w:rPr>
        <w:t>本单位对202</w:t>
      </w:r>
      <w:r>
        <w:rPr>
          <w:rFonts w:hint="eastAsia" w:ascii="仿宋_GB2312" w:eastAsia="仿宋_GB2312"/>
          <w:sz w:val="28"/>
          <w:szCs w:val="28"/>
          <w:highlight w:val="none"/>
          <w:lang w:val="en-US" w:eastAsia="zh-CN"/>
        </w:rPr>
        <w:t>4</w:t>
      </w:r>
      <w:r>
        <w:rPr>
          <w:rFonts w:ascii="仿宋_GB2312" w:eastAsia="仿宋_GB2312"/>
          <w:sz w:val="28"/>
          <w:szCs w:val="28"/>
          <w:highlight w:val="none"/>
        </w:rPr>
        <w:t>年度单位项目支出实施了绩效评价，</w:t>
      </w:r>
      <w:r>
        <w:rPr>
          <w:rFonts w:hint="eastAsia" w:ascii="仿宋_GB2312" w:eastAsia="仿宋_GB2312"/>
          <w:sz w:val="28"/>
          <w:szCs w:val="28"/>
          <w:highlight w:val="none"/>
        </w:rPr>
        <w:t>单位自评</w:t>
      </w:r>
      <w:r>
        <w:rPr>
          <w:rFonts w:hint="default" w:ascii="仿宋_GB2312" w:eastAsia="仿宋_GB2312"/>
          <w:sz w:val="28"/>
          <w:szCs w:val="28"/>
          <w:highlight w:val="none"/>
          <w:lang w:val="en-US"/>
        </w:rPr>
        <w:t>0</w:t>
      </w:r>
      <w:r>
        <w:rPr>
          <w:rFonts w:ascii="仿宋_GB2312" w:eastAsia="仿宋_GB2312"/>
          <w:sz w:val="28"/>
          <w:szCs w:val="28"/>
          <w:highlight w:val="none"/>
        </w:rPr>
        <w:t>个，占单位项目总数的</w:t>
      </w:r>
      <w:r>
        <w:rPr>
          <w:rFonts w:hint="default" w:ascii="仿宋_GB2312" w:eastAsia="仿宋_GB2312"/>
          <w:sz w:val="28"/>
          <w:szCs w:val="28"/>
          <w:highlight w:val="none"/>
          <w:lang w:val="en-US"/>
        </w:rPr>
        <w:t>0</w:t>
      </w:r>
      <w:r>
        <w:rPr>
          <w:rFonts w:ascii="仿宋_GB2312" w:eastAsia="仿宋_GB2312"/>
          <w:sz w:val="28"/>
          <w:szCs w:val="28"/>
          <w:highlight w:val="none"/>
        </w:rPr>
        <w:t>%，涉及金额XX.XX万元。评价得分在90分（含90分）以上的</w:t>
      </w:r>
      <w:r>
        <w:rPr>
          <w:rFonts w:hint="default" w:ascii="仿宋_GB2312" w:eastAsia="仿宋_GB2312"/>
          <w:sz w:val="28"/>
          <w:szCs w:val="28"/>
          <w:highlight w:val="none"/>
          <w:lang w:val="en-US"/>
        </w:rPr>
        <w:t>0</w:t>
      </w:r>
      <w:r>
        <w:rPr>
          <w:rFonts w:ascii="仿宋_GB2312" w:eastAsia="仿宋_GB2312"/>
          <w:sz w:val="28"/>
          <w:szCs w:val="28"/>
          <w:highlight w:val="none"/>
        </w:rPr>
        <w:t>个、评价得分在80-90分（含80分）的</w:t>
      </w:r>
      <w:r>
        <w:rPr>
          <w:rFonts w:hint="default" w:ascii="仿宋_GB2312" w:eastAsia="仿宋_GB2312"/>
          <w:sz w:val="28"/>
          <w:szCs w:val="28"/>
          <w:highlight w:val="none"/>
          <w:lang w:val="en-US"/>
        </w:rPr>
        <w:t>0</w:t>
      </w:r>
      <w:r>
        <w:rPr>
          <w:rFonts w:ascii="仿宋_GB2312" w:eastAsia="仿宋_GB2312"/>
          <w:sz w:val="28"/>
          <w:szCs w:val="28"/>
          <w:highlight w:val="none"/>
        </w:rPr>
        <w:t>个、评价得分在60-80分（含60分）的</w:t>
      </w:r>
      <w:r>
        <w:rPr>
          <w:rFonts w:hint="default" w:ascii="仿宋_GB2312" w:eastAsia="仿宋_GB2312"/>
          <w:sz w:val="28"/>
          <w:szCs w:val="28"/>
          <w:highlight w:val="none"/>
          <w:lang w:val="en-US"/>
        </w:rPr>
        <w:t>0</w:t>
      </w:r>
      <w:r>
        <w:rPr>
          <w:rFonts w:ascii="仿宋_GB2312" w:eastAsia="仿宋_GB2312"/>
          <w:sz w:val="28"/>
          <w:szCs w:val="28"/>
          <w:highlight w:val="none"/>
        </w:rPr>
        <w:t>个、评价得分在60分以下的</w:t>
      </w:r>
      <w:r>
        <w:rPr>
          <w:rFonts w:hint="default" w:ascii="仿宋_GB2312" w:eastAsia="仿宋_GB2312"/>
          <w:sz w:val="28"/>
          <w:szCs w:val="28"/>
          <w:highlight w:val="none"/>
          <w:lang w:val="en-US"/>
        </w:rPr>
        <w:t>0</w:t>
      </w:r>
      <w:r>
        <w:rPr>
          <w:rFonts w:ascii="仿宋_GB2312" w:eastAsia="仿宋_GB2312"/>
          <w:sz w:val="28"/>
          <w:szCs w:val="28"/>
          <w:highlight w:val="none"/>
        </w:rPr>
        <w:t>个。</w:t>
      </w:r>
    </w:p>
    <w:p w14:paraId="71ECB717">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14:paraId="54A866AB">
      <w:pPr>
        <w:ind w:firstLine="537" w:firstLineChars="192"/>
        <w:rPr>
          <w:rFonts w:ascii="仿宋_GB2312" w:eastAsia="仿宋_GB2312"/>
          <w:sz w:val="28"/>
          <w:szCs w:val="28"/>
        </w:rPr>
      </w:pPr>
      <w:r>
        <w:rPr>
          <w:rFonts w:hint="eastAsia" w:ascii="仿宋_GB2312" w:eastAsia="仿宋_GB2312"/>
          <w:sz w:val="28"/>
          <w:szCs w:val="28"/>
        </w:rPr>
        <w:t>2024年度本单位</w:t>
      </w:r>
      <w:r>
        <w:rPr>
          <w:rFonts w:hint="eastAsia" w:ascii="仿宋_GB2312" w:eastAsia="仿宋_GB2312"/>
          <w:sz w:val="28"/>
          <w:szCs w:val="28"/>
          <w:lang w:eastAsia="zh-CN"/>
        </w:rPr>
        <w:t>无</w:t>
      </w:r>
      <w:r>
        <w:rPr>
          <w:rFonts w:hint="eastAsia" w:ascii="仿宋_GB2312" w:eastAsia="仿宋_GB2312"/>
          <w:sz w:val="28"/>
          <w:szCs w:val="28"/>
        </w:rPr>
        <w:t>行政事业性收费。</w:t>
      </w:r>
    </w:p>
    <w:p w14:paraId="71D2202C">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5AA5E37">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default" w:ascii="仿宋_GB2312" w:eastAsia="仿宋_GB2312"/>
          <w:sz w:val="28"/>
          <w:szCs w:val="28"/>
          <w:lang w:val="en-US"/>
        </w:rPr>
        <w:t>0</w:t>
      </w:r>
      <w:r>
        <w:rPr>
          <w:rFonts w:hint="eastAsia" w:ascii="仿宋_GB2312" w:eastAsia="仿宋_GB2312"/>
          <w:sz w:val="28"/>
          <w:szCs w:val="28"/>
        </w:rPr>
        <w:t>项，金额</w:t>
      </w:r>
      <w:r>
        <w:rPr>
          <w:rFonts w:hint="default" w:ascii="仿宋_GB2312" w:eastAsia="仿宋_GB2312"/>
          <w:sz w:val="28"/>
          <w:szCs w:val="28"/>
          <w:lang w:val="en-US"/>
        </w:rPr>
        <w:t>0</w:t>
      </w:r>
      <w:r>
        <w:rPr>
          <w:rFonts w:hint="eastAsia" w:ascii="仿宋_GB2312" w:eastAsia="仿宋_GB2312"/>
          <w:sz w:val="28"/>
          <w:szCs w:val="28"/>
        </w:rPr>
        <w:t>万元。</w:t>
      </w:r>
    </w:p>
    <w:p w14:paraId="34AF6F61">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14:paraId="40EC16B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66647EB9">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ECB3EF8">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0277967">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DC91708">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579DABE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43BD1F1">
      <w:pPr>
        <w:ind w:firstLine="420" w:firstLineChars="150"/>
        <w:rPr>
          <w:rFonts w:hint="eastAsia" w:ascii="仿宋_GB2312" w:eastAsia="仿宋_GB2312"/>
          <w:sz w:val="28"/>
          <w:szCs w:val="28"/>
        </w:rPr>
      </w:pPr>
      <w:r>
        <w:rPr>
          <w:rFonts w:hint="eastAsia" w:ascii="仿宋_GB2312" w:eastAsia="仿宋_GB2312"/>
          <w:sz w:val="28"/>
          <w:szCs w:val="28"/>
        </w:rPr>
        <w:t>7. 各单位需根据自身业务职能，补充当年使用的所有支出功能分类</w:t>
      </w:r>
      <w:r>
        <w:rPr>
          <w:rFonts w:hint="eastAsia" w:ascii="仿宋_GB2312" w:eastAsia="仿宋_GB2312"/>
          <w:bCs/>
          <w:sz w:val="28"/>
          <w:szCs w:val="28"/>
        </w:rPr>
        <w:t>项级</w:t>
      </w:r>
      <w:r>
        <w:rPr>
          <w:rFonts w:hint="eastAsia" w:ascii="仿宋_GB2312" w:eastAsia="仿宋_GB2312"/>
          <w:sz w:val="28"/>
          <w:szCs w:val="28"/>
        </w:rPr>
        <w:t>科目名词解释，例如：</w:t>
      </w:r>
    </w:p>
    <w:p w14:paraId="123C5B06">
      <w:pPr>
        <w:ind w:firstLine="420" w:firstLineChars="15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14:paraId="1D47B3B2">
      <w:pPr>
        <w:tabs>
          <w:tab w:val="center" w:pos="6979"/>
        </w:tabs>
        <w:spacing w:before="156" w:beforeLines="50" w:after="156" w:afterLines="50"/>
        <w:jc w:val="center"/>
        <w:rPr>
          <w:rFonts w:hint="eastAsia" w:ascii="宋体" w:hAnsi="宋体" w:cs="宋体"/>
          <w:b/>
          <w:bCs/>
          <w:spacing w:val="40"/>
          <w:kern w:val="0"/>
          <w:sz w:val="32"/>
          <w:szCs w:val="32"/>
        </w:rPr>
      </w:pPr>
    </w:p>
    <w:p w14:paraId="0E855487">
      <w:pPr>
        <w:tabs>
          <w:tab w:val="center" w:pos="6979"/>
        </w:tabs>
        <w:spacing w:before="156" w:beforeLines="50" w:after="156" w:afterLines="50"/>
        <w:jc w:val="center"/>
        <w:rPr>
          <w:rFonts w:hint="eastAsia" w:ascii="宋体" w:hAnsi="宋体" w:cs="宋体"/>
          <w:b/>
          <w:bCs/>
          <w:spacing w:val="40"/>
          <w:kern w:val="0"/>
          <w:sz w:val="32"/>
          <w:szCs w:val="32"/>
        </w:rPr>
      </w:pPr>
    </w:p>
    <w:p w14:paraId="04DEB809">
      <w:pPr>
        <w:tabs>
          <w:tab w:val="center" w:pos="6979"/>
        </w:tabs>
        <w:spacing w:before="156" w:beforeLines="50" w:after="156" w:afterLines="50"/>
        <w:jc w:val="center"/>
        <w:rPr>
          <w:rFonts w:hint="eastAsia" w:ascii="宋体" w:hAnsi="宋体" w:cs="宋体"/>
          <w:b/>
          <w:bCs/>
          <w:spacing w:val="40"/>
          <w:kern w:val="0"/>
          <w:sz w:val="32"/>
          <w:szCs w:val="32"/>
        </w:rPr>
      </w:pPr>
    </w:p>
    <w:p w14:paraId="67459107">
      <w:pPr>
        <w:tabs>
          <w:tab w:val="center" w:pos="6979"/>
        </w:tabs>
        <w:spacing w:before="156" w:beforeLines="50" w:after="156" w:afterLines="50"/>
        <w:jc w:val="center"/>
        <w:rPr>
          <w:rFonts w:hint="eastAsia" w:ascii="宋体" w:hAnsi="宋体" w:cs="宋体"/>
          <w:b/>
          <w:bCs/>
          <w:spacing w:val="40"/>
          <w:kern w:val="0"/>
          <w:sz w:val="32"/>
          <w:szCs w:val="32"/>
        </w:rPr>
      </w:pPr>
    </w:p>
    <w:p w14:paraId="5B42B7CA">
      <w:pPr>
        <w:tabs>
          <w:tab w:val="center" w:pos="6979"/>
        </w:tabs>
        <w:spacing w:before="156" w:beforeLines="50" w:after="156" w:afterLines="50"/>
        <w:jc w:val="center"/>
        <w:rPr>
          <w:rFonts w:hint="eastAsia" w:ascii="宋体" w:hAnsi="宋体" w:cs="宋体"/>
          <w:b/>
          <w:bCs/>
          <w:spacing w:val="40"/>
          <w:kern w:val="0"/>
          <w:sz w:val="32"/>
          <w:szCs w:val="32"/>
        </w:rPr>
      </w:pPr>
    </w:p>
    <w:p w14:paraId="72F3D058">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14:paraId="67321B89">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14:paraId="4F703D5E">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14:paraId="709C3FF3">
      <w:pPr>
        <w:tabs>
          <w:tab w:val="center" w:pos="6979"/>
        </w:tabs>
        <w:spacing w:before="156" w:beforeLines="50" w:after="156" w:afterLines="50"/>
        <w:jc w:val="center"/>
        <w:rPr>
          <w:rFonts w:hint="eastAsia" w:ascii="宋体" w:hAnsi="宋体" w:eastAsia="宋体" w:cs="宋体"/>
          <w:b/>
          <w:bCs/>
          <w:spacing w:val="40"/>
          <w:kern w:val="0"/>
          <w:sz w:val="32"/>
          <w:szCs w:val="32"/>
          <w:highlight w:val="none"/>
        </w:rPr>
      </w:pPr>
    </w:p>
    <w:p w14:paraId="1F61F5EE">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14:paraId="62784DA4">
      <w:pPr>
        <w:spacing w:line="580" w:lineRule="exact"/>
        <w:ind w:firstLine="560" w:firstLineChars="200"/>
        <w:jc w:val="center"/>
        <w:rPr>
          <w:rFonts w:hint="eastAsia" w:ascii="黑体" w:eastAsia="黑体"/>
          <w:sz w:val="28"/>
          <w:szCs w:val="28"/>
          <w:highlight w:val="none"/>
        </w:rPr>
      </w:pPr>
    </w:p>
    <w:p w14:paraId="3C374C1A">
      <w:pPr>
        <w:ind w:firstLine="560" w:firstLineChars="200"/>
        <w:rPr>
          <w:rFonts w:hint="eastAsia" w:ascii="黑体" w:eastAsia="黑体"/>
          <w:sz w:val="28"/>
          <w:szCs w:val="28"/>
          <w:highlight w:val="none"/>
        </w:rPr>
      </w:pPr>
      <w:r>
        <w:rPr>
          <w:rFonts w:hint="eastAsia" w:ascii="黑体" w:eastAsia="黑体"/>
          <w:sz w:val="28"/>
          <w:szCs w:val="28"/>
          <w:highlight w:val="none"/>
        </w:rPr>
        <w:t>一</w:t>
      </w:r>
      <w:r>
        <w:rPr>
          <w:rFonts w:ascii="黑体" w:eastAsia="黑体"/>
          <w:sz w:val="28"/>
          <w:szCs w:val="28"/>
          <w:highlight w:val="none"/>
        </w:rPr>
        <w:t>、</w:t>
      </w:r>
      <w:r>
        <w:rPr>
          <w:rFonts w:hint="eastAsia" w:ascii="黑体" w:eastAsia="黑体"/>
          <w:sz w:val="28"/>
          <w:szCs w:val="28"/>
          <w:highlight w:val="none"/>
        </w:rPr>
        <w:t>部门整体绩效评价报告（参考模板详见附件）</w:t>
      </w:r>
    </w:p>
    <w:p w14:paraId="7304D6A3">
      <w:pPr>
        <w:ind w:firstLine="560" w:firstLineChars="200"/>
        <w:rPr>
          <w:rFonts w:hint="eastAsia" w:ascii="黑体" w:eastAsia="黑体"/>
          <w:sz w:val="28"/>
          <w:szCs w:val="28"/>
          <w:highlight w:val="none"/>
        </w:rPr>
      </w:pPr>
      <w:r>
        <w:rPr>
          <w:rFonts w:hint="eastAsia" w:ascii="黑体" w:eastAsia="黑体"/>
          <w:sz w:val="28"/>
          <w:szCs w:val="28"/>
          <w:highlight w:val="none"/>
        </w:rPr>
        <w:t>二</w:t>
      </w:r>
      <w:r>
        <w:rPr>
          <w:rFonts w:ascii="黑体" w:eastAsia="黑体"/>
          <w:sz w:val="28"/>
          <w:szCs w:val="28"/>
          <w:highlight w:val="none"/>
        </w:rPr>
        <w:t>、</w:t>
      </w:r>
      <w:r>
        <w:rPr>
          <w:rFonts w:hint="eastAsia" w:ascii="黑体" w:eastAsia="黑体"/>
          <w:sz w:val="28"/>
          <w:szCs w:val="28"/>
          <w:highlight w:val="none"/>
        </w:rPr>
        <w:t>项目支出部门绩效评价报告（参考模板详见附件）</w:t>
      </w:r>
    </w:p>
    <w:p w14:paraId="17033FF3">
      <w:pPr>
        <w:ind w:firstLine="560" w:firstLineChars="200"/>
        <w:rPr>
          <w:rFonts w:hint="eastAsia" w:ascii="黑体" w:eastAsia="黑体"/>
          <w:sz w:val="28"/>
          <w:szCs w:val="28"/>
          <w:highlight w:val="none"/>
        </w:rPr>
      </w:pPr>
      <w:r>
        <w:rPr>
          <w:rFonts w:hint="eastAsia" w:ascii="黑体" w:eastAsia="黑体"/>
          <w:sz w:val="28"/>
          <w:szCs w:val="28"/>
          <w:highlight w:val="none"/>
        </w:rPr>
        <w:t>三</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rPr>
        <w:t>（格式详见附件）</w:t>
      </w:r>
    </w:p>
    <w:p w14:paraId="616A73BD">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（注：</w:t>
      </w:r>
      <w:r>
        <w:rPr>
          <w:rFonts w:hint="eastAsia" w:ascii="仿宋_GB2312" w:eastAsia="仿宋_GB2312"/>
          <w:sz w:val="28"/>
          <w:szCs w:val="28"/>
          <w:highlight w:val="none"/>
          <w:lang w:eastAsia="zh-CN"/>
        </w:rPr>
        <w:t>决算公开阶段，</w:t>
      </w:r>
      <w:r>
        <w:rPr>
          <w:rFonts w:hint="eastAsia" w:ascii="仿宋_GB2312" w:eastAsia="仿宋_GB2312"/>
          <w:sz w:val="28"/>
          <w:szCs w:val="28"/>
          <w:highlight w:val="none"/>
        </w:rPr>
        <w:t>一级预算部门公开“一、二、三”</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二级预算单位仅公开“三”。）</w:t>
      </w:r>
    </w:p>
    <w:p w14:paraId="2A910102">
      <w:pPr>
        <w:spacing w:line="580" w:lineRule="exact"/>
        <w:ind w:firstLine="560" w:firstLineChars="200"/>
        <w:rPr>
          <w:rFonts w:hint="eastAsia" w:ascii="仿宋_GB2312" w:hAnsi="仿宋_GB2312" w:eastAsia="仿宋_GB2312" w:cs="仿宋_GB2312"/>
          <w:sz w:val="28"/>
          <w:szCs w:val="28"/>
          <w:highlight w:val="none"/>
        </w:rPr>
      </w:pPr>
    </w:p>
    <w:p w14:paraId="715662DF">
      <w:pPr>
        <w:spacing w:line="580" w:lineRule="exact"/>
        <w:ind w:firstLine="560" w:firstLineChars="200"/>
        <w:rPr>
          <w:rFonts w:hint="eastAsia" w:ascii="仿宋_GB2312" w:hAnsi="仿宋_GB2312" w:eastAsia="仿宋_GB2312" w:cs="仿宋_GB2312"/>
          <w:sz w:val="28"/>
          <w:szCs w:val="28"/>
          <w:highlight w:val="none"/>
        </w:rPr>
      </w:pPr>
    </w:p>
    <w:p w14:paraId="66597F18">
      <w:pPr>
        <w:spacing w:line="580" w:lineRule="exact"/>
        <w:ind w:firstLine="560" w:firstLineChars="200"/>
        <w:rPr>
          <w:rFonts w:hint="eastAsia" w:ascii="仿宋_GB2312" w:hAnsi="仿宋_GB2312" w:eastAsia="仿宋_GB2312" w:cs="仿宋_GB2312"/>
          <w:sz w:val="28"/>
          <w:szCs w:val="28"/>
          <w:highlight w:val="none"/>
        </w:rPr>
      </w:pPr>
    </w:p>
    <w:p w14:paraId="3E6DB240">
      <w:pPr>
        <w:spacing w:line="480" w:lineRule="exact"/>
        <w:jc w:val="center"/>
        <w:rPr>
          <w:rFonts w:hint="eastAsia" w:ascii="黑体" w:eastAsia="黑体"/>
          <w:sz w:val="32"/>
          <w:szCs w:val="32"/>
          <w:highlight w:val="none"/>
        </w:rPr>
      </w:pPr>
    </w:p>
    <w:p w14:paraId="5FB16E14">
      <w:pPr>
        <w:spacing w:line="480" w:lineRule="exact"/>
        <w:jc w:val="center"/>
        <w:rPr>
          <w:rFonts w:hint="eastAsia" w:ascii="黑体" w:eastAsia="黑体"/>
          <w:sz w:val="32"/>
          <w:szCs w:val="32"/>
          <w:highlight w:val="none"/>
        </w:rPr>
      </w:pPr>
    </w:p>
    <w:p w14:paraId="46CE299D">
      <w:pPr>
        <w:spacing w:line="480" w:lineRule="exact"/>
        <w:jc w:val="center"/>
        <w:rPr>
          <w:rFonts w:hint="eastAsia" w:ascii="黑体" w:eastAsia="黑体"/>
          <w:sz w:val="32"/>
          <w:szCs w:val="32"/>
          <w:highlight w:val="none"/>
        </w:rPr>
      </w:pPr>
    </w:p>
    <w:p w14:paraId="7F580110">
      <w:pPr>
        <w:spacing w:line="480" w:lineRule="exact"/>
        <w:jc w:val="center"/>
        <w:rPr>
          <w:rFonts w:hint="eastAsia" w:ascii="黑体" w:eastAsia="黑体"/>
          <w:sz w:val="32"/>
          <w:szCs w:val="32"/>
          <w:highlight w:val="none"/>
        </w:rPr>
      </w:pPr>
    </w:p>
    <w:p w14:paraId="705FB005">
      <w:pPr>
        <w:spacing w:line="480" w:lineRule="exact"/>
        <w:jc w:val="center"/>
        <w:rPr>
          <w:rFonts w:hint="eastAsia" w:ascii="黑体" w:eastAsia="黑体"/>
          <w:sz w:val="32"/>
          <w:szCs w:val="32"/>
          <w:highlight w:val="none"/>
        </w:rPr>
      </w:pPr>
    </w:p>
    <w:p w14:paraId="3C20E0DA">
      <w:pPr>
        <w:spacing w:line="480" w:lineRule="exact"/>
        <w:jc w:val="center"/>
        <w:rPr>
          <w:rFonts w:hint="eastAsia" w:ascii="黑体" w:eastAsia="黑体"/>
          <w:sz w:val="32"/>
          <w:szCs w:val="32"/>
          <w:highlight w:val="none"/>
        </w:rPr>
      </w:pPr>
    </w:p>
    <w:p w14:paraId="5416841D">
      <w:pPr>
        <w:spacing w:line="560" w:lineRule="exact"/>
        <w:jc w:val="left"/>
        <w:rPr>
          <w:rFonts w:hint="eastAsia" w:ascii="方正黑体_GBK" w:hAnsi="方正黑体_GBK" w:eastAsia="方正黑体_GBK" w:cs="方正黑体_GBK"/>
          <w:sz w:val="32"/>
          <w:szCs w:val="32"/>
          <w:highlight w:val="none"/>
        </w:rPr>
      </w:pPr>
    </w:p>
    <w:p w14:paraId="21F6E9E1">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14:paraId="5F3525C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14:paraId="43FA009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（参考模版）</w:t>
      </w:r>
    </w:p>
    <w:p w14:paraId="43D9F5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14:paraId="11A75698">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14:paraId="779E0F23">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（一）机构设置及职责工作任务情况</w:t>
      </w:r>
    </w:p>
    <w:p w14:paraId="30FF8415">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sz w:val="28"/>
          <w:szCs w:val="28"/>
        </w:rPr>
        <w:t>我单位为一级乙等医疗机构，隶属于北京市大兴区卫生健康委员会下属差额补贴事业单位,我单位的主要职责为:为人民身体健康提供医疗与预防保健服务。医疗、护理；预防保健；卫生技术人员培训；初级卫生保健规划实施；合作医疗组织与管理；卫生监督与卫生信息管理。医院下设院感科、内审科、信息科、总务科、护理部、体检科、社区科、精防科、财务科、医务科、医保科、药剂科、采供科、后勤科等科室及</w:t>
      </w:r>
      <w:r>
        <w:rPr>
          <w:rFonts w:hint="eastAsia" w:ascii="仿宋_GB2312" w:hAnsi="仿宋_GB2312" w:eastAsia="仿宋_GB2312"/>
          <w:sz w:val="28"/>
          <w:szCs w:val="28"/>
          <w:lang w:eastAsia="zh-CN"/>
        </w:rPr>
        <w:t>金星社区卫生中心南区门诊</w:t>
      </w:r>
      <w:r>
        <w:rPr>
          <w:rFonts w:hint="eastAsia" w:ascii="仿宋_GB2312" w:hAnsi="仿宋_GB2312" w:eastAsia="仿宋_GB2312"/>
          <w:sz w:val="28"/>
          <w:szCs w:val="28"/>
        </w:rPr>
        <w:t>、团河</w:t>
      </w:r>
      <w:r>
        <w:rPr>
          <w:rFonts w:hint="default" w:ascii="仿宋_GB2312" w:hAnsi="仿宋_GB2312" w:eastAsia="仿宋_GB2312"/>
          <w:sz w:val="28"/>
          <w:szCs w:val="28"/>
          <w:lang w:val="en-US"/>
        </w:rPr>
        <w:t>2</w:t>
      </w:r>
      <w:r>
        <w:rPr>
          <w:rFonts w:hint="eastAsia" w:ascii="仿宋_GB2312" w:hAnsi="仿宋_GB2312" w:eastAsia="仿宋_GB2312"/>
          <w:sz w:val="28"/>
          <w:szCs w:val="28"/>
        </w:rPr>
        <w:t>个下属社区卫生服务站</w:t>
      </w:r>
    </w:p>
    <w:p w14:paraId="682D7FC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sz w:val="28"/>
          <w:szCs w:val="28"/>
          <w:highlight w:val="none"/>
        </w:rPr>
        <w:t>（二）部门整体绩效目标设立情况（包括绩效目标设立依据、目标与职责任务匹配情况、目标合理性等）。</w:t>
      </w:r>
    </w:p>
    <w:p w14:paraId="0F7D3EF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14:paraId="3C06C017">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00"/>
          <w:kern w:val="0"/>
          <w:sz w:val="32"/>
          <w:szCs w:val="32"/>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r>
        <w:rPr>
          <w:rFonts w:hint="default" w:ascii="仿宋_GB2312" w:hAnsi="仿宋_GB2312" w:eastAsia="仿宋_GB2312" w:cs="仿宋_GB2312"/>
          <w:color w:val="000000"/>
          <w:kern w:val="0"/>
          <w:sz w:val="28"/>
          <w:szCs w:val="28"/>
          <w:highlight w:val="none"/>
          <w:lang w:val="en-US"/>
        </w:rPr>
        <w:t>6400.39</w:t>
      </w:r>
      <w:r>
        <w:rPr>
          <w:rFonts w:hint="eastAsia" w:ascii="仿宋_GB2312" w:hAnsi="仿宋_GB2312" w:eastAsia="仿宋_GB2312" w:cs="仿宋_GB2312"/>
          <w:color w:val="000000"/>
          <w:kern w:val="0"/>
          <w:sz w:val="28"/>
          <w:szCs w:val="28"/>
          <w:highlight w:val="none"/>
        </w:rPr>
        <w:t>万元，其中，基本支出预算数</w:t>
      </w:r>
      <w:r>
        <w:rPr>
          <w:rFonts w:hint="default" w:ascii="仿宋_GB2312" w:hAnsi="仿宋_GB2312" w:eastAsia="仿宋_GB2312" w:cs="仿宋_GB2312"/>
          <w:color w:val="000000"/>
          <w:kern w:val="0"/>
          <w:sz w:val="28"/>
          <w:szCs w:val="28"/>
          <w:highlight w:val="none"/>
          <w:lang w:val="en-US"/>
        </w:rPr>
        <w:t>5180.05</w:t>
      </w:r>
      <w:r>
        <w:rPr>
          <w:rFonts w:hint="eastAsia" w:ascii="仿宋_GB2312" w:hAnsi="仿宋_GB2312" w:eastAsia="仿宋_GB2312" w:cs="仿宋_GB2312"/>
          <w:color w:val="000000"/>
          <w:kern w:val="0"/>
          <w:sz w:val="28"/>
          <w:szCs w:val="28"/>
          <w:highlight w:val="none"/>
        </w:rPr>
        <w:t>万元，项目支出预算数</w:t>
      </w:r>
      <w:r>
        <w:rPr>
          <w:rFonts w:hint="default" w:ascii="仿宋_GB2312" w:hAnsi="仿宋_GB2312" w:eastAsia="仿宋_GB2312" w:cs="仿宋_GB2312"/>
          <w:color w:val="000000"/>
          <w:kern w:val="0"/>
          <w:sz w:val="28"/>
          <w:szCs w:val="28"/>
          <w:highlight w:val="none"/>
          <w:lang w:val="en-US"/>
        </w:rPr>
        <w:t>1220.34</w:t>
      </w:r>
      <w:r>
        <w:rPr>
          <w:rFonts w:hint="eastAsia" w:ascii="仿宋_GB2312" w:hAnsi="仿宋_GB2312" w:eastAsia="仿宋_GB2312" w:cs="仿宋_GB2312"/>
          <w:color w:val="000000"/>
          <w:kern w:val="0"/>
          <w:sz w:val="28"/>
          <w:szCs w:val="28"/>
          <w:highlight w:val="none"/>
        </w:rPr>
        <w:t>万元，其他支出预算数</w:t>
      </w:r>
      <w:r>
        <w:rPr>
          <w:rFonts w:hint="default" w:ascii="仿宋_GB2312" w:hAnsi="仿宋_GB2312" w:eastAsia="仿宋_GB2312" w:cs="仿宋_GB2312"/>
          <w:color w:val="000000"/>
          <w:kern w:val="0"/>
          <w:sz w:val="28"/>
          <w:szCs w:val="28"/>
          <w:highlight w:val="none"/>
          <w:lang w:val="en-US"/>
        </w:rPr>
        <w:t>0</w:t>
      </w:r>
      <w:r>
        <w:rPr>
          <w:rFonts w:hint="eastAsia" w:ascii="仿宋_GB2312" w:hAnsi="仿宋_GB2312" w:eastAsia="仿宋_GB2312" w:cs="仿宋_GB2312"/>
          <w:color w:val="000000"/>
          <w:kern w:val="0"/>
          <w:sz w:val="28"/>
          <w:szCs w:val="28"/>
          <w:highlight w:val="none"/>
        </w:rPr>
        <w:t>万元。资金总体支出</w:t>
      </w:r>
      <w:r>
        <w:rPr>
          <w:rFonts w:hint="default" w:ascii="仿宋_GB2312" w:hAnsi="仿宋_GB2312" w:eastAsia="仿宋_GB2312" w:cs="仿宋_GB2312"/>
          <w:color w:val="000000"/>
          <w:kern w:val="0"/>
          <w:sz w:val="28"/>
          <w:szCs w:val="28"/>
          <w:highlight w:val="none"/>
          <w:lang w:val="en-US"/>
        </w:rPr>
        <w:t>6218.03</w:t>
      </w:r>
      <w:r>
        <w:rPr>
          <w:rFonts w:hint="eastAsia" w:ascii="仿宋_GB2312" w:hAnsi="仿宋_GB2312" w:eastAsia="仿宋_GB2312" w:cs="仿宋_GB2312"/>
          <w:color w:val="000000"/>
          <w:kern w:val="0"/>
          <w:sz w:val="28"/>
          <w:szCs w:val="28"/>
          <w:highlight w:val="none"/>
        </w:rPr>
        <w:t>万元，其中，基本支出</w:t>
      </w:r>
      <w:r>
        <w:rPr>
          <w:rFonts w:hint="default" w:ascii="仿宋_GB2312" w:hAnsi="仿宋_GB2312" w:eastAsia="仿宋_GB2312" w:cs="仿宋_GB2312"/>
          <w:color w:val="000000"/>
          <w:kern w:val="0"/>
          <w:sz w:val="28"/>
          <w:szCs w:val="28"/>
          <w:highlight w:val="none"/>
          <w:lang w:val="en-US"/>
        </w:rPr>
        <w:t>4307.38</w:t>
      </w:r>
      <w:r>
        <w:rPr>
          <w:rFonts w:hint="eastAsia" w:ascii="仿宋_GB2312" w:hAnsi="仿宋_GB2312" w:eastAsia="仿宋_GB2312" w:cs="仿宋_GB2312"/>
          <w:color w:val="000000"/>
          <w:kern w:val="0"/>
          <w:sz w:val="28"/>
          <w:szCs w:val="28"/>
          <w:highlight w:val="none"/>
        </w:rPr>
        <w:t>万元，项目支出</w:t>
      </w:r>
      <w:r>
        <w:rPr>
          <w:rFonts w:hint="default" w:ascii="仿宋_GB2312" w:hAnsi="仿宋_GB2312" w:eastAsia="仿宋_GB2312" w:cs="仿宋_GB2312"/>
          <w:color w:val="000000"/>
          <w:kern w:val="0"/>
          <w:sz w:val="28"/>
          <w:szCs w:val="28"/>
          <w:highlight w:val="none"/>
          <w:lang w:val="en-US"/>
        </w:rPr>
        <w:t>1910.65</w:t>
      </w:r>
      <w:r>
        <w:rPr>
          <w:rFonts w:hint="eastAsia" w:ascii="仿宋_GB2312" w:hAnsi="仿宋_GB2312" w:eastAsia="仿宋_GB2312" w:cs="仿宋_GB2312"/>
          <w:color w:val="000000"/>
          <w:kern w:val="0"/>
          <w:sz w:val="28"/>
          <w:szCs w:val="28"/>
          <w:highlight w:val="none"/>
        </w:rPr>
        <w:t>万元，其他支出</w:t>
      </w:r>
      <w:r>
        <w:rPr>
          <w:rFonts w:hint="default" w:ascii="仿宋_GB2312" w:hAnsi="仿宋_GB2312" w:eastAsia="仿宋_GB2312" w:cs="仿宋_GB2312"/>
          <w:color w:val="000000"/>
          <w:kern w:val="0"/>
          <w:sz w:val="28"/>
          <w:szCs w:val="28"/>
          <w:highlight w:val="none"/>
          <w:lang w:val="en-US"/>
        </w:rPr>
        <w:t>0</w:t>
      </w:r>
      <w:r>
        <w:rPr>
          <w:rFonts w:hint="eastAsia" w:ascii="仿宋_GB2312" w:hAnsi="仿宋_GB2312" w:eastAsia="仿宋_GB2312" w:cs="仿宋_GB2312"/>
          <w:color w:val="000000"/>
          <w:kern w:val="0"/>
          <w:sz w:val="28"/>
          <w:szCs w:val="28"/>
          <w:highlight w:val="none"/>
        </w:rPr>
        <w:t>万元。预算执行率为</w:t>
      </w:r>
      <w:r>
        <w:rPr>
          <w:rFonts w:hint="default" w:ascii="仿宋_GB2312" w:hAnsi="仿宋_GB2312" w:eastAsia="仿宋_GB2312" w:cs="仿宋_GB2312"/>
          <w:color w:val="000000"/>
          <w:kern w:val="0"/>
          <w:sz w:val="28"/>
          <w:szCs w:val="28"/>
          <w:highlight w:val="none"/>
          <w:lang w:val="en-US"/>
        </w:rPr>
        <w:t>100%</w:t>
      </w:r>
      <w:r>
        <w:rPr>
          <w:rFonts w:hint="eastAsia" w:ascii="仿宋_GB2312" w:hAnsi="仿宋_GB2312" w:eastAsia="仿宋_GB2312" w:cs="仿宋_GB2312"/>
          <w:color w:val="000000"/>
          <w:kern w:val="0"/>
          <w:sz w:val="28"/>
          <w:szCs w:val="28"/>
          <w:highlight w:val="none"/>
        </w:rPr>
        <w:t>。</w:t>
      </w:r>
    </w:p>
    <w:p w14:paraId="2F60374D">
      <w:pPr>
        <w:rPr>
          <w:highlight w:val="none"/>
        </w:rPr>
      </w:pPr>
    </w:p>
    <w:p w14:paraId="328AA687">
      <w:pPr>
        <w:rPr>
          <w:highlight w:val="none"/>
        </w:rPr>
      </w:pPr>
    </w:p>
    <w:p w14:paraId="0A7918B2">
      <w:pPr>
        <w:rPr>
          <w:highlight w:val="none"/>
        </w:rPr>
      </w:pPr>
    </w:p>
    <w:p w14:paraId="565AD77C">
      <w:pPr>
        <w:rPr>
          <w:highlight w:val="none"/>
        </w:rPr>
      </w:pPr>
    </w:p>
    <w:p w14:paraId="70CC000B">
      <w:pPr>
        <w:rPr>
          <w:highlight w:val="none"/>
        </w:rPr>
      </w:pPr>
    </w:p>
    <w:p w14:paraId="12296646">
      <w:pPr>
        <w:rPr>
          <w:highlight w:val="none"/>
        </w:rPr>
      </w:pPr>
    </w:p>
    <w:p w14:paraId="56C31579">
      <w:pPr>
        <w:rPr>
          <w:highlight w:val="none"/>
        </w:rPr>
      </w:pPr>
    </w:p>
    <w:p w14:paraId="1DCA7CD7">
      <w:pPr>
        <w:spacing w:line="520" w:lineRule="exact"/>
        <w:ind w:firstLine="640" w:firstLineChars="200"/>
        <w:rPr>
          <w:rFonts w:hint="eastAsia" w:ascii="黑体" w:hAnsi="黑体" w:eastAsia="黑体" w:cs="黑体"/>
          <w:bCs/>
          <w:color w:val="000000"/>
          <w:kern w:val="0"/>
          <w:sz w:val="32"/>
          <w:szCs w:val="32"/>
          <w:highlight w:val="none"/>
        </w:rPr>
      </w:pPr>
    </w:p>
    <w:tbl>
      <w:tblPr>
        <w:tblStyle w:val="10"/>
        <w:tblW w:w="0" w:type="auto"/>
        <w:jc w:val="center"/>
        <w:tblLayout w:type="fixed"/>
        <w:tblCellMar>
          <w:top w:w="0" w:type="dxa"/>
          <w:left w:w="108" w:type="dxa"/>
          <w:bottom w:w="0" w:type="dxa"/>
          <w:right w:w="108" w:type="dxa"/>
        </w:tblCellMar>
      </w:tblPr>
      <w:tblGrid>
        <w:gridCol w:w="1152"/>
        <w:gridCol w:w="1009"/>
        <w:gridCol w:w="982"/>
        <w:gridCol w:w="1148"/>
        <w:gridCol w:w="678"/>
        <w:gridCol w:w="207"/>
        <w:gridCol w:w="982"/>
        <w:gridCol w:w="895"/>
        <w:gridCol w:w="500"/>
        <w:gridCol w:w="443"/>
        <w:gridCol w:w="528"/>
        <w:gridCol w:w="452"/>
        <w:gridCol w:w="679"/>
        <w:gridCol w:w="680"/>
      </w:tblGrid>
      <w:tr w14:paraId="6F334400">
        <w:tblPrEx>
          <w:tblCellMar>
            <w:top w:w="0" w:type="dxa"/>
            <w:left w:w="108" w:type="dxa"/>
            <w:bottom w:w="0" w:type="dxa"/>
            <w:right w:w="108" w:type="dxa"/>
          </w:tblCellMar>
        </w:tblPrEx>
        <w:trPr>
          <w:trHeight w:val="440" w:hRule="exact"/>
          <w:jc w:val="center"/>
        </w:trPr>
        <w:tc>
          <w:tcPr>
            <w:tcW w:w="10335" w:type="dxa"/>
            <w:gridSpan w:val="14"/>
            <w:tcBorders>
              <w:top w:val="nil"/>
              <w:left w:val="nil"/>
              <w:bottom w:val="nil"/>
              <w:right w:val="nil"/>
            </w:tcBorders>
            <w:noWrap w:val="0"/>
            <w:vAlign w:val="center"/>
          </w:tcPr>
          <w:p w14:paraId="497FDCC8">
            <w:pPr>
              <w:keepNext w:val="0"/>
              <w:keepLines w:val="0"/>
              <w:widowControl/>
              <w:suppressLineNumbers w:val="0"/>
              <w:jc w:val="center"/>
              <w:textAlignment w:val="center"/>
              <w:rPr>
                <w:rFonts w:ascii="宋体" w:hAnsi="宋体" w:cs="宋体"/>
                <w:b/>
                <w:bCs/>
                <w:kern w:val="0"/>
                <w:sz w:val="32"/>
                <w:szCs w:val="32"/>
                <w:highlight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14:paraId="523327C2">
        <w:tblPrEx>
          <w:tblCellMar>
            <w:top w:w="0" w:type="dxa"/>
            <w:left w:w="108" w:type="dxa"/>
            <w:bottom w:w="0" w:type="dxa"/>
            <w:right w:w="108" w:type="dxa"/>
          </w:tblCellMar>
        </w:tblPrEx>
        <w:trPr>
          <w:trHeight w:val="194" w:hRule="atLeast"/>
          <w:jc w:val="center"/>
        </w:trPr>
        <w:tc>
          <w:tcPr>
            <w:tcW w:w="10335" w:type="dxa"/>
            <w:gridSpan w:val="14"/>
            <w:tcBorders>
              <w:top w:val="nil"/>
              <w:left w:val="nil"/>
              <w:bottom w:val="nil"/>
              <w:right w:val="nil"/>
            </w:tcBorders>
            <w:noWrap w:val="0"/>
            <w:vAlign w:val="top"/>
          </w:tcPr>
          <w:p w14:paraId="5EED1BEB">
            <w:pPr>
              <w:keepNext w:val="0"/>
              <w:keepLines w:val="0"/>
              <w:widowControl/>
              <w:suppressLineNumbers w:val="0"/>
              <w:jc w:val="center"/>
              <w:textAlignment w:val="top"/>
              <w:rPr>
                <w:rFonts w:ascii="宋体" w:hAnsi="宋体" w:cs="宋体"/>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（2024年度）</w:t>
            </w:r>
          </w:p>
        </w:tc>
      </w:tr>
      <w:tr w14:paraId="5BBB7FE1">
        <w:tblPrEx>
          <w:tblCellMar>
            <w:top w:w="0" w:type="dxa"/>
            <w:left w:w="108" w:type="dxa"/>
            <w:bottom w:w="0" w:type="dxa"/>
            <w:right w:w="108" w:type="dxa"/>
          </w:tblCellMar>
        </w:tblPrEx>
        <w:trPr>
          <w:trHeight w:val="291" w:hRule="exact"/>
          <w:jc w:val="center"/>
        </w:trPr>
        <w:tc>
          <w:tcPr>
            <w:tcW w:w="2161" w:type="dxa"/>
            <w:gridSpan w:val="2"/>
            <w:tcBorders>
              <w:top w:val="single" w:color="auto" w:sz="4" w:space="0"/>
              <w:left w:val="single" w:color="auto" w:sz="4" w:space="0"/>
              <w:bottom w:val="single" w:color="auto" w:sz="4" w:space="0"/>
              <w:right w:val="single" w:color="auto" w:sz="4" w:space="0"/>
            </w:tcBorders>
            <w:noWrap w:val="0"/>
            <w:vAlign w:val="center"/>
          </w:tcPr>
          <w:p w14:paraId="0FC5E29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项目名称</w:t>
            </w:r>
          </w:p>
        </w:tc>
        <w:tc>
          <w:tcPr>
            <w:tcW w:w="8174" w:type="dxa"/>
            <w:gridSpan w:val="12"/>
            <w:tcBorders>
              <w:top w:val="single" w:color="auto" w:sz="4" w:space="0"/>
              <w:left w:val="nil"/>
              <w:bottom w:val="single" w:color="auto" w:sz="4" w:space="0"/>
              <w:right w:val="single" w:color="auto" w:sz="4" w:space="0"/>
            </w:tcBorders>
            <w:noWrap w:val="0"/>
            <w:vAlign w:val="center"/>
          </w:tcPr>
          <w:p w14:paraId="2A31416B">
            <w:pPr>
              <w:jc w:val="center"/>
              <w:rPr>
                <w:rFonts w:ascii="宋体" w:hAnsi="宋体" w:cs="宋体"/>
                <w:kern w:val="0"/>
                <w:sz w:val="18"/>
                <w:szCs w:val="18"/>
                <w:highlight w:val="none"/>
              </w:rPr>
            </w:pPr>
            <w:r>
              <w:rPr>
                <w:rFonts w:hint="eastAsia" w:ascii="宋体" w:hAnsi="宋体" w:cs="宋体"/>
                <w:kern w:val="0"/>
                <w:sz w:val="18"/>
                <w:szCs w:val="18"/>
                <w:highlight w:val="none"/>
              </w:rPr>
              <w:t>临时辅助用工部分工资、保险、公积金补助资金</w:t>
            </w:r>
          </w:p>
        </w:tc>
      </w:tr>
      <w:tr w14:paraId="48BA104D">
        <w:tblPrEx>
          <w:tblCellMar>
            <w:top w:w="0" w:type="dxa"/>
            <w:left w:w="108" w:type="dxa"/>
            <w:bottom w:w="0" w:type="dxa"/>
            <w:right w:w="108" w:type="dxa"/>
          </w:tblCellMar>
        </w:tblPrEx>
        <w:trPr>
          <w:trHeight w:val="291" w:hRule="exact"/>
          <w:jc w:val="center"/>
        </w:trPr>
        <w:tc>
          <w:tcPr>
            <w:tcW w:w="2161" w:type="dxa"/>
            <w:gridSpan w:val="2"/>
            <w:tcBorders>
              <w:top w:val="single" w:color="auto" w:sz="4" w:space="0"/>
              <w:left w:val="single" w:color="auto" w:sz="4" w:space="0"/>
              <w:bottom w:val="single" w:color="auto" w:sz="4" w:space="0"/>
              <w:right w:val="single" w:color="auto" w:sz="4" w:space="0"/>
            </w:tcBorders>
            <w:noWrap w:val="0"/>
            <w:vAlign w:val="center"/>
          </w:tcPr>
          <w:p w14:paraId="3AB4D09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主管部门</w:t>
            </w:r>
          </w:p>
        </w:tc>
        <w:tc>
          <w:tcPr>
            <w:tcW w:w="3997" w:type="dxa"/>
            <w:gridSpan w:val="5"/>
            <w:tcBorders>
              <w:top w:val="single" w:color="auto" w:sz="4" w:space="0"/>
              <w:left w:val="nil"/>
              <w:bottom w:val="single" w:color="auto" w:sz="4" w:space="0"/>
              <w:right w:val="single" w:color="auto" w:sz="4" w:space="0"/>
            </w:tcBorders>
            <w:noWrap w:val="0"/>
            <w:vAlign w:val="center"/>
          </w:tcPr>
          <w:p w14:paraId="45DB6E81">
            <w:pPr>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西红门镇政府</w:t>
            </w:r>
          </w:p>
        </w:tc>
        <w:tc>
          <w:tcPr>
            <w:tcW w:w="1395" w:type="dxa"/>
            <w:gridSpan w:val="2"/>
            <w:tcBorders>
              <w:top w:val="nil"/>
              <w:left w:val="nil"/>
              <w:bottom w:val="single" w:color="auto" w:sz="4" w:space="0"/>
              <w:right w:val="single" w:color="auto" w:sz="4" w:space="0"/>
            </w:tcBorders>
            <w:noWrap w:val="0"/>
            <w:vAlign w:val="center"/>
          </w:tcPr>
          <w:p w14:paraId="4DF4ADB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实施单位</w:t>
            </w:r>
          </w:p>
        </w:tc>
        <w:tc>
          <w:tcPr>
            <w:tcW w:w="2782" w:type="dxa"/>
            <w:gridSpan w:val="5"/>
            <w:tcBorders>
              <w:top w:val="nil"/>
              <w:left w:val="nil"/>
              <w:bottom w:val="single" w:color="auto" w:sz="4" w:space="0"/>
              <w:right w:val="single" w:color="auto" w:sz="4" w:space="0"/>
            </w:tcBorders>
            <w:noWrap w:val="0"/>
            <w:vAlign w:val="center"/>
          </w:tcPr>
          <w:p w14:paraId="4B0737A0">
            <w:pPr>
              <w:jc w:val="center"/>
              <w:rPr>
                <w:rFonts w:ascii="宋体" w:hAnsi="宋体" w:cs="宋体"/>
                <w:kern w:val="0"/>
                <w:sz w:val="18"/>
                <w:szCs w:val="18"/>
                <w:highlight w:val="none"/>
              </w:rPr>
            </w:pPr>
            <w:r>
              <w:rPr>
                <w:rFonts w:hint="eastAsia" w:ascii="宋体" w:hAnsi="宋体" w:cs="宋体"/>
                <w:kern w:val="0"/>
                <w:sz w:val="18"/>
                <w:szCs w:val="18"/>
                <w:highlight w:val="none"/>
              </w:rPr>
              <w:t>北京市大兴区西红门镇金星社区卫生服务</w:t>
            </w:r>
          </w:p>
        </w:tc>
      </w:tr>
      <w:tr w14:paraId="4B7F0D34">
        <w:tblPrEx>
          <w:tblCellMar>
            <w:top w:w="0" w:type="dxa"/>
            <w:left w:w="108" w:type="dxa"/>
            <w:bottom w:w="0" w:type="dxa"/>
            <w:right w:w="108" w:type="dxa"/>
          </w:tblCellMar>
        </w:tblPrEx>
        <w:trPr>
          <w:trHeight w:val="291" w:hRule="exact"/>
          <w:jc w:val="center"/>
        </w:trPr>
        <w:tc>
          <w:tcPr>
            <w:tcW w:w="2161" w:type="dxa"/>
            <w:gridSpan w:val="2"/>
            <w:tcBorders>
              <w:top w:val="single" w:color="auto" w:sz="4" w:space="0"/>
              <w:left w:val="single" w:color="auto" w:sz="4" w:space="0"/>
              <w:bottom w:val="single" w:color="auto" w:sz="4" w:space="0"/>
              <w:right w:val="single" w:color="auto" w:sz="4" w:space="0"/>
            </w:tcBorders>
            <w:noWrap w:val="0"/>
            <w:vAlign w:val="center"/>
          </w:tcPr>
          <w:p w14:paraId="36BD0EF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项目负责人</w:t>
            </w:r>
          </w:p>
        </w:tc>
        <w:tc>
          <w:tcPr>
            <w:tcW w:w="3997" w:type="dxa"/>
            <w:gridSpan w:val="5"/>
            <w:tcBorders>
              <w:top w:val="single" w:color="auto" w:sz="4" w:space="0"/>
              <w:left w:val="nil"/>
              <w:bottom w:val="single" w:color="auto" w:sz="4" w:space="0"/>
              <w:right w:val="single" w:color="auto" w:sz="4" w:space="0"/>
            </w:tcBorders>
            <w:noWrap w:val="0"/>
            <w:vAlign w:val="center"/>
          </w:tcPr>
          <w:p w14:paraId="46D5BFB3">
            <w:pPr>
              <w:jc w:val="center"/>
              <w:rPr>
                <w:rFonts w:ascii="宋体" w:hAnsi="宋体" w:cs="宋体"/>
                <w:kern w:val="0"/>
                <w:sz w:val="18"/>
                <w:szCs w:val="18"/>
                <w:highlight w:val="none"/>
              </w:rPr>
            </w:pPr>
          </w:p>
        </w:tc>
        <w:tc>
          <w:tcPr>
            <w:tcW w:w="1395" w:type="dxa"/>
            <w:gridSpan w:val="2"/>
            <w:tcBorders>
              <w:top w:val="nil"/>
              <w:left w:val="nil"/>
              <w:bottom w:val="single" w:color="auto" w:sz="4" w:space="0"/>
              <w:right w:val="single" w:color="auto" w:sz="4" w:space="0"/>
            </w:tcBorders>
            <w:noWrap w:val="0"/>
            <w:vAlign w:val="center"/>
          </w:tcPr>
          <w:p w14:paraId="270CC9B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联系电话</w:t>
            </w:r>
          </w:p>
        </w:tc>
        <w:tc>
          <w:tcPr>
            <w:tcW w:w="2782" w:type="dxa"/>
            <w:gridSpan w:val="5"/>
            <w:tcBorders>
              <w:top w:val="nil"/>
              <w:left w:val="nil"/>
              <w:bottom w:val="single" w:color="auto" w:sz="4" w:space="0"/>
              <w:right w:val="single" w:color="auto" w:sz="4" w:space="0"/>
            </w:tcBorders>
            <w:noWrap w:val="0"/>
            <w:vAlign w:val="center"/>
          </w:tcPr>
          <w:p w14:paraId="467C85A6">
            <w:pPr>
              <w:jc w:val="center"/>
              <w:rPr>
                <w:rFonts w:ascii="宋体" w:hAnsi="宋体" w:cs="宋体"/>
                <w:kern w:val="0"/>
                <w:sz w:val="18"/>
                <w:szCs w:val="18"/>
                <w:highlight w:val="none"/>
              </w:rPr>
            </w:pPr>
          </w:p>
        </w:tc>
      </w:tr>
      <w:tr w14:paraId="4ECBEED0">
        <w:tblPrEx>
          <w:tblCellMar>
            <w:top w:w="0" w:type="dxa"/>
            <w:left w:w="108" w:type="dxa"/>
            <w:bottom w:w="0" w:type="dxa"/>
            <w:right w:w="108" w:type="dxa"/>
          </w:tblCellMar>
        </w:tblPrEx>
        <w:trPr>
          <w:trHeight w:val="291" w:hRule="exact"/>
          <w:jc w:val="center"/>
        </w:trPr>
        <w:tc>
          <w:tcPr>
            <w:tcW w:w="2161"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0321C2B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项目资金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（万元）</w:t>
            </w:r>
          </w:p>
        </w:tc>
        <w:tc>
          <w:tcPr>
            <w:tcW w:w="2130" w:type="dxa"/>
            <w:gridSpan w:val="2"/>
            <w:tcBorders>
              <w:top w:val="single" w:color="auto" w:sz="4" w:space="0"/>
              <w:left w:val="nil"/>
              <w:bottom w:val="single" w:color="auto" w:sz="4" w:space="0"/>
              <w:right w:val="single" w:color="auto" w:sz="4" w:space="0"/>
            </w:tcBorders>
            <w:noWrap w:val="0"/>
            <w:vAlign w:val="center"/>
          </w:tcPr>
          <w:p w14:paraId="4E4093C2">
            <w:pPr>
              <w:jc w:val="center"/>
              <w:rPr>
                <w:rFonts w:ascii="宋体" w:hAnsi="宋体" w:cs="宋体"/>
                <w:kern w:val="0"/>
                <w:sz w:val="18"/>
                <w:szCs w:val="18"/>
                <w:highlight w:val="none"/>
              </w:rPr>
            </w:pPr>
          </w:p>
        </w:tc>
        <w:tc>
          <w:tcPr>
            <w:tcW w:w="678" w:type="dxa"/>
            <w:tcBorders>
              <w:top w:val="nil"/>
              <w:left w:val="nil"/>
              <w:bottom w:val="single" w:color="auto" w:sz="4" w:space="0"/>
              <w:right w:val="single" w:color="auto" w:sz="4" w:space="0"/>
            </w:tcBorders>
            <w:noWrap w:val="0"/>
            <w:vAlign w:val="center"/>
          </w:tcPr>
          <w:p w14:paraId="54FCAFC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年初预算</w:t>
            </w:r>
          </w:p>
        </w:tc>
        <w:tc>
          <w:tcPr>
            <w:tcW w:w="1189" w:type="dxa"/>
            <w:gridSpan w:val="2"/>
            <w:tcBorders>
              <w:top w:val="nil"/>
              <w:left w:val="nil"/>
              <w:bottom w:val="single" w:color="auto" w:sz="4" w:space="0"/>
              <w:right w:val="single" w:color="auto" w:sz="4" w:space="0"/>
            </w:tcBorders>
            <w:noWrap w:val="0"/>
            <w:vAlign w:val="center"/>
          </w:tcPr>
          <w:p w14:paraId="3AD46D88">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全年预算数</w:t>
            </w:r>
          </w:p>
        </w:tc>
        <w:tc>
          <w:tcPr>
            <w:tcW w:w="1395" w:type="dxa"/>
            <w:gridSpan w:val="2"/>
            <w:tcBorders>
              <w:top w:val="nil"/>
              <w:left w:val="nil"/>
              <w:bottom w:val="single" w:color="auto" w:sz="4" w:space="0"/>
              <w:right w:val="single" w:color="auto" w:sz="4" w:space="0"/>
            </w:tcBorders>
            <w:noWrap w:val="0"/>
            <w:vAlign w:val="center"/>
          </w:tcPr>
          <w:p w14:paraId="2E52441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全年执行数</w:t>
            </w:r>
          </w:p>
        </w:tc>
        <w:tc>
          <w:tcPr>
            <w:tcW w:w="971" w:type="dxa"/>
            <w:gridSpan w:val="2"/>
            <w:tcBorders>
              <w:top w:val="nil"/>
              <w:left w:val="nil"/>
              <w:bottom w:val="single" w:color="auto" w:sz="4" w:space="0"/>
              <w:right w:val="single" w:color="auto" w:sz="4" w:space="0"/>
            </w:tcBorders>
            <w:noWrap w:val="0"/>
            <w:vAlign w:val="center"/>
          </w:tcPr>
          <w:p w14:paraId="42F02A85">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1131" w:type="dxa"/>
            <w:gridSpan w:val="2"/>
            <w:tcBorders>
              <w:top w:val="nil"/>
              <w:left w:val="nil"/>
              <w:bottom w:val="single" w:color="auto" w:sz="4" w:space="0"/>
              <w:right w:val="single" w:color="auto" w:sz="4" w:space="0"/>
            </w:tcBorders>
            <w:noWrap w:val="0"/>
            <w:vAlign w:val="center"/>
          </w:tcPr>
          <w:p w14:paraId="091AFE2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680" w:type="dxa"/>
            <w:tcBorders>
              <w:top w:val="nil"/>
              <w:left w:val="nil"/>
              <w:bottom w:val="single" w:color="auto" w:sz="4" w:space="0"/>
              <w:right w:val="single" w:color="auto" w:sz="4" w:space="0"/>
            </w:tcBorders>
            <w:noWrap w:val="0"/>
            <w:vAlign w:val="center"/>
          </w:tcPr>
          <w:p w14:paraId="3FF674B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r>
      <w:tr w14:paraId="2CBE3C5E">
        <w:tblPrEx>
          <w:tblCellMar>
            <w:top w:w="0" w:type="dxa"/>
            <w:left w:w="108" w:type="dxa"/>
            <w:bottom w:w="0" w:type="dxa"/>
            <w:right w:w="108" w:type="dxa"/>
          </w:tblCellMar>
        </w:tblPrEx>
        <w:trPr>
          <w:trHeight w:val="291" w:hRule="exact"/>
          <w:jc w:val="center"/>
        </w:trPr>
        <w:tc>
          <w:tcPr>
            <w:tcW w:w="216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FFDF940">
            <w:pPr>
              <w:jc w:val="center"/>
              <w:rPr>
                <w:rFonts w:ascii="宋体" w:hAnsi="宋体" w:cs="宋体"/>
                <w:kern w:val="0"/>
                <w:sz w:val="18"/>
                <w:szCs w:val="18"/>
                <w:highlight w:val="none"/>
              </w:rPr>
            </w:pPr>
          </w:p>
        </w:tc>
        <w:tc>
          <w:tcPr>
            <w:tcW w:w="2130" w:type="dxa"/>
            <w:gridSpan w:val="2"/>
            <w:tcBorders>
              <w:top w:val="single" w:color="auto" w:sz="4" w:space="0"/>
              <w:left w:val="nil"/>
              <w:bottom w:val="single" w:color="auto" w:sz="4" w:space="0"/>
              <w:right w:val="single" w:color="auto" w:sz="4" w:space="0"/>
            </w:tcBorders>
            <w:noWrap w:val="0"/>
            <w:vAlign w:val="center"/>
          </w:tcPr>
          <w:p w14:paraId="3DBC7FAD">
            <w:pPr>
              <w:keepNext w:val="0"/>
              <w:keepLines w:val="0"/>
              <w:widowControl/>
              <w:suppressLineNumbers w:val="0"/>
              <w:jc w:val="both"/>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年度资金总额</w:t>
            </w:r>
          </w:p>
        </w:tc>
        <w:tc>
          <w:tcPr>
            <w:tcW w:w="678" w:type="dxa"/>
            <w:tcBorders>
              <w:top w:val="nil"/>
              <w:left w:val="nil"/>
              <w:bottom w:val="single" w:color="auto" w:sz="4" w:space="0"/>
              <w:right w:val="single" w:color="auto" w:sz="4" w:space="0"/>
            </w:tcBorders>
            <w:noWrap w:val="0"/>
            <w:vAlign w:val="center"/>
          </w:tcPr>
          <w:p w14:paraId="3E550709">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193</w:t>
            </w:r>
          </w:p>
        </w:tc>
        <w:tc>
          <w:tcPr>
            <w:tcW w:w="1189" w:type="dxa"/>
            <w:gridSpan w:val="2"/>
            <w:tcBorders>
              <w:top w:val="nil"/>
              <w:left w:val="nil"/>
              <w:bottom w:val="single" w:color="auto" w:sz="4" w:space="0"/>
              <w:right w:val="single" w:color="auto" w:sz="4" w:space="0"/>
            </w:tcBorders>
            <w:noWrap w:val="0"/>
            <w:vAlign w:val="center"/>
          </w:tcPr>
          <w:p w14:paraId="425AE839">
            <w:pPr>
              <w:jc w:val="center"/>
              <w:rPr>
                <w:rFonts w:hint="eastAsia"/>
                <w:highlight w:val="none"/>
                <w:lang w:val="en-US" w:eastAsia="zh-CN"/>
              </w:rPr>
            </w:pPr>
            <w:r>
              <w:rPr>
                <w:rFonts w:hint="eastAsia"/>
                <w:highlight w:val="none"/>
                <w:lang w:val="en-US" w:eastAsia="zh-CN"/>
              </w:rPr>
              <w:t>193</w:t>
            </w:r>
          </w:p>
          <w:p w14:paraId="4A57F1FB">
            <w:pPr>
              <w:jc w:val="center"/>
              <w:rPr>
                <w:rFonts w:hint="default"/>
                <w:highlight w:val="none"/>
                <w:lang w:val="en-US" w:eastAsia="zh-CN"/>
              </w:rPr>
            </w:pPr>
            <w:r>
              <w:rPr>
                <w:rFonts w:hint="eastAsia"/>
                <w:highlight w:val="none"/>
                <w:lang w:val="en-US" w:eastAsia="zh-CN"/>
              </w:rPr>
              <w:t>1</w:t>
            </w:r>
          </w:p>
        </w:tc>
        <w:tc>
          <w:tcPr>
            <w:tcW w:w="1395" w:type="dxa"/>
            <w:gridSpan w:val="2"/>
            <w:tcBorders>
              <w:top w:val="nil"/>
              <w:left w:val="nil"/>
              <w:bottom w:val="single" w:color="auto" w:sz="4" w:space="0"/>
              <w:right w:val="single" w:color="auto" w:sz="4" w:space="0"/>
            </w:tcBorders>
            <w:noWrap w:val="0"/>
            <w:vAlign w:val="center"/>
          </w:tcPr>
          <w:p w14:paraId="437A552E">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193</w:t>
            </w:r>
          </w:p>
        </w:tc>
        <w:tc>
          <w:tcPr>
            <w:tcW w:w="971" w:type="dxa"/>
            <w:gridSpan w:val="2"/>
            <w:tcBorders>
              <w:top w:val="nil"/>
              <w:left w:val="nil"/>
              <w:bottom w:val="single" w:color="auto" w:sz="4" w:space="0"/>
              <w:right w:val="single" w:color="auto" w:sz="4" w:space="0"/>
            </w:tcBorders>
            <w:noWrap w:val="0"/>
            <w:vAlign w:val="center"/>
          </w:tcPr>
          <w:p w14:paraId="4C14753A">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10分</w:t>
            </w:r>
          </w:p>
        </w:tc>
        <w:tc>
          <w:tcPr>
            <w:tcW w:w="1131" w:type="dxa"/>
            <w:gridSpan w:val="2"/>
            <w:tcBorders>
              <w:top w:val="nil"/>
              <w:left w:val="nil"/>
              <w:bottom w:val="single" w:color="auto" w:sz="4" w:space="0"/>
              <w:right w:val="single" w:color="auto" w:sz="4" w:space="0"/>
            </w:tcBorders>
            <w:noWrap w:val="0"/>
            <w:vAlign w:val="center"/>
          </w:tcPr>
          <w:p w14:paraId="156BF428">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680" w:type="dxa"/>
            <w:tcBorders>
              <w:top w:val="nil"/>
              <w:left w:val="nil"/>
              <w:bottom w:val="single" w:color="auto" w:sz="4" w:space="0"/>
              <w:right w:val="single" w:color="auto" w:sz="4" w:space="0"/>
            </w:tcBorders>
            <w:noWrap w:val="0"/>
            <w:vAlign w:val="center"/>
          </w:tcPr>
          <w:p w14:paraId="56256B2E">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0</w:t>
            </w:r>
          </w:p>
        </w:tc>
      </w:tr>
      <w:tr w14:paraId="6AB3B25C">
        <w:tblPrEx>
          <w:tblCellMar>
            <w:top w:w="0" w:type="dxa"/>
            <w:left w:w="108" w:type="dxa"/>
            <w:bottom w:w="0" w:type="dxa"/>
            <w:right w:w="108" w:type="dxa"/>
          </w:tblCellMar>
        </w:tblPrEx>
        <w:trPr>
          <w:trHeight w:val="291" w:hRule="exact"/>
          <w:jc w:val="center"/>
        </w:trPr>
        <w:tc>
          <w:tcPr>
            <w:tcW w:w="216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EF715DD">
            <w:pPr>
              <w:jc w:val="center"/>
              <w:rPr>
                <w:rFonts w:ascii="宋体" w:hAnsi="宋体" w:cs="宋体"/>
                <w:kern w:val="0"/>
                <w:sz w:val="18"/>
                <w:szCs w:val="18"/>
                <w:highlight w:val="none"/>
              </w:rPr>
            </w:pPr>
          </w:p>
        </w:tc>
        <w:tc>
          <w:tcPr>
            <w:tcW w:w="2130" w:type="dxa"/>
            <w:gridSpan w:val="2"/>
            <w:tcBorders>
              <w:top w:val="single" w:color="auto" w:sz="4" w:space="0"/>
              <w:left w:val="nil"/>
              <w:bottom w:val="single" w:color="auto" w:sz="4" w:space="0"/>
              <w:right w:val="single" w:color="auto" w:sz="4" w:space="0"/>
            </w:tcBorders>
            <w:noWrap w:val="0"/>
            <w:vAlign w:val="center"/>
          </w:tcPr>
          <w:p w14:paraId="5E6D3C9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其中：当年财政拨款</w:t>
            </w:r>
          </w:p>
        </w:tc>
        <w:tc>
          <w:tcPr>
            <w:tcW w:w="678" w:type="dxa"/>
            <w:tcBorders>
              <w:top w:val="nil"/>
              <w:left w:val="nil"/>
              <w:bottom w:val="single" w:color="auto" w:sz="4" w:space="0"/>
              <w:right w:val="single" w:color="auto" w:sz="4" w:space="0"/>
            </w:tcBorders>
            <w:noWrap w:val="0"/>
            <w:vAlign w:val="center"/>
          </w:tcPr>
          <w:p w14:paraId="45DCE3D2">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193</w:t>
            </w:r>
          </w:p>
        </w:tc>
        <w:tc>
          <w:tcPr>
            <w:tcW w:w="1189" w:type="dxa"/>
            <w:gridSpan w:val="2"/>
            <w:tcBorders>
              <w:top w:val="nil"/>
              <w:left w:val="nil"/>
              <w:bottom w:val="single" w:color="auto" w:sz="4" w:space="0"/>
              <w:right w:val="single" w:color="auto" w:sz="4" w:space="0"/>
            </w:tcBorders>
            <w:noWrap w:val="0"/>
            <w:vAlign w:val="center"/>
          </w:tcPr>
          <w:p w14:paraId="5E6771E8">
            <w:pPr>
              <w:jc w:val="center"/>
              <w:rPr>
                <w:rFonts w:hint="default" w:eastAsia="宋体"/>
                <w:highlight w:val="none"/>
                <w:lang w:val="en-US" w:eastAsia="zh-CN"/>
              </w:rPr>
            </w:pPr>
            <w:r>
              <w:rPr>
                <w:rFonts w:hint="eastAsia"/>
                <w:highlight w:val="none"/>
                <w:lang w:val="en-US" w:eastAsia="zh-CN"/>
              </w:rPr>
              <w:t>193</w:t>
            </w:r>
          </w:p>
        </w:tc>
        <w:tc>
          <w:tcPr>
            <w:tcW w:w="1395" w:type="dxa"/>
            <w:gridSpan w:val="2"/>
            <w:tcBorders>
              <w:top w:val="nil"/>
              <w:left w:val="nil"/>
              <w:bottom w:val="single" w:color="auto" w:sz="4" w:space="0"/>
              <w:right w:val="single" w:color="auto" w:sz="4" w:space="0"/>
            </w:tcBorders>
            <w:noWrap w:val="0"/>
            <w:vAlign w:val="center"/>
          </w:tcPr>
          <w:p w14:paraId="759A0B0F">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193</w:t>
            </w:r>
          </w:p>
        </w:tc>
        <w:tc>
          <w:tcPr>
            <w:tcW w:w="971" w:type="dxa"/>
            <w:gridSpan w:val="2"/>
            <w:tcBorders>
              <w:top w:val="nil"/>
              <w:left w:val="nil"/>
              <w:bottom w:val="single" w:color="auto" w:sz="4" w:space="0"/>
              <w:right w:val="single" w:color="auto" w:sz="4" w:space="0"/>
            </w:tcBorders>
            <w:noWrap w:val="0"/>
            <w:vAlign w:val="center"/>
          </w:tcPr>
          <w:p w14:paraId="262C30A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14:paraId="46FD070D">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14:paraId="2569D5AC">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0B70DB19">
        <w:tblPrEx>
          <w:tblCellMar>
            <w:top w:w="0" w:type="dxa"/>
            <w:left w:w="108" w:type="dxa"/>
            <w:bottom w:w="0" w:type="dxa"/>
            <w:right w:w="108" w:type="dxa"/>
          </w:tblCellMar>
        </w:tblPrEx>
        <w:trPr>
          <w:trHeight w:val="272" w:hRule="exact"/>
          <w:jc w:val="center"/>
        </w:trPr>
        <w:tc>
          <w:tcPr>
            <w:tcW w:w="216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E5839D4">
            <w:pPr>
              <w:jc w:val="center"/>
              <w:rPr>
                <w:rFonts w:ascii="宋体" w:hAnsi="宋体" w:cs="宋体"/>
                <w:kern w:val="0"/>
                <w:sz w:val="18"/>
                <w:szCs w:val="18"/>
                <w:highlight w:val="none"/>
              </w:rPr>
            </w:pPr>
          </w:p>
        </w:tc>
        <w:tc>
          <w:tcPr>
            <w:tcW w:w="2130" w:type="dxa"/>
            <w:gridSpan w:val="2"/>
            <w:tcBorders>
              <w:top w:val="single" w:color="auto" w:sz="4" w:space="0"/>
              <w:left w:val="nil"/>
              <w:bottom w:val="single" w:color="auto" w:sz="4" w:space="0"/>
              <w:right w:val="single" w:color="auto" w:sz="4" w:space="0"/>
            </w:tcBorders>
            <w:noWrap w:val="0"/>
            <w:vAlign w:val="center"/>
          </w:tcPr>
          <w:p w14:paraId="192EB54B">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 xml:space="preserve">          上年结转资金</w:t>
            </w:r>
          </w:p>
        </w:tc>
        <w:tc>
          <w:tcPr>
            <w:tcW w:w="678" w:type="dxa"/>
            <w:tcBorders>
              <w:top w:val="nil"/>
              <w:left w:val="nil"/>
              <w:bottom w:val="single" w:color="auto" w:sz="4" w:space="0"/>
              <w:right w:val="single" w:color="auto" w:sz="4" w:space="0"/>
            </w:tcBorders>
            <w:noWrap w:val="0"/>
            <w:vAlign w:val="center"/>
          </w:tcPr>
          <w:p w14:paraId="3605C0D7">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14:paraId="64CFDE2B">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14:paraId="4959411C">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14:paraId="1145EA2E">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14:paraId="0835B26F">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14:paraId="2AC4A676">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53128A48">
        <w:tblPrEx>
          <w:tblCellMar>
            <w:top w:w="0" w:type="dxa"/>
            <w:left w:w="108" w:type="dxa"/>
            <w:bottom w:w="0" w:type="dxa"/>
            <w:right w:w="108" w:type="dxa"/>
          </w:tblCellMar>
        </w:tblPrEx>
        <w:trPr>
          <w:trHeight w:val="291" w:hRule="exact"/>
          <w:jc w:val="center"/>
        </w:trPr>
        <w:tc>
          <w:tcPr>
            <w:tcW w:w="216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6F0AFFA">
            <w:pPr>
              <w:jc w:val="center"/>
              <w:rPr>
                <w:rFonts w:ascii="宋体" w:hAnsi="宋体" w:cs="宋体"/>
                <w:kern w:val="0"/>
                <w:sz w:val="18"/>
                <w:szCs w:val="18"/>
                <w:highlight w:val="none"/>
              </w:rPr>
            </w:pPr>
          </w:p>
        </w:tc>
        <w:tc>
          <w:tcPr>
            <w:tcW w:w="2130" w:type="dxa"/>
            <w:gridSpan w:val="2"/>
            <w:tcBorders>
              <w:top w:val="single" w:color="auto" w:sz="4" w:space="0"/>
              <w:left w:val="nil"/>
              <w:bottom w:val="single" w:color="auto" w:sz="4" w:space="0"/>
              <w:right w:val="single" w:color="auto" w:sz="4" w:space="0"/>
            </w:tcBorders>
            <w:noWrap w:val="0"/>
            <w:vAlign w:val="center"/>
          </w:tcPr>
          <w:p w14:paraId="0D4C7E71">
            <w:pPr>
              <w:keepNext w:val="0"/>
              <w:keepLines w:val="0"/>
              <w:widowControl/>
              <w:suppressLineNumbers w:val="0"/>
              <w:jc w:val="center"/>
              <w:textAlignment w:val="center"/>
              <w:rPr>
                <w:rFonts w:ascii="宋体" w:hAnsi="宋体" w:cs="宋体"/>
                <w:kern w:val="0"/>
                <w:sz w:val="18"/>
                <w:szCs w:val="18"/>
                <w:highlight w:val="none"/>
              </w:rPr>
            </w:pPr>
            <w:r>
              <w:rPr>
                <w:rStyle w:val="20"/>
                <w:highlight w:val="none"/>
                <w:lang w:val="en-US" w:eastAsia="zh-CN" w:bidi="ar"/>
              </w:rPr>
              <w:t xml:space="preserve">  其他资金</w:t>
            </w:r>
          </w:p>
        </w:tc>
        <w:tc>
          <w:tcPr>
            <w:tcW w:w="678" w:type="dxa"/>
            <w:tcBorders>
              <w:top w:val="nil"/>
              <w:left w:val="nil"/>
              <w:bottom w:val="single" w:color="auto" w:sz="4" w:space="0"/>
              <w:right w:val="single" w:color="auto" w:sz="4" w:space="0"/>
            </w:tcBorders>
            <w:noWrap w:val="0"/>
            <w:vAlign w:val="center"/>
          </w:tcPr>
          <w:p w14:paraId="568EEDA8">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14:paraId="77AEA75B">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14:paraId="4059953A">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14:paraId="520BC317">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14:paraId="041BAA43">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14:paraId="3DF2939B">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1D7DE2F3">
        <w:tblPrEx>
          <w:tblCellMar>
            <w:top w:w="0" w:type="dxa"/>
            <w:left w:w="108" w:type="dxa"/>
            <w:bottom w:w="0" w:type="dxa"/>
            <w:right w:w="108" w:type="dxa"/>
          </w:tblCellMar>
        </w:tblPrEx>
        <w:trPr>
          <w:trHeight w:val="291" w:hRule="exact"/>
          <w:jc w:val="center"/>
        </w:trPr>
        <w:tc>
          <w:tcPr>
            <w:tcW w:w="216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582ED6B">
            <w:pPr>
              <w:jc w:val="center"/>
              <w:rPr>
                <w:rFonts w:ascii="宋体" w:hAnsi="宋体" w:cs="宋体"/>
                <w:kern w:val="0"/>
                <w:sz w:val="18"/>
                <w:szCs w:val="18"/>
                <w:highlight w:val="none"/>
              </w:rPr>
            </w:pPr>
          </w:p>
        </w:tc>
        <w:tc>
          <w:tcPr>
            <w:tcW w:w="2130" w:type="dxa"/>
            <w:gridSpan w:val="2"/>
            <w:tcBorders>
              <w:top w:val="single" w:color="auto" w:sz="4" w:space="0"/>
              <w:left w:val="nil"/>
              <w:bottom w:val="single" w:color="auto" w:sz="4" w:space="0"/>
              <w:right w:val="single" w:color="auto" w:sz="4" w:space="0"/>
            </w:tcBorders>
            <w:noWrap w:val="0"/>
            <w:vAlign w:val="center"/>
          </w:tcPr>
          <w:p w14:paraId="2963A7D8">
            <w:pPr>
              <w:keepNext w:val="0"/>
              <w:keepLines w:val="0"/>
              <w:widowControl/>
              <w:suppressLineNumbers w:val="0"/>
              <w:jc w:val="center"/>
              <w:textAlignment w:val="center"/>
              <w:rPr>
                <w:rFonts w:ascii="宋体" w:hAnsi="宋体" w:cs="宋体"/>
                <w:kern w:val="0"/>
                <w:sz w:val="18"/>
                <w:szCs w:val="18"/>
                <w:highlight w:val="none"/>
              </w:rPr>
            </w:pPr>
            <w:r>
              <w:rPr>
                <w:rStyle w:val="20"/>
                <w:highlight w:val="none"/>
                <w:lang w:val="en-US" w:eastAsia="zh-CN" w:bidi="ar"/>
              </w:rPr>
              <w:t xml:space="preserve">        中央直达资金</w:t>
            </w:r>
            <w:r>
              <w:rPr>
                <w:rStyle w:val="21"/>
                <w:highlight w:val="none"/>
                <w:lang w:val="en-US" w:eastAsia="zh-CN" w:bidi="ar"/>
              </w:rPr>
              <w:t xml:space="preserve"> </w:t>
            </w:r>
          </w:p>
        </w:tc>
        <w:tc>
          <w:tcPr>
            <w:tcW w:w="678" w:type="dxa"/>
            <w:tcBorders>
              <w:top w:val="nil"/>
              <w:left w:val="nil"/>
              <w:bottom w:val="single" w:color="auto" w:sz="4" w:space="0"/>
              <w:right w:val="single" w:color="auto" w:sz="4" w:space="0"/>
            </w:tcBorders>
            <w:noWrap w:val="0"/>
            <w:vAlign w:val="center"/>
          </w:tcPr>
          <w:p w14:paraId="1EEBADBC">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14:paraId="5741059C">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14:paraId="6DC1E13B">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14:paraId="46859D4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14:paraId="00951F08">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14:paraId="54760096">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14:paraId="79D61CBB">
        <w:tblPrEx>
          <w:tblCellMar>
            <w:top w:w="0" w:type="dxa"/>
            <w:left w:w="108" w:type="dxa"/>
            <w:bottom w:w="0" w:type="dxa"/>
            <w:right w:w="108" w:type="dxa"/>
          </w:tblCellMar>
        </w:tblPrEx>
        <w:trPr>
          <w:trHeight w:val="291" w:hRule="exact"/>
          <w:jc w:val="center"/>
        </w:trPr>
        <w:tc>
          <w:tcPr>
            <w:tcW w:w="1152" w:type="dxa"/>
            <w:vMerge w:val="restart"/>
            <w:tcBorders>
              <w:top w:val="nil"/>
              <w:left w:val="single" w:color="auto" w:sz="4" w:space="0"/>
              <w:bottom w:val="single" w:color="auto" w:sz="4" w:space="0"/>
              <w:right w:val="single" w:color="auto" w:sz="4" w:space="0"/>
            </w:tcBorders>
            <w:noWrap w:val="0"/>
            <w:vAlign w:val="center"/>
          </w:tcPr>
          <w:p w14:paraId="3E1CA4E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年度总体目标</w:t>
            </w:r>
          </w:p>
        </w:tc>
        <w:tc>
          <w:tcPr>
            <w:tcW w:w="5006" w:type="dxa"/>
            <w:gridSpan w:val="6"/>
            <w:tcBorders>
              <w:top w:val="single" w:color="auto" w:sz="4" w:space="0"/>
              <w:left w:val="nil"/>
              <w:bottom w:val="single" w:color="auto" w:sz="4" w:space="0"/>
              <w:right w:val="single" w:color="auto" w:sz="4" w:space="0"/>
            </w:tcBorders>
            <w:noWrap w:val="0"/>
            <w:vAlign w:val="center"/>
          </w:tcPr>
          <w:p w14:paraId="4B74494C">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预期目标</w:t>
            </w:r>
          </w:p>
        </w:tc>
        <w:tc>
          <w:tcPr>
            <w:tcW w:w="4177" w:type="dxa"/>
            <w:gridSpan w:val="7"/>
            <w:tcBorders>
              <w:top w:val="single" w:color="auto" w:sz="4" w:space="0"/>
              <w:left w:val="nil"/>
              <w:bottom w:val="single" w:color="auto" w:sz="4" w:space="0"/>
              <w:right w:val="single" w:color="auto" w:sz="4" w:space="0"/>
            </w:tcBorders>
            <w:noWrap w:val="0"/>
            <w:vAlign w:val="center"/>
          </w:tcPr>
          <w:p w14:paraId="2A4DDE28">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实际完成情况</w:t>
            </w:r>
          </w:p>
        </w:tc>
      </w:tr>
      <w:tr w14:paraId="2814300A">
        <w:tblPrEx>
          <w:tblCellMar>
            <w:top w:w="0" w:type="dxa"/>
            <w:left w:w="108" w:type="dxa"/>
            <w:bottom w:w="0" w:type="dxa"/>
            <w:right w:w="108" w:type="dxa"/>
          </w:tblCellMar>
        </w:tblPrEx>
        <w:trPr>
          <w:trHeight w:val="1636" w:hRule="exact"/>
          <w:jc w:val="center"/>
        </w:trPr>
        <w:tc>
          <w:tcPr>
            <w:tcW w:w="1152" w:type="dxa"/>
            <w:vMerge w:val="continue"/>
            <w:tcBorders>
              <w:top w:val="nil"/>
              <w:left w:val="single" w:color="auto" w:sz="4" w:space="0"/>
              <w:bottom w:val="single" w:color="auto" w:sz="4" w:space="0"/>
              <w:right w:val="single" w:color="auto" w:sz="4" w:space="0"/>
            </w:tcBorders>
            <w:noWrap w:val="0"/>
            <w:vAlign w:val="center"/>
          </w:tcPr>
          <w:p w14:paraId="22A8DD33">
            <w:pPr>
              <w:jc w:val="center"/>
              <w:rPr>
                <w:rFonts w:ascii="宋体" w:hAnsi="宋体" w:cs="宋体"/>
                <w:kern w:val="0"/>
                <w:sz w:val="18"/>
                <w:szCs w:val="18"/>
                <w:highlight w:val="none"/>
              </w:rPr>
            </w:pPr>
          </w:p>
        </w:tc>
        <w:tc>
          <w:tcPr>
            <w:tcW w:w="5006" w:type="dxa"/>
            <w:gridSpan w:val="6"/>
            <w:tcBorders>
              <w:top w:val="single" w:color="auto" w:sz="4" w:space="0"/>
              <w:left w:val="nil"/>
              <w:bottom w:val="single" w:color="auto" w:sz="4" w:space="0"/>
              <w:right w:val="single" w:color="auto" w:sz="4" w:space="0"/>
            </w:tcBorders>
            <w:noWrap w:val="0"/>
            <w:vAlign w:val="center"/>
          </w:tcPr>
          <w:p w14:paraId="5BB1A04D">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为完成对临时辅助用工部分工资、保险、公积金支出的补助，保障临时辅助用工人员正常开展工作</w:t>
            </w:r>
          </w:p>
        </w:tc>
        <w:tc>
          <w:tcPr>
            <w:tcW w:w="4177" w:type="dxa"/>
            <w:gridSpan w:val="7"/>
            <w:tcBorders>
              <w:top w:val="single" w:color="auto" w:sz="4" w:space="0"/>
              <w:left w:val="nil"/>
              <w:bottom w:val="single" w:color="auto" w:sz="4" w:space="0"/>
              <w:right w:val="single" w:color="auto" w:sz="4" w:space="0"/>
            </w:tcBorders>
            <w:noWrap w:val="0"/>
            <w:vAlign w:val="center"/>
          </w:tcPr>
          <w:p w14:paraId="0A3A5DE7">
            <w:pPr>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为完成对临时辅助用工部分工资、保险、公积金支出的补助，保障临时辅助用工人员正常开展工作</w:t>
            </w:r>
          </w:p>
        </w:tc>
      </w:tr>
      <w:tr w14:paraId="7C7E5DA1">
        <w:tblPrEx>
          <w:tblCellMar>
            <w:top w:w="0" w:type="dxa"/>
            <w:left w:w="108" w:type="dxa"/>
            <w:bottom w:w="0" w:type="dxa"/>
            <w:right w:w="108" w:type="dxa"/>
          </w:tblCellMar>
        </w:tblPrEx>
        <w:trPr>
          <w:trHeight w:val="517" w:hRule="exact"/>
          <w:jc w:val="center"/>
        </w:trPr>
        <w:tc>
          <w:tcPr>
            <w:tcW w:w="1152" w:type="dxa"/>
            <w:vMerge w:val="restart"/>
            <w:tcBorders>
              <w:top w:val="nil"/>
              <w:left w:val="single" w:color="auto" w:sz="4" w:space="0"/>
              <w:right w:val="single" w:color="auto" w:sz="4" w:space="0"/>
            </w:tcBorders>
            <w:noWrap w:val="0"/>
            <w:vAlign w:val="center"/>
          </w:tcPr>
          <w:p w14:paraId="3B6258B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绩</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效</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标</w:t>
            </w:r>
          </w:p>
        </w:tc>
        <w:tc>
          <w:tcPr>
            <w:tcW w:w="1009" w:type="dxa"/>
            <w:tcBorders>
              <w:top w:val="nil"/>
              <w:left w:val="nil"/>
              <w:bottom w:val="single" w:color="auto" w:sz="4" w:space="0"/>
              <w:right w:val="single" w:color="auto" w:sz="4" w:space="0"/>
            </w:tcBorders>
            <w:noWrap w:val="0"/>
            <w:vAlign w:val="center"/>
          </w:tcPr>
          <w:p w14:paraId="21D83B98">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一级指标</w:t>
            </w:r>
          </w:p>
        </w:tc>
        <w:tc>
          <w:tcPr>
            <w:tcW w:w="982" w:type="dxa"/>
            <w:tcBorders>
              <w:top w:val="nil"/>
              <w:left w:val="nil"/>
              <w:bottom w:val="single" w:color="auto" w:sz="4" w:space="0"/>
              <w:right w:val="single" w:color="auto" w:sz="4" w:space="0"/>
            </w:tcBorders>
            <w:noWrap w:val="0"/>
            <w:vAlign w:val="center"/>
          </w:tcPr>
          <w:p w14:paraId="221E6D81">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二级指标</w:t>
            </w:r>
          </w:p>
        </w:tc>
        <w:tc>
          <w:tcPr>
            <w:tcW w:w="2033" w:type="dxa"/>
            <w:gridSpan w:val="3"/>
            <w:tcBorders>
              <w:top w:val="single" w:color="auto" w:sz="4" w:space="0"/>
              <w:left w:val="nil"/>
              <w:bottom w:val="single" w:color="auto" w:sz="4" w:space="0"/>
              <w:right w:val="single" w:color="auto" w:sz="4" w:space="0"/>
            </w:tcBorders>
            <w:noWrap w:val="0"/>
            <w:vAlign w:val="center"/>
          </w:tcPr>
          <w:p w14:paraId="6D3F9F8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三级指标</w:t>
            </w:r>
          </w:p>
        </w:tc>
        <w:tc>
          <w:tcPr>
            <w:tcW w:w="982" w:type="dxa"/>
            <w:tcBorders>
              <w:top w:val="nil"/>
              <w:left w:val="nil"/>
              <w:bottom w:val="single" w:color="auto" w:sz="4" w:space="0"/>
              <w:right w:val="single" w:color="auto" w:sz="4" w:space="0"/>
            </w:tcBorders>
            <w:noWrap w:val="0"/>
            <w:vAlign w:val="center"/>
          </w:tcPr>
          <w:p w14:paraId="444D7A6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年度指标值</w:t>
            </w:r>
          </w:p>
        </w:tc>
        <w:tc>
          <w:tcPr>
            <w:tcW w:w="895" w:type="dxa"/>
            <w:tcBorders>
              <w:top w:val="nil"/>
              <w:left w:val="nil"/>
              <w:bottom w:val="single" w:color="auto" w:sz="4" w:space="0"/>
              <w:right w:val="single" w:color="auto" w:sz="4" w:space="0"/>
            </w:tcBorders>
            <w:noWrap w:val="0"/>
            <w:vAlign w:val="center"/>
          </w:tcPr>
          <w:p w14:paraId="274F6EB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实际完成值</w:t>
            </w:r>
          </w:p>
        </w:tc>
        <w:tc>
          <w:tcPr>
            <w:tcW w:w="943" w:type="dxa"/>
            <w:gridSpan w:val="2"/>
            <w:tcBorders>
              <w:top w:val="nil"/>
              <w:left w:val="nil"/>
              <w:bottom w:val="single" w:color="auto" w:sz="4" w:space="0"/>
              <w:right w:val="single" w:color="auto" w:sz="4" w:space="0"/>
            </w:tcBorders>
            <w:noWrap w:val="0"/>
            <w:vAlign w:val="center"/>
          </w:tcPr>
          <w:p w14:paraId="293EB2F1">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980" w:type="dxa"/>
            <w:gridSpan w:val="2"/>
            <w:tcBorders>
              <w:top w:val="nil"/>
              <w:left w:val="nil"/>
              <w:bottom w:val="single" w:color="auto" w:sz="4" w:space="0"/>
              <w:right w:val="single" w:color="auto" w:sz="4" w:space="0"/>
            </w:tcBorders>
            <w:noWrap w:val="0"/>
            <w:vAlign w:val="center"/>
          </w:tcPr>
          <w:p w14:paraId="50DC4760">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c>
          <w:tcPr>
            <w:tcW w:w="1359" w:type="dxa"/>
            <w:gridSpan w:val="2"/>
            <w:tcBorders>
              <w:top w:val="single" w:color="auto" w:sz="4" w:space="0"/>
              <w:left w:val="nil"/>
              <w:bottom w:val="single" w:color="auto" w:sz="4" w:space="0"/>
              <w:right w:val="single" w:color="auto" w:sz="4" w:space="0"/>
            </w:tcBorders>
            <w:noWrap w:val="0"/>
            <w:vAlign w:val="center"/>
          </w:tcPr>
          <w:p w14:paraId="692CAB3F">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偏差原因分析及改进措施</w:t>
            </w:r>
          </w:p>
        </w:tc>
      </w:tr>
      <w:tr w14:paraId="1F29EA9A">
        <w:tblPrEx>
          <w:tblCellMar>
            <w:top w:w="0" w:type="dxa"/>
            <w:left w:w="108" w:type="dxa"/>
            <w:bottom w:w="0" w:type="dxa"/>
            <w:right w:w="108" w:type="dxa"/>
          </w:tblCellMar>
        </w:tblPrEx>
        <w:trPr>
          <w:trHeight w:val="645" w:hRule="exact"/>
          <w:jc w:val="center"/>
        </w:trPr>
        <w:tc>
          <w:tcPr>
            <w:tcW w:w="1152" w:type="dxa"/>
            <w:vMerge w:val="continue"/>
            <w:tcBorders>
              <w:left w:val="single" w:color="auto" w:sz="4" w:space="0"/>
              <w:right w:val="single" w:color="auto" w:sz="4" w:space="0"/>
            </w:tcBorders>
            <w:noWrap w:val="0"/>
            <w:vAlign w:val="center"/>
          </w:tcPr>
          <w:p w14:paraId="38574152">
            <w:pPr>
              <w:jc w:val="center"/>
              <w:rPr>
                <w:rFonts w:ascii="宋体" w:hAnsi="宋体" w:cs="宋体"/>
                <w:kern w:val="0"/>
                <w:sz w:val="18"/>
                <w:szCs w:val="18"/>
                <w:highlight w:val="none"/>
              </w:rPr>
            </w:pPr>
          </w:p>
        </w:tc>
        <w:tc>
          <w:tcPr>
            <w:tcW w:w="1009" w:type="dxa"/>
            <w:vMerge w:val="restart"/>
            <w:tcBorders>
              <w:top w:val="nil"/>
              <w:left w:val="single" w:color="auto" w:sz="4" w:space="0"/>
              <w:bottom w:val="single" w:color="auto" w:sz="4" w:space="0"/>
              <w:right w:val="single" w:color="auto" w:sz="4" w:space="0"/>
            </w:tcBorders>
            <w:noWrap w:val="0"/>
            <w:vAlign w:val="center"/>
          </w:tcPr>
          <w:p w14:paraId="196B2A37">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产出指标（40分）</w:t>
            </w:r>
          </w:p>
        </w:tc>
        <w:tc>
          <w:tcPr>
            <w:tcW w:w="982" w:type="dxa"/>
            <w:vMerge w:val="restart"/>
            <w:tcBorders>
              <w:top w:val="nil"/>
              <w:left w:val="single" w:color="auto" w:sz="4" w:space="0"/>
              <w:bottom w:val="single" w:color="auto" w:sz="4" w:space="0"/>
              <w:right w:val="single" w:color="auto" w:sz="4" w:space="0"/>
            </w:tcBorders>
            <w:noWrap w:val="0"/>
            <w:vAlign w:val="center"/>
          </w:tcPr>
          <w:p w14:paraId="01F159C1">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2033" w:type="dxa"/>
            <w:gridSpan w:val="3"/>
            <w:tcBorders>
              <w:top w:val="single" w:color="auto" w:sz="4" w:space="0"/>
              <w:left w:val="nil"/>
              <w:bottom w:val="single" w:color="auto" w:sz="4" w:space="0"/>
              <w:right w:val="single" w:color="auto" w:sz="4" w:space="0"/>
            </w:tcBorders>
            <w:noWrap w:val="0"/>
            <w:vAlign w:val="center"/>
          </w:tcPr>
          <w:p w14:paraId="5D475CE3">
            <w:pPr>
              <w:keepNext w:val="0"/>
              <w:keepLines w:val="0"/>
              <w:widowControl/>
              <w:suppressLineNumbers w:val="0"/>
              <w:jc w:val="left"/>
              <w:textAlignment w:val="center"/>
              <w:rPr>
                <w:rFonts w:hint="default" w:ascii="宋体" w:hAnsi="宋体" w:cs="宋体"/>
                <w:color w:val="000000"/>
                <w:kern w:val="0"/>
                <w:sz w:val="18"/>
                <w:szCs w:val="18"/>
                <w:highlight w:val="none"/>
                <w:lang w:val="en-US"/>
              </w:rPr>
            </w:pPr>
            <w:r>
              <w:rPr>
                <w:rFonts w:hint="eastAsia" w:ascii="宋体" w:hAnsi="宋体" w:cs="宋体"/>
                <w:i w:val="0"/>
                <w:iCs w:val="0"/>
                <w:color w:val="000000"/>
                <w:kern w:val="0"/>
                <w:sz w:val="18"/>
                <w:szCs w:val="18"/>
                <w:highlight w:val="none"/>
                <w:u w:val="none"/>
                <w:lang w:val="en-US" w:eastAsia="zh-CN" w:bidi="ar"/>
              </w:rPr>
              <w:t>临时辅助用工人人员员数量</w:t>
            </w:r>
          </w:p>
        </w:tc>
        <w:tc>
          <w:tcPr>
            <w:tcW w:w="982" w:type="dxa"/>
            <w:tcBorders>
              <w:top w:val="nil"/>
              <w:left w:val="nil"/>
              <w:bottom w:val="single" w:color="auto" w:sz="4" w:space="0"/>
              <w:right w:val="single" w:color="auto" w:sz="4" w:space="0"/>
            </w:tcBorders>
            <w:noWrap w:val="0"/>
            <w:vAlign w:val="center"/>
          </w:tcPr>
          <w:p w14:paraId="20978D63">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w:t>
            </w:r>
          </w:p>
        </w:tc>
        <w:tc>
          <w:tcPr>
            <w:tcW w:w="895" w:type="dxa"/>
            <w:tcBorders>
              <w:top w:val="nil"/>
              <w:left w:val="nil"/>
              <w:bottom w:val="single" w:color="auto" w:sz="4" w:space="0"/>
              <w:right w:val="single" w:color="auto" w:sz="4" w:space="0"/>
            </w:tcBorders>
            <w:noWrap w:val="0"/>
            <w:vAlign w:val="center"/>
          </w:tcPr>
          <w:p w14:paraId="7AF3A749">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68</w:t>
            </w:r>
          </w:p>
        </w:tc>
        <w:tc>
          <w:tcPr>
            <w:tcW w:w="943" w:type="dxa"/>
            <w:gridSpan w:val="2"/>
            <w:tcBorders>
              <w:top w:val="nil"/>
              <w:left w:val="nil"/>
              <w:bottom w:val="single" w:color="auto" w:sz="4" w:space="0"/>
              <w:right w:val="single" w:color="auto" w:sz="4" w:space="0"/>
            </w:tcBorders>
            <w:noWrap w:val="0"/>
            <w:vAlign w:val="center"/>
          </w:tcPr>
          <w:p w14:paraId="3EB8CE4A">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D53E5B1">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40</w:t>
            </w:r>
          </w:p>
        </w:tc>
        <w:tc>
          <w:tcPr>
            <w:tcW w:w="1359" w:type="dxa"/>
            <w:gridSpan w:val="2"/>
            <w:tcBorders>
              <w:top w:val="single" w:color="auto" w:sz="4" w:space="0"/>
              <w:left w:val="nil"/>
              <w:bottom w:val="single" w:color="auto" w:sz="4" w:space="0"/>
              <w:right w:val="single" w:color="auto" w:sz="4" w:space="0"/>
            </w:tcBorders>
            <w:noWrap w:val="0"/>
            <w:vAlign w:val="center"/>
          </w:tcPr>
          <w:p w14:paraId="46E5546A">
            <w:pPr>
              <w:jc w:val="center"/>
              <w:rPr>
                <w:rFonts w:ascii="宋体" w:hAnsi="宋体" w:cs="宋体"/>
                <w:kern w:val="0"/>
                <w:sz w:val="18"/>
                <w:szCs w:val="18"/>
                <w:highlight w:val="none"/>
              </w:rPr>
            </w:pPr>
          </w:p>
        </w:tc>
      </w:tr>
      <w:tr w14:paraId="4438A91B">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B96B4D1">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4D30F2FD">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3B45C712">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76F7AFF0">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34EBE061">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3FB9BBBF">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0AA0DA1A">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4F5DC892">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F334889">
            <w:pPr>
              <w:jc w:val="center"/>
              <w:rPr>
                <w:rFonts w:ascii="宋体" w:hAnsi="宋体" w:cs="宋体"/>
                <w:kern w:val="0"/>
                <w:sz w:val="18"/>
                <w:szCs w:val="18"/>
                <w:highlight w:val="none"/>
              </w:rPr>
            </w:pPr>
          </w:p>
        </w:tc>
      </w:tr>
      <w:tr w14:paraId="01EB6C58">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3A867733">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6A370315">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5EA41A00">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7155382B">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0AFFF9F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16523ADD">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42DDD668">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212D1CF8">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683E6C5">
            <w:pPr>
              <w:jc w:val="center"/>
              <w:rPr>
                <w:rFonts w:ascii="宋体" w:hAnsi="宋体" w:cs="宋体"/>
                <w:kern w:val="0"/>
                <w:sz w:val="18"/>
                <w:szCs w:val="18"/>
                <w:highlight w:val="none"/>
              </w:rPr>
            </w:pPr>
          </w:p>
        </w:tc>
      </w:tr>
      <w:tr w14:paraId="7B5BE689">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5843F2EF">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7C6A3C2F">
            <w:pPr>
              <w:jc w:val="center"/>
              <w:rPr>
                <w:rFonts w:ascii="宋体" w:hAnsi="宋体" w:cs="宋体"/>
                <w:kern w:val="0"/>
                <w:sz w:val="18"/>
                <w:szCs w:val="18"/>
                <w:highlight w:val="none"/>
              </w:rPr>
            </w:pPr>
          </w:p>
        </w:tc>
        <w:tc>
          <w:tcPr>
            <w:tcW w:w="982" w:type="dxa"/>
            <w:vMerge w:val="restart"/>
            <w:tcBorders>
              <w:top w:val="nil"/>
              <w:left w:val="single" w:color="auto" w:sz="4" w:space="0"/>
              <w:bottom w:val="single" w:color="auto" w:sz="4" w:space="0"/>
              <w:right w:val="single" w:color="auto" w:sz="4" w:space="0"/>
            </w:tcBorders>
            <w:noWrap w:val="0"/>
            <w:vAlign w:val="center"/>
          </w:tcPr>
          <w:p w14:paraId="72D49A2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2033" w:type="dxa"/>
            <w:gridSpan w:val="3"/>
            <w:tcBorders>
              <w:top w:val="single" w:color="auto" w:sz="4" w:space="0"/>
              <w:left w:val="nil"/>
              <w:bottom w:val="single" w:color="auto" w:sz="4" w:space="0"/>
              <w:right w:val="single" w:color="auto" w:sz="4" w:space="0"/>
            </w:tcBorders>
            <w:noWrap w:val="0"/>
            <w:vAlign w:val="center"/>
          </w:tcPr>
          <w:p w14:paraId="3713A95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36319CA0">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57A761BE">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1A7FA303">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105D466">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347192B0">
            <w:pPr>
              <w:jc w:val="center"/>
              <w:rPr>
                <w:rFonts w:ascii="宋体" w:hAnsi="宋体" w:cs="宋体"/>
                <w:kern w:val="0"/>
                <w:sz w:val="18"/>
                <w:szCs w:val="18"/>
                <w:highlight w:val="none"/>
              </w:rPr>
            </w:pPr>
          </w:p>
        </w:tc>
      </w:tr>
      <w:tr w14:paraId="51B9EC72">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2DDAB45E">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755DDAEB">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3EE4DBA0">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09F0FA1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5B54246E">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1BA901C8">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24C57B06">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2A49FFEA">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43F8FBD6">
            <w:pPr>
              <w:jc w:val="center"/>
              <w:rPr>
                <w:rFonts w:ascii="宋体" w:hAnsi="宋体" w:cs="宋体"/>
                <w:kern w:val="0"/>
                <w:sz w:val="18"/>
                <w:szCs w:val="18"/>
                <w:highlight w:val="none"/>
              </w:rPr>
            </w:pPr>
          </w:p>
        </w:tc>
      </w:tr>
      <w:tr w14:paraId="53033888">
        <w:tblPrEx>
          <w:tblCellMar>
            <w:top w:w="0" w:type="dxa"/>
            <w:left w:w="108" w:type="dxa"/>
            <w:bottom w:w="0" w:type="dxa"/>
            <w:right w:w="108" w:type="dxa"/>
          </w:tblCellMar>
        </w:tblPrEx>
        <w:trPr>
          <w:trHeight w:val="231" w:hRule="exact"/>
          <w:jc w:val="center"/>
        </w:trPr>
        <w:tc>
          <w:tcPr>
            <w:tcW w:w="1152" w:type="dxa"/>
            <w:vMerge w:val="continue"/>
            <w:tcBorders>
              <w:left w:val="single" w:color="auto" w:sz="4" w:space="0"/>
              <w:right w:val="single" w:color="auto" w:sz="4" w:space="0"/>
            </w:tcBorders>
            <w:noWrap w:val="0"/>
            <w:vAlign w:val="center"/>
          </w:tcPr>
          <w:p w14:paraId="3135ACD9">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7B2D52F4">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34D63556">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5928B02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37227329">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2A8ACE4D">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4EAD42D8">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3A7C0B0">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4476BFC4">
            <w:pPr>
              <w:jc w:val="center"/>
              <w:rPr>
                <w:rFonts w:ascii="宋体" w:hAnsi="宋体" w:cs="宋体"/>
                <w:kern w:val="0"/>
                <w:sz w:val="18"/>
                <w:szCs w:val="18"/>
                <w:highlight w:val="none"/>
              </w:rPr>
            </w:pPr>
          </w:p>
        </w:tc>
      </w:tr>
      <w:tr w14:paraId="7261F143">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1BDEEEEB">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4DB7BDFC">
            <w:pPr>
              <w:jc w:val="center"/>
              <w:rPr>
                <w:rFonts w:ascii="宋体" w:hAnsi="宋体" w:cs="宋体"/>
                <w:kern w:val="0"/>
                <w:sz w:val="18"/>
                <w:szCs w:val="18"/>
                <w:highlight w:val="none"/>
              </w:rPr>
            </w:pPr>
          </w:p>
        </w:tc>
        <w:tc>
          <w:tcPr>
            <w:tcW w:w="982" w:type="dxa"/>
            <w:vMerge w:val="restart"/>
            <w:tcBorders>
              <w:top w:val="nil"/>
              <w:left w:val="single" w:color="auto" w:sz="4" w:space="0"/>
              <w:bottom w:val="single" w:color="auto" w:sz="4" w:space="0"/>
              <w:right w:val="single" w:color="auto" w:sz="4" w:space="0"/>
            </w:tcBorders>
            <w:noWrap w:val="0"/>
            <w:vAlign w:val="center"/>
          </w:tcPr>
          <w:p w14:paraId="39D819B2">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2033" w:type="dxa"/>
            <w:gridSpan w:val="3"/>
            <w:tcBorders>
              <w:top w:val="single" w:color="auto" w:sz="4" w:space="0"/>
              <w:left w:val="nil"/>
              <w:bottom w:val="single" w:color="auto" w:sz="4" w:space="0"/>
              <w:right w:val="single" w:color="auto" w:sz="4" w:space="0"/>
            </w:tcBorders>
            <w:noWrap w:val="0"/>
            <w:vAlign w:val="center"/>
          </w:tcPr>
          <w:p w14:paraId="0BA63D70">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6836C533">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12E92CA6">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36EFF10E">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3A35C9A1">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49BD1B14">
            <w:pPr>
              <w:jc w:val="center"/>
              <w:rPr>
                <w:rFonts w:ascii="宋体" w:hAnsi="宋体" w:cs="宋体"/>
                <w:kern w:val="0"/>
                <w:sz w:val="18"/>
                <w:szCs w:val="18"/>
                <w:highlight w:val="none"/>
              </w:rPr>
            </w:pPr>
          </w:p>
        </w:tc>
      </w:tr>
      <w:tr w14:paraId="360856AA">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605C2D8C">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2BBB2A89">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69AAF45F">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272FFB3D">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457C9A7E">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3AC109C7">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7F632C4B">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0A345EBA">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1818B7A3">
            <w:pPr>
              <w:jc w:val="center"/>
              <w:rPr>
                <w:rFonts w:ascii="宋体" w:hAnsi="宋体" w:cs="宋体"/>
                <w:kern w:val="0"/>
                <w:sz w:val="18"/>
                <w:szCs w:val="18"/>
                <w:highlight w:val="none"/>
              </w:rPr>
            </w:pPr>
          </w:p>
        </w:tc>
      </w:tr>
      <w:tr w14:paraId="3A53904B">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6F947BEB">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5261CD09">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7010BA87">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7BF7BDFC">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12657B88">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4FC5A422">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0612320F">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7BCB0C6E">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3E037E1E">
            <w:pPr>
              <w:jc w:val="center"/>
              <w:rPr>
                <w:rFonts w:ascii="宋体" w:hAnsi="宋体" w:cs="宋体"/>
                <w:kern w:val="0"/>
                <w:sz w:val="18"/>
                <w:szCs w:val="18"/>
                <w:highlight w:val="none"/>
              </w:rPr>
            </w:pPr>
          </w:p>
        </w:tc>
      </w:tr>
      <w:tr w14:paraId="3AEEF5CD">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5199D41">
            <w:pPr>
              <w:jc w:val="center"/>
              <w:rPr>
                <w:rFonts w:ascii="宋体" w:hAnsi="宋体" w:cs="宋体"/>
                <w:kern w:val="0"/>
                <w:sz w:val="18"/>
                <w:szCs w:val="18"/>
                <w:highlight w:val="none"/>
              </w:rPr>
            </w:pPr>
          </w:p>
        </w:tc>
        <w:tc>
          <w:tcPr>
            <w:tcW w:w="1009" w:type="dxa"/>
            <w:vMerge w:val="restart"/>
            <w:tcBorders>
              <w:top w:val="nil"/>
              <w:left w:val="single" w:color="auto" w:sz="4" w:space="0"/>
              <w:bottom w:val="single" w:color="auto" w:sz="4" w:space="0"/>
              <w:right w:val="single" w:color="auto" w:sz="4" w:space="0"/>
            </w:tcBorders>
            <w:noWrap w:val="0"/>
            <w:vAlign w:val="center"/>
          </w:tcPr>
          <w:p w14:paraId="455D908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成本指标（10分）</w:t>
            </w:r>
          </w:p>
        </w:tc>
        <w:tc>
          <w:tcPr>
            <w:tcW w:w="982" w:type="dxa"/>
            <w:tcBorders>
              <w:top w:val="nil"/>
              <w:left w:val="single" w:color="auto" w:sz="4" w:space="0"/>
              <w:bottom w:val="single" w:color="auto" w:sz="4" w:space="0"/>
              <w:right w:val="single" w:color="auto" w:sz="4" w:space="0"/>
            </w:tcBorders>
            <w:noWrap w:val="0"/>
            <w:vAlign w:val="center"/>
          </w:tcPr>
          <w:p w14:paraId="7B5ED32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2033" w:type="dxa"/>
            <w:gridSpan w:val="3"/>
            <w:tcBorders>
              <w:top w:val="single" w:color="auto" w:sz="4" w:space="0"/>
              <w:left w:val="nil"/>
              <w:bottom w:val="single" w:color="auto" w:sz="4" w:space="0"/>
              <w:right w:val="single" w:color="auto" w:sz="4" w:space="0"/>
            </w:tcBorders>
            <w:noWrap w:val="0"/>
            <w:vAlign w:val="center"/>
          </w:tcPr>
          <w:p w14:paraId="6DF94311">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1AE4BAB8">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4A7D9810">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6750BE56">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A732A3E">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488CA8F">
            <w:pPr>
              <w:jc w:val="center"/>
              <w:rPr>
                <w:rFonts w:ascii="宋体" w:hAnsi="宋体" w:cs="宋体"/>
                <w:kern w:val="0"/>
                <w:sz w:val="18"/>
                <w:szCs w:val="18"/>
                <w:highlight w:val="none"/>
              </w:rPr>
            </w:pPr>
          </w:p>
        </w:tc>
      </w:tr>
      <w:tr w14:paraId="17E52135">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4CBC3E74">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2D5220B7">
            <w:pPr>
              <w:jc w:val="center"/>
              <w:rPr>
                <w:rFonts w:ascii="宋体" w:hAnsi="宋体" w:cs="宋体"/>
                <w:kern w:val="0"/>
                <w:sz w:val="18"/>
                <w:szCs w:val="18"/>
                <w:highlight w:val="none"/>
              </w:rPr>
            </w:pPr>
          </w:p>
        </w:tc>
        <w:tc>
          <w:tcPr>
            <w:tcW w:w="982" w:type="dxa"/>
            <w:tcBorders>
              <w:top w:val="nil"/>
              <w:left w:val="single" w:color="auto" w:sz="4" w:space="0"/>
              <w:bottom w:val="single" w:color="auto" w:sz="4" w:space="0"/>
              <w:right w:val="single" w:color="auto" w:sz="4" w:space="0"/>
            </w:tcBorders>
            <w:noWrap w:val="0"/>
            <w:vAlign w:val="center"/>
          </w:tcPr>
          <w:p w14:paraId="46B9545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社会成本指标</w:t>
            </w:r>
          </w:p>
        </w:tc>
        <w:tc>
          <w:tcPr>
            <w:tcW w:w="2033" w:type="dxa"/>
            <w:gridSpan w:val="3"/>
            <w:tcBorders>
              <w:top w:val="single" w:color="auto" w:sz="4" w:space="0"/>
              <w:left w:val="nil"/>
              <w:bottom w:val="single" w:color="auto" w:sz="4" w:space="0"/>
              <w:right w:val="single" w:color="auto" w:sz="4" w:space="0"/>
            </w:tcBorders>
            <w:noWrap w:val="0"/>
            <w:vAlign w:val="center"/>
          </w:tcPr>
          <w:p w14:paraId="6DBF9EDB">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3F18A4E9">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232AF60C">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1A862628">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44F3A3EB">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699EA2CD">
            <w:pPr>
              <w:jc w:val="center"/>
              <w:rPr>
                <w:rFonts w:ascii="宋体" w:hAnsi="宋体" w:cs="宋体"/>
                <w:kern w:val="0"/>
                <w:sz w:val="18"/>
                <w:szCs w:val="18"/>
                <w:highlight w:val="none"/>
              </w:rPr>
            </w:pPr>
          </w:p>
        </w:tc>
      </w:tr>
      <w:tr w14:paraId="0669C39A">
        <w:tblPrEx>
          <w:tblCellMar>
            <w:top w:w="0" w:type="dxa"/>
            <w:left w:w="108" w:type="dxa"/>
            <w:bottom w:w="0" w:type="dxa"/>
            <w:right w:w="108" w:type="dxa"/>
          </w:tblCellMar>
        </w:tblPrEx>
        <w:trPr>
          <w:trHeight w:val="645" w:hRule="exact"/>
          <w:jc w:val="center"/>
        </w:trPr>
        <w:tc>
          <w:tcPr>
            <w:tcW w:w="1152" w:type="dxa"/>
            <w:vMerge w:val="continue"/>
            <w:tcBorders>
              <w:left w:val="single" w:color="auto" w:sz="4" w:space="0"/>
              <w:right w:val="single" w:color="auto" w:sz="4" w:space="0"/>
            </w:tcBorders>
            <w:noWrap w:val="0"/>
            <w:vAlign w:val="center"/>
          </w:tcPr>
          <w:p w14:paraId="7497DAA0">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52979671">
            <w:pPr>
              <w:jc w:val="center"/>
              <w:rPr>
                <w:rFonts w:ascii="宋体" w:hAnsi="宋体" w:cs="宋体"/>
                <w:kern w:val="0"/>
                <w:sz w:val="18"/>
                <w:szCs w:val="18"/>
                <w:highlight w:val="none"/>
              </w:rPr>
            </w:pPr>
          </w:p>
        </w:tc>
        <w:tc>
          <w:tcPr>
            <w:tcW w:w="982" w:type="dxa"/>
            <w:tcBorders>
              <w:top w:val="nil"/>
              <w:left w:val="single" w:color="auto" w:sz="4" w:space="0"/>
              <w:bottom w:val="single" w:color="auto" w:sz="4" w:space="0"/>
              <w:right w:val="single" w:color="auto" w:sz="4" w:space="0"/>
            </w:tcBorders>
            <w:noWrap w:val="0"/>
            <w:vAlign w:val="center"/>
          </w:tcPr>
          <w:p w14:paraId="4FBAD9A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生态环境成本指标</w:t>
            </w:r>
          </w:p>
        </w:tc>
        <w:tc>
          <w:tcPr>
            <w:tcW w:w="2033" w:type="dxa"/>
            <w:gridSpan w:val="3"/>
            <w:tcBorders>
              <w:top w:val="single" w:color="auto" w:sz="4" w:space="0"/>
              <w:left w:val="nil"/>
              <w:bottom w:val="single" w:color="auto" w:sz="4" w:space="0"/>
              <w:right w:val="single" w:color="auto" w:sz="4" w:space="0"/>
            </w:tcBorders>
            <w:noWrap w:val="0"/>
            <w:vAlign w:val="center"/>
          </w:tcPr>
          <w:p w14:paraId="25374429">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1C2FC142">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145E0A5B">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6007C54D">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77476429">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4B20FA66">
            <w:pPr>
              <w:jc w:val="center"/>
              <w:rPr>
                <w:rFonts w:ascii="宋体" w:hAnsi="宋体" w:cs="宋体"/>
                <w:kern w:val="0"/>
                <w:sz w:val="18"/>
                <w:szCs w:val="18"/>
                <w:highlight w:val="none"/>
              </w:rPr>
            </w:pPr>
          </w:p>
        </w:tc>
      </w:tr>
      <w:tr w14:paraId="4CF31B14">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359283F0">
            <w:pPr>
              <w:jc w:val="center"/>
              <w:rPr>
                <w:rFonts w:ascii="宋体" w:hAnsi="宋体" w:cs="宋体"/>
                <w:kern w:val="0"/>
                <w:sz w:val="18"/>
                <w:szCs w:val="18"/>
                <w:highlight w:val="none"/>
              </w:rPr>
            </w:pPr>
          </w:p>
        </w:tc>
        <w:tc>
          <w:tcPr>
            <w:tcW w:w="1009" w:type="dxa"/>
            <w:vMerge w:val="restart"/>
            <w:tcBorders>
              <w:top w:val="nil"/>
              <w:left w:val="single" w:color="auto" w:sz="4" w:space="0"/>
              <w:bottom w:val="single" w:color="auto" w:sz="4" w:space="0"/>
              <w:right w:val="single" w:color="auto" w:sz="4" w:space="0"/>
            </w:tcBorders>
            <w:noWrap w:val="0"/>
            <w:vAlign w:val="center"/>
          </w:tcPr>
          <w:p w14:paraId="28D68E5A">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效益指标（30分）</w:t>
            </w:r>
          </w:p>
        </w:tc>
        <w:tc>
          <w:tcPr>
            <w:tcW w:w="982" w:type="dxa"/>
            <w:vMerge w:val="restart"/>
            <w:tcBorders>
              <w:top w:val="nil"/>
              <w:left w:val="single" w:color="auto" w:sz="4" w:space="0"/>
              <w:bottom w:val="single" w:color="auto" w:sz="4" w:space="0"/>
              <w:right w:val="single" w:color="auto" w:sz="4" w:space="0"/>
            </w:tcBorders>
            <w:noWrap w:val="0"/>
            <w:vAlign w:val="center"/>
          </w:tcPr>
          <w:p w14:paraId="7114AE7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经济效益指标</w:t>
            </w:r>
          </w:p>
        </w:tc>
        <w:tc>
          <w:tcPr>
            <w:tcW w:w="2033" w:type="dxa"/>
            <w:gridSpan w:val="3"/>
            <w:tcBorders>
              <w:top w:val="single" w:color="auto" w:sz="4" w:space="0"/>
              <w:left w:val="nil"/>
              <w:bottom w:val="single" w:color="auto" w:sz="4" w:space="0"/>
              <w:right w:val="single" w:color="auto" w:sz="4" w:space="0"/>
            </w:tcBorders>
            <w:noWrap w:val="0"/>
            <w:vAlign w:val="center"/>
          </w:tcPr>
          <w:p w14:paraId="74FBB2B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7410955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2AC0010">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20DBCD7D">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3B06B68F">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7F495D3">
            <w:pPr>
              <w:jc w:val="center"/>
              <w:rPr>
                <w:rFonts w:ascii="宋体" w:hAnsi="宋体" w:cs="宋体"/>
                <w:kern w:val="0"/>
                <w:sz w:val="18"/>
                <w:szCs w:val="18"/>
                <w:highlight w:val="none"/>
              </w:rPr>
            </w:pPr>
          </w:p>
        </w:tc>
      </w:tr>
      <w:tr w14:paraId="52D2B34B">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21F0AA38">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0DA1BEB9">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17407883">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76109B9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098BB5F5">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CDD0F1C">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258A148E">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2E9ACAD2">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4B2732EC">
            <w:pPr>
              <w:jc w:val="center"/>
              <w:rPr>
                <w:rFonts w:ascii="宋体" w:hAnsi="宋体" w:cs="宋体"/>
                <w:kern w:val="0"/>
                <w:sz w:val="18"/>
                <w:szCs w:val="18"/>
                <w:highlight w:val="none"/>
              </w:rPr>
            </w:pPr>
          </w:p>
        </w:tc>
      </w:tr>
      <w:tr w14:paraId="783826CA">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022EBC5D">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44C7406B">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6D1BC24E">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7C311B6B">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1342BC2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7A4E9ED6">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75EA96F8">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57E881B">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DED7E63">
            <w:pPr>
              <w:jc w:val="center"/>
              <w:rPr>
                <w:rFonts w:ascii="宋体" w:hAnsi="宋体" w:cs="宋体"/>
                <w:kern w:val="0"/>
                <w:sz w:val="18"/>
                <w:szCs w:val="18"/>
                <w:highlight w:val="none"/>
              </w:rPr>
            </w:pPr>
          </w:p>
        </w:tc>
      </w:tr>
      <w:tr w14:paraId="0F09F7A1">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E6D0EAA">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0C8C1162">
            <w:pPr>
              <w:jc w:val="center"/>
              <w:rPr>
                <w:rFonts w:ascii="宋体" w:hAnsi="宋体" w:cs="宋体"/>
                <w:kern w:val="0"/>
                <w:sz w:val="18"/>
                <w:szCs w:val="18"/>
                <w:highlight w:val="none"/>
              </w:rPr>
            </w:pPr>
          </w:p>
        </w:tc>
        <w:tc>
          <w:tcPr>
            <w:tcW w:w="982" w:type="dxa"/>
            <w:vMerge w:val="restart"/>
            <w:tcBorders>
              <w:top w:val="nil"/>
              <w:left w:val="single" w:color="auto" w:sz="4" w:space="0"/>
              <w:bottom w:val="single" w:color="auto" w:sz="4" w:space="0"/>
              <w:right w:val="single" w:color="auto" w:sz="4" w:space="0"/>
            </w:tcBorders>
            <w:noWrap w:val="0"/>
            <w:vAlign w:val="center"/>
          </w:tcPr>
          <w:p w14:paraId="4B796A04">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2033" w:type="dxa"/>
            <w:gridSpan w:val="3"/>
            <w:tcBorders>
              <w:top w:val="single" w:color="auto" w:sz="4" w:space="0"/>
              <w:left w:val="nil"/>
              <w:bottom w:val="single" w:color="auto" w:sz="4" w:space="0"/>
              <w:right w:val="single" w:color="auto" w:sz="4" w:space="0"/>
            </w:tcBorders>
            <w:noWrap w:val="0"/>
            <w:vAlign w:val="center"/>
          </w:tcPr>
          <w:p w14:paraId="7CC9FE3A">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cs="宋体"/>
                <w:kern w:val="0"/>
                <w:sz w:val="18"/>
                <w:szCs w:val="18"/>
                <w:highlight w:val="none"/>
                <w:lang w:val="en-US" w:eastAsia="zh-CN"/>
              </w:rPr>
              <w:t>保障临时辅助用工人员正常开展工作</w:t>
            </w:r>
          </w:p>
        </w:tc>
        <w:tc>
          <w:tcPr>
            <w:tcW w:w="982" w:type="dxa"/>
            <w:tcBorders>
              <w:top w:val="nil"/>
              <w:left w:val="nil"/>
              <w:bottom w:val="single" w:color="auto" w:sz="4" w:space="0"/>
              <w:right w:val="single" w:color="auto" w:sz="4" w:space="0"/>
            </w:tcBorders>
            <w:noWrap w:val="0"/>
            <w:vAlign w:val="center"/>
          </w:tcPr>
          <w:p w14:paraId="38F1A134">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100%</w:t>
            </w:r>
          </w:p>
        </w:tc>
        <w:tc>
          <w:tcPr>
            <w:tcW w:w="895" w:type="dxa"/>
            <w:tcBorders>
              <w:top w:val="nil"/>
              <w:left w:val="nil"/>
              <w:bottom w:val="single" w:color="auto" w:sz="4" w:space="0"/>
              <w:right w:val="single" w:color="auto" w:sz="4" w:space="0"/>
            </w:tcBorders>
            <w:noWrap w:val="0"/>
            <w:vAlign w:val="center"/>
          </w:tcPr>
          <w:p w14:paraId="53CA7849">
            <w:pPr>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943" w:type="dxa"/>
            <w:gridSpan w:val="2"/>
            <w:tcBorders>
              <w:top w:val="nil"/>
              <w:left w:val="nil"/>
              <w:bottom w:val="single" w:color="auto" w:sz="4" w:space="0"/>
              <w:right w:val="single" w:color="auto" w:sz="4" w:space="0"/>
            </w:tcBorders>
            <w:noWrap w:val="0"/>
            <w:vAlign w:val="center"/>
          </w:tcPr>
          <w:p w14:paraId="515D89B5">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101EB228">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359" w:type="dxa"/>
            <w:gridSpan w:val="2"/>
            <w:tcBorders>
              <w:top w:val="single" w:color="auto" w:sz="4" w:space="0"/>
              <w:left w:val="nil"/>
              <w:bottom w:val="single" w:color="auto" w:sz="4" w:space="0"/>
              <w:right w:val="single" w:color="auto" w:sz="4" w:space="0"/>
            </w:tcBorders>
            <w:noWrap w:val="0"/>
            <w:vAlign w:val="center"/>
          </w:tcPr>
          <w:p w14:paraId="0EDEED20">
            <w:pPr>
              <w:jc w:val="center"/>
              <w:rPr>
                <w:rFonts w:ascii="宋体" w:hAnsi="宋体" w:cs="宋体"/>
                <w:kern w:val="0"/>
                <w:sz w:val="18"/>
                <w:szCs w:val="18"/>
                <w:highlight w:val="none"/>
              </w:rPr>
            </w:pPr>
          </w:p>
        </w:tc>
      </w:tr>
      <w:tr w14:paraId="21AD7C7B">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2C08739">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2690956F">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4F3F1672">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520E63CB">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30C73CDA">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39D45F54">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76D4E625">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65B7A347">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7812B8A2">
            <w:pPr>
              <w:jc w:val="center"/>
              <w:rPr>
                <w:rFonts w:ascii="宋体" w:hAnsi="宋体" w:cs="宋体"/>
                <w:kern w:val="0"/>
                <w:sz w:val="18"/>
                <w:szCs w:val="18"/>
                <w:highlight w:val="none"/>
              </w:rPr>
            </w:pPr>
          </w:p>
        </w:tc>
      </w:tr>
      <w:tr w14:paraId="2981B79D">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3C96D4ED">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6F43450D">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4DBA8312">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4DF2B84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7F9779B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E0CEB77">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06D50445">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5C2C750D">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79203B35">
            <w:pPr>
              <w:jc w:val="center"/>
              <w:rPr>
                <w:rFonts w:ascii="宋体" w:hAnsi="宋体" w:cs="宋体"/>
                <w:kern w:val="0"/>
                <w:sz w:val="18"/>
                <w:szCs w:val="18"/>
                <w:highlight w:val="none"/>
              </w:rPr>
            </w:pPr>
          </w:p>
        </w:tc>
      </w:tr>
      <w:tr w14:paraId="3773F9EA">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677108C6">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2C9E6125">
            <w:pPr>
              <w:jc w:val="center"/>
              <w:rPr>
                <w:rFonts w:ascii="宋体" w:hAnsi="宋体" w:cs="宋体"/>
                <w:kern w:val="0"/>
                <w:sz w:val="18"/>
                <w:szCs w:val="18"/>
                <w:highlight w:val="none"/>
              </w:rPr>
            </w:pPr>
          </w:p>
        </w:tc>
        <w:tc>
          <w:tcPr>
            <w:tcW w:w="982" w:type="dxa"/>
            <w:vMerge w:val="restart"/>
            <w:tcBorders>
              <w:top w:val="nil"/>
              <w:left w:val="single" w:color="auto" w:sz="4" w:space="0"/>
              <w:bottom w:val="single" w:color="auto" w:sz="4" w:space="0"/>
              <w:right w:val="single" w:color="auto" w:sz="4" w:space="0"/>
            </w:tcBorders>
            <w:noWrap w:val="0"/>
            <w:vAlign w:val="center"/>
          </w:tcPr>
          <w:p w14:paraId="5EEC424D">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生态效益指标</w:t>
            </w:r>
          </w:p>
        </w:tc>
        <w:tc>
          <w:tcPr>
            <w:tcW w:w="2033" w:type="dxa"/>
            <w:gridSpan w:val="3"/>
            <w:tcBorders>
              <w:top w:val="single" w:color="auto" w:sz="4" w:space="0"/>
              <w:left w:val="nil"/>
              <w:bottom w:val="single" w:color="auto" w:sz="4" w:space="0"/>
              <w:right w:val="single" w:color="auto" w:sz="4" w:space="0"/>
            </w:tcBorders>
            <w:noWrap w:val="0"/>
            <w:vAlign w:val="center"/>
          </w:tcPr>
          <w:p w14:paraId="7F16F991">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35315B6B">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0283404">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4BF7C1FB">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4B4C979E">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31B7A822">
            <w:pPr>
              <w:jc w:val="center"/>
              <w:rPr>
                <w:rFonts w:ascii="宋体" w:hAnsi="宋体" w:cs="宋体"/>
                <w:kern w:val="0"/>
                <w:sz w:val="18"/>
                <w:szCs w:val="18"/>
                <w:highlight w:val="none"/>
              </w:rPr>
            </w:pPr>
          </w:p>
        </w:tc>
      </w:tr>
      <w:tr w14:paraId="0B278239">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3667A8B7">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5370F73E">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046CFDD3">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1B2E7A3F">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691BE68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720D101B">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3CBA6CE2">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6F7E8338">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6B8E31C9">
            <w:pPr>
              <w:jc w:val="center"/>
              <w:rPr>
                <w:rFonts w:ascii="宋体" w:hAnsi="宋体" w:cs="宋体"/>
                <w:kern w:val="0"/>
                <w:sz w:val="18"/>
                <w:szCs w:val="18"/>
                <w:highlight w:val="none"/>
              </w:rPr>
            </w:pPr>
          </w:p>
        </w:tc>
      </w:tr>
      <w:tr w14:paraId="0669A277">
        <w:tblPrEx>
          <w:tblCellMar>
            <w:top w:w="0" w:type="dxa"/>
            <w:left w:w="108" w:type="dxa"/>
            <w:bottom w:w="0" w:type="dxa"/>
            <w:right w:w="108" w:type="dxa"/>
          </w:tblCellMar>
        </w:tblPrEx>
        <w:trPr>
          <w:trHeight w:val="231" w:hRule="exact"/>
          <w:jc w:val="center"/>
        </w:trPr>
        <w:tc>
          <w:tcPr>
            <w:tcW w:w="1152" w:type="dxa"/>
            <w:vMerge w:val="continue"/>
            <w:tcBorders>
              <w:left w:val="single" w:color="auto" w:sz="4" w:space="0"/>
              <w:right w:val="single" w:color="auto" w:sz="4" w:space="0"/>
            </w:tcBorders>
            <w:noWrap w:val="0"/>
            <w:vAlign w:val="center"/>
          </w:tcPr>
          <w:p w14:paraId="68EB3A05">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451AD179">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7D28A7C1">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44920271">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34B2AC40">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3808D7AC">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76DB7945">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0DC84499">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3E59A40">
            <w:pPr>
              <w:jc w:val="center"/>
              <w:rPr>
                <w:rFonts w:ascii="宋体" w:hAnsi="宋体" w:cs="宋体"/>
                <w:kern w:val="0"/>
                <w:sz w:val="18"/>
                <w:szCs w:val="18"/>
                <w:highlight w:val="none"/>
              </w:rPr>
            </w:pPr>
          </w:p>
        </w:tc>
      </w:tr>
      <w:tr w14:paraId="232FE160">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428A449B">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53AA7808">
            <w:pPr>
              <w:jc w:val="center"/>
              <w:rPr>
                <w:rFonts w:ascii="宋体" w:hAnsi="宋体" w:cs="宋体"/>
                <w:kern w:val="0"/>
                <w:sz w:val="18"/>
                <w:szCs w:val="18"/>
                <w:highlight w:val="none"/>
              </w:rPr>
            </w:pPr>
          </w:p>
        </w:tc>
        <w:tc>
          <w:tcPr>
            <w:tcW w:w="982" w:type="dxa"/>
            <w:vMerge w:val="restart"/>
            <w:tcBorders>
              <w:top w:val="nil"/>
              <w:left w:val="single" w:color="auto" w:sz="4" w:space="0"/>
              <w:bottom w:val="single" w:color="auto" w:sz="4" w:space="0"/>
              <w:right w:val="single" w:color="auto" w:sz="4" w:space="0"/>
            </w:tcBorders>
            <w:noWrap w:val="0"/>
            <w:vAlign w:val="center"/>
          </w:tcPr>
          <w:p w14:paraId="6CBFEDF3">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可持续影响指标</w:t>
            </w:r>
          </w:p>
        </w:tc>
        <w:tc>
          <w:tcPr>
            <w:tcW w:w="2033" w:type="dxa"/>
            <w:gridSpan w:val="3"/>
            <w:tcBorders>
              <w:top w:val="single" w:color="auto" w:sz="4" w:space="0"/>
              <w:left w:val="nil"/>
              <w:bottom w:val="single" w:color="auto" w:sz="4" w:space="0"/>
              <w:right w:val="single" w:color="auto" w:sz="4" w:space="0"/>
            </w:tcBorders>
            <w:noWrap w:val="0"/>
            <w:vAlign w:val="center"/>
          </w:tcPr>
          <w:p w14:paraId="0E8564F7">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14:paraId="4BD0C66C">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7DFA1E54">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231CD2E9">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7DF814EE">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0A2929AA">
            <w:pPr>
              <w:jc w:val="center"/>
              <w:rPr>
                <w:rFonts w:ascii="宋体" w:hAnsi="宋体" w:cs="宋体"/>
                <w:kern w:val="0"/>
                <w:sz w:val="18"/>
                <w:szCs w:val="18"/>
                <w:highlight w:val="none"/>
              </w:rPr>
            </w:pPr>
          </w:p>
        </w:tc>
      </w:tr>
      <w:tr w14:paraId="45C5B53D">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04605B4">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576C83B2">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1BBCCDDF">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0D9DD084">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36ED5084">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E1DDA32">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1EF5B5F6">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6AC0DB7E">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1F48D4B8">
            <w:pPr>
              <w:jc w:val="center"/>
              <w:rPr>
                <w:rFonts w:ascii="宋体" w:hAnsi="宋体" w:cs="宋体"/>
                <w:kern w:val="0"/>
                <w:sz w:val="18"/>
                <w:szCs w:val="18"/>
                <w:highlight w:val="none"/>
              </w:rPr>
            </w:pPr>
          </w:p>
        </w:tc>
      </w:tr>
      <w:tr w14:paraId="6C40ED60">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7F52DC2C">
            <w:pPr>
              <w:jc w:val="center"/>
              <w:rPr>
                <w:rFonts w:ascii="宋体" w:hAnsi="宋体" w:cs="宋体"/>
                <w:kern w:val="0"/>
                <w:sz w:val="18"/>
                <w:szCs w:val="18"/>
                <w:highlight w:val="none"/>
              </w:rPr>
            </w:pPr>
          </w:p>
        </w:tc>
        <w:tc>
          <w:tcPr>
            <w:tcW w:w="1009" w:type="dxa"/>
            <w:vMerge w:val="continue"/>
            <w:tcBorders>
              <w:top w:val="nil"/>
              <w:left w:val="single" w:color="auto" w:sz="4" w:space="0"/>
              <w:bottom w:val="single" w:color="auto" w:sz="4" w:space="0"/>
              <w:right w:val="single" w:color="auto" w:sz="4" w:space="0"/>
            </w:tcBorders>
            <w:noWrap w:val="0"/>
            <w:vAlign w:val="center"/>
          </w:tcPr>
          <w:p w14:paraId="3B0D5172">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5E66C97E">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1AF0E6C0">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0555853A">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16693DE5">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5036C797">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4A8FEA25">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5395C266">
            <w:pPr>
              <w:jc w:val="center"/>
              <w:rPr>
                <w:rFonts w:ascii="宋体" w:hAnsi="宋体" w:cs="宋体"/>
                <w:kern w:val="0"/>
                <w:sz w:val="18"/>
                <w:szCs w:val="18"/>
                <w:highlight w:val="none"/>
              </w:rPr>
            </w:pPr>
          </w:p>
        </w:tc>
      </w:tr>
      <w:tr w14:paraId="5EFBB315">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0A198872">
            <w:pPr>
              <w:jc w:val="center"/>
              <w:rPr>
                <w:rFonts w:ascii="宋体" w:hAnsi="宋体" w:cs="宋体"/>
                <w:kern w:val="0"/>
                <w:sz w:val="18"/>
                <w:szCs w:val="18"/>
                <w:highlight w:val="none"/>
              </w:rPr>
            </w:pPr>
          </w:p>
        </w:tc>
        <w:tc>
          <w:tcPr>
            <w:tcW w:w="1009" w:type="dxa"/>
            <w:vMerge w:val="restart"/>
            <w:tcBorders>
              <w:top w:val="single" w:color="auto" w:sz="4" w:space="0"/>
              <w:left w:val="single" w:color="auto" w:sz="4" w:space="0"/>
              <w:right w:val="single" w:color="auto" w:sz="4" w:space="0"/>
            </w:tcBorders>
            <w:noWrap w:val="0"/>
            <w:vAlign w:val="center"/>
          </w:tcPr>
          <w:p w14:paraId="2CB3C26C">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满意度指标（10分）</w:t>
            </w:r>
          </w:p>
        </w:tc>
        <w:tc>
          <w:tcPr>
            <w:tcW w:w="982" w:type="dxa"/>
            <w:vMerge w:val="restart"/>
            <w:tcBorders>
              <w:top w:val="single" w:color="auto" w:sz="4" w:space="0"/>
              <w:left w:val="single" w:color="auto" w:sz="4" w:space="0"/>
              <w:bottom w:val="single" w:color="auto" w:sz="4" w:space="0"/>
              <w:right w:val="single" w:color="auto" w:sz="4" w:space="0"/>
            </w:tcBorders>
            <w:noWrap w:val="0"/>
            <w:vAlign w:val="center"/>
          </w:tcPr>
          <w:p w14:paraId="4F489D89">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服务对象满意度指标</w:t>
            </w:r>
          </w:p>
        </w:tc>
        <w:tc>
          <w:tcPr>
            <w:tcW w:w="2033" w:type="dxa"/>
            <w:gridSpan w:val="3"/>
            <w:tcBorders>
              <w:top w:val="single" w:color="auto" w:sz="4" w:space="0"/>
              <w:left w:val="nil"/>
              <w:bottom w:val="single" w:color="auto" w:sz="4" w:space="0"/>
              <w:right w:val="single" w:color="auto" w:sz="4" w:space="0"/>
            </w:tcBorders>
            <w:noWrap w:val="0"/>
            <w:vAlign w:val="center"/>
          </w:tcPr>
          <w:p w14:paraId="7C5B1881">
            <w:pPr>
              <w:keepNext w:val="0"/>
              <w:keepLines w:val="0"/>
              <w:widowControl/>
              <w:suppressLineNumbers w:val="0"/>
              <w:jc w:val="left"/>
              <w:textAlignment w:val="center"/>
              <w:rPr>
                <w:rFonts w:hint="default" w:ascii="宋体" w:hAnsi="宋体" w:eastAsia="宋体" w:cs="宋体"/>
                <w:color w:val="000000"/>
                <w:kern w:val="0"/>
                <w:sz w:val="18"/>
                <w:szCs w:val="18"/>
                <w:highlight w:val="none"/>
                <w:lang w:val="en-US" w:eastAsia="zh-CN"/>
              </w:rPr>
            </w:pPr>
            <w:r>
              <w:rPr>
                <w:rFonts w:hint="eastAsia" w:ascii="宋体" w:hAnsi="宋体" w:cs="宋体"/>
                <w:color w:val="000000"/>
                <w:kern w:val="0"/>
                <w:sz w:val="18"/>
                <w:szCs w:val="18"/>
                <w:highlight w:val="none"/>
                <w:lang w:val="en-US" w:eastAsia="zh-CN"/>
              </w:rPr>
              <w:t>辅助用工人员满意度</w:t>
            </w:r>
          </w:p>
        </w:tc>
        <w:tc>
          <w:tcPr>
            <w:tcW w:w="982" w:type="dxa"/>
            <w:tcBorders>
              <w:top w:val="single" w:color="auto" w:sz="4" w:space="0"/>
              <w:left w:val="nil"/>
              <w:bottom w:val="single" w:color="auto" w:sz="4" w:space="0"/>
              <w:right w:val="single" w:color="auto" w:sz="4" w:space="0"/>
            </w:tcBorders>
            <w:noWrap w:val="0"/>
            <w:vAlign w:val="center"/>
          </w:tcPr>
          <w:p w14:paraId="0E9F6BA6">
            <w:pPr>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895" w:type="dxa"/>
            <w:tcBorders>
              <w:top w:val="single" w:color="auto" w:sz="4" w:space="0"/>
              <w:left w:val="nil"/>
              <w:bottom w:val="single" w:color="auto" w:sz="4" w:space="0"/>
              <w:right w:val="single" w:color="auto" w:sz="4" w:space="0"/>
            </w:tcBorders>
            <w:noWrap w:val="0"/>
            <w:vAlign w:val="center"/>
          </w:tcPr>
          <w:p w14:paraId="5DC3F460">
            <w:pPr>
              <w:jc w:val="center"/>
              <w:rPr>
                <w:rFonts w:ascii="宋体" w:hAnsi="宋体" w:cs="宋体"/>
                <w:kern w:val="0"/>
                <w:sz w:val="18"/>
                <w:szCs w:val="18"/>
                <w:highlight w:val="none"/>
              </w:rPr>
            </w:pPr>
            <w:r>
              <w:rPr>
                <w:rFonts w:hint="eastAsia" w:ascii="宋体" w:hAnsi="宋体" w:cs="宋体"/>
                <w:kern w:val="0"/>
                <w:sz w:val="18"/>
                <w:szCs w:val="18"/>
                <w:highlight w:val="none"/>
                <w:lang w:val="en-US" w:eastAsia="zh-CN"/>
              </w:rPr>
              <w:t>100%</w:t>
            </w:r>
          </w:p>
        </w:tc>
        <w:tc>
          <w:tcPr>
            <w:tcW w:w="943" w:type="dxa"/>
            <w:gridSpan w:val="2"/>
            <w:tcBorders>
              <w:top w:val="single" w:color="auto" w:sz="4" w:space="0"/>
              <w:left w:val="nil"/>
              <w:bottom w:val="single" w:color="auto" w:sz="4" w:space="0"/>
              <w:right w:val="single" w:color="auto" w:sz="4" w:space="0"/>
            </w:tcBorders>
            <w:noWrap w:val="0"/>
            <w:vAlign w:val="center"/>
          </w:tcPr>
          <w:p w14:paraId="7580D352">
            <w:pPr>
              <w:jc w:val="center"/>
              <w:rPr>
                <w:highlight w:val="none"/>
              </w:rPr>
            </w:pPr>
          </w:p>
        </w:tc>
        <w:tc>
          <w:tcPr>
            <w:tcW w:w="980" w:type="dxa"/>
            <w:gridSpan w:val="2"/>
            <w:tcBorders>
              <w:top w:val="single" w:color="auto" w:sz="4" w:space="0"/>
              <w:left w:val="nil"/>
              <w:bottom w:val="single" w:color="auto" w:sz="4" w:space="0"/>
              <w:right w:val="single" w:color="auto" w:sz="4" w:space="0"/>
            </w:tcBorders>
            <w:noWrap w:val="0"/>
            <w:vAlign w:val="center"/>
          </w:tcPr>
          <w:p w14:paraId="27E0424E">
            <w:pPr>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10</w:t>
            </w:r>
          </w:p>
        </w:tc>
        <w:tc>
          <w:tcPr>
            <w:tcW w:w="1359" w:type="dxa"/>
            <w:gridSpan w:val="2"/>
            <w:tcBorders>
              <w:top w:val="single" w:color="auto" w:sz="4" w:space="0"/>
              <w:left w:val="nil"/>
              <w:bottom w:val="single" w:color="auto" w:sz="4" w:space="0"/>
              <w:right w:val="single" w:color="auto" w:sz="4" w:space="0"/>
            </w:tcBorders>
            <w:noWrap w:val="0"/>
            <w:vAlign w:val="center"/>
          </w:tcPr>
          <w:p w14:paraId="0BF6A85E">
            <w:pPr>
              <w:jc w:val="center"/>
              <w:rPr>
                <w:rFonts w:ascii="宋体" w:hAnsi="宋体" w:cs="宋体"/>
                <w:kern w:val="0"/>
                <w:sz w:val="18"/>
                <w:szCs w:val="18"/>
                <w:highlight w:val="none"/>
              </w:rPr>
            </w:pPr>
          </w:p>
        </w:tc>
      </w:tr>
      <w:tr w14:paraId="3834DEB6">
        <w:tblPrEx>
          <w:tblCellMar>
            <w:top w:w="0" w:type="dxa"/>
            <w:left w:w="108" w:type="dxa"/>
            <w:bottom w:w="0" w:type="dxa"/>
            <w:right w:w="108" w:type="dxa"/>
          </w:tblCellMar>
        </w:tblPrEx>
        <w:trPr>
          <w:trHeight w:val="291" w:hRule="exact"/>
          <w:jc w:val="center"/>
        </w:trPr>
        <w:tc>
          <w:tcPr>
            <w:tcW w:w="1152" w:type="dxa"/>
            <w:vMerge w:val="continue"/>
            <w:tcBorders>
              <w:left w:val="single" w:color="auto" w:sz="4" w:space="0"/>
              <w:right w:val="single" w:color="auto" w:sz="4" w:space="0"/>
            </w:tcBorders>
            <w:noWrap w:val="0"/>
            <w:vAlign w:val="center"/>
          </w:tcPr>
          <w:p w14:paraId="50C7BBEF">
            <w:pPr>
              <w:jc w:val="center"/>
              <w:rPr>
                <w:rFonts w:ascii="宋体" w:hAnsi="宋体" w:cs="宋体"/>
                <w:kern w:val="0"/>
                <w:sz w:val="18"/>
                <w:szCs w:val="18"/>
                <w:highlight w:val="none"/>
              </w:rPr>
            </w:pPr>
          </w:p>
        </w:tc>
        <w:tc>
          <w:tcPr>
            <w:tcW w:w="1009" w:type="dxa"/>
            <w:vMerge w:val="continue"/>
            <w:tcBorders>
              <w:left w:val="single" w:color="auto" w:sz="4" w:space="0"/>
              <w:right w:val="single" w:color="auto" w:sz="4" w:space="0"/>
            </w:tcBorders>
            <w:noWrap w:val="0"/>
            <w:vAlign w:val="center"/>
          </w:tcPr>
          <w:p w14:paraId="3A09F3EE">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4DC10A24">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5CA16EA8">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14:paraId="607834FD">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0B5B932">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79269636">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7FC34D59">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74834813">
            <w:pPr>
              <w:jc w:val="center"/>
              <w:rPr>
                <w:rFonts w:ascii="宋体" w:hAnsi="宋体" w:cs="宋体"/>
                <w:kern w:val="0"/>
                <w:sz w:val="18"/>
                <w:szCs w:val="18"/>
                <w:highlight w:val="none"/>
              </w:rPr>
            </w:pPr>
          </w:p>
        </w:tc>
      </w:tr>
      <w:tr w14:paraId="3B17C6ED">
        <w:tblPrEx>
          <w:tblCellMar>
            <w:top w:w="0" w:type="dxa"/>
            <w:left w:w="108" w:type="dxa"/>
            <w:bottom w:w="0" w:type="dxa"/>
            <w:right w:w="108" w:type="dxa"/>
          </w:tblCellMar>
        </w:tblPrEx>
        <w:trPr>
          <w:trHeight w:val="613" w:hRule="exact"/>
          <w:jc w:val="center"/>
        </w:trPr>
        <w:tc>
          <w:tcPr>
            <w:tcW w:w="1152" w:type="dxa"/>
            <w:vMerge w:val="continue"/>
            <w:tcBorders>
              <w:left w:val="single" w:color="auto" w:sz="4" w:space="0"/>
              <w:bottom w:val="single" w:color="auto" w:sz="4" w:space="0"/>
              <w:right w:val="single" w:color="auto" w:sz="4" w:space="0"/>
            </w:tcBorders>
            <w:noWrap w:val="0"/>
            <w:vAlign w:val="center"/>
          </w:tcPr>
          <w:p w14:paraId="57D89F27">
            <w:pPr>
              <w:jc w:val="center"/>
              <w:rPr>
                <w:rFonts w:ascii="宋体" w:hAnsi="宋体" w:cs="宋体"/>
                <w:kern w:val="0"/>
                <w:sz w:val="18"/>
                <w:szCs w:val="18"/>
                <w:highlight w:val="none"/>
              </w:rPr>
            </w:pPr>
          </w:p>
        </w:tc>
        <w:tc>
          <w:tcPr>
            <w:tcW w:w="1009" w:type="dxa"/>
            <w:vMerge w:val="continue"/>
            <w:tcBorders>
              <w:left w:val="single" w:color="auto" w:sz="4" w:space="0"/>
              <w:bottom w:val="single" w:color="auto" w:sz="4" w:space="0"/>
              <w:right w:val="single" w:color="auto" w:sz="4" w:space="0"/>
            </w:tcBorders>
            <w:noWrap w:val="0"/>
            <w:vAlign w:val="center"/>
          </w:tcPr>
          <w:p w14:paraId="5A2FB290">
            <w:pPr>
              <w:jc w:val="center"/>
              <w:rPr>
                <w:rFonts w:ascii="宋体" w:hAnsi="宋体" w:cs="宋体"/>
                <w:kern w:val="0"/>
                <w:sz w:val="18"/>
                <w:szCs w:val="18"/>
                <w:highlight w:val="none"/>
              </w:rPr>
            </w:pPr>
          </w:p>
        </w:tc>
        <w:tc>
          <w:tcPr>
            <w:tcW w:w="982" w:type="dxa"/>
            <w:vMerge w:val="continue"/>
            <w:tcBorders>
              <w:top w:val="nil"/>
              <w:left w:val="single" w:color="auto" w:sz="4" w:space="0"/>
              <w:bottom w:val="single" w:color="auto" w:sz="4" w:space="0"/>
              <w:right w:val="single" w:color="auto" w:sz="4" w:space="0"/>
            </w:tcBorders>
            <w:noWrap w:val="0"/>
            <w:vAlign w:val="center"/>
          </w:tcPr>
          <w:p w14:paraId="15F834CB">
            <w:pPr>
              <w:jc w:val="center"/>
              <w:rPr>
                <w:rFonts w:ascii="宋体" w:hAnsi="宋体" w:cs="宋体"/>
                <w:kern w:val="0"/>
                <w:sz w:val="18"/>
                <w:szCs w:val="18"/>
                <w:highlight w:val="none"/>
              </w:rPr>
            </w:pPr>
          </w:p>
        </w:tc>
        <w:tc>
          <w:tcPr>
            <w:tcW w:w="2033" w:type="dxa"/>
            <w:gridSpan w:val="3"/>
            <w:tcBorders>
              <w:top w:val="single" w:color="auto" w:sz="4" w:space="0"/>
              <w:left w:val="nil"/>
              <w:bottom w:val="single" w:color="auto" w:sz="4" w:space="0"/>
              <w:right w:val="single" w:color="auto" w:sz="4" w:space="0"/>
            </w:tcBorders>
            <w:noWrap w:val="0"/>
            <w:vAlign w:val="center"/>
          </w:tcPr>
          <w:p w14:paraId="03B0356E">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14:paraId="516D9075">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14:paraId="07A44528">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14:paraId="51185578">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14:paraId="3749EFBD">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14:paraId="0CC11F3B">
            <w:pPr>
              <w:jc w:val="center"/>
              <w:rPr>
                <w:rFonts w:ascii="宋体" w:hAnsi="宋体" w:cs="宋体"/>
                <w:kern w:val="0"/>
                <w:sz w:val="18"/>
                <w:szCs w:val="18"/>
                <w:highlight w:val="none"/>
              </w:rPr>
            </w:pPr>
          </w:p>
        </w:tc>
      </w:tr>
      <w:tr w14:paraId="058E540E">
        <w:tblPrEx>
          <w:tblCellMar>
            <w:top w:w="0" w:type="dxa"/>
            <w:left w:w="108" w:type="dxa"/>
            <w:bottom w:w="0" w:type="dxa"/>
            <w:right w:w="108" w:type="dxa"/>
          </w:tblCellMar>
        </w:tblPrEx>
        <w:trPr>
          <w:trHeight w:val="291" w:hRule="exact"/>
          <w:jc w:val="center"/>
        </w:trPr>
        <w:tc>
          <w:tcPr>
            <w:tcW w:w="7053" w:type="dxa"/>
            <w:gridSpan w:val="8"/>
            <w:tcBorders>
              <w:top w:val="single" w:color="auto" w:sz="4" w:space="0"/>
              <w:left w:val="single" w:color="auto" w:sz="4" w:space="0"/>
              <w:bottom w:val="single" w:color="auto" w:sz="4" w:space="0"/>
              <w:right w:val="single" w:color="auto" w:sz="4" w:space="0"/>
            </w:tcBorders>
            <w:noWrap w:val="0"/>
            <w:vAlign w:val="center"/>
          </w:tcPr>
          <w:p w14:paraId="3865E8CB">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总分</w:t>
            </w:r>
          </w:p>
        </w:tc>
        <w:tc>
          <w:tcPr>
            <w:tcW w:w="943" w:type="dxa"/>
            <w:gridSpan w:val="2"/>
            <w:tcBorders>
              <w:top w:val="single" w:color="auto" w:sz="4" w:space="0"/>
              <w:left w:val="single" w:color="auto" w:sz="4" w:space="0"/>
              <w:bottom w:val="single" w:color="auto" w:sz="4" w:space="0"/>
              <w:right w:val="single" w:color="auto" w:sz="4" w:space="0"/>
            </w:tcBorders>
            <w:noWrap w:val="0"/>
            <w:vAlign w:val="center"/>
          </w:tcPr>
          <w:p w14:paraId="515F01F1">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980" w:type="dxa"/>
            <w:gridSpan w:val="2"/>
            <w:tcBorders>
              <w:top w:val="nil"/>
              <w:left w:val="nil"/>
              <w:bottom w:val="single" w:color="auto" w:sz="4" w:space="0"/>
              <w:right w:val="single" w:color="auto" w:sz="4" w:space="0"/>
            </w:tcBorders>
            <w:noWrap w:val="0"/>
            <w:vAlign w:val="center"/>
          </w:tcPr>
          <w:p w14:paraId="06B4D136">
            <w:pPr>
              <w:keepNext w:val="0"/>
              <w:keepLines w:val="0"/>
              <w:widowControl/>
              <w:suppressLineNumbers w:val="0"/>
              <w:jc w:val="center"/>
              <w:textAlignment w:val="center"/>
              <w:rPr>
                <w:rFonts w:hint="default" w:ascii="宋体" w:hAnsi="宋体" w:cs="宋体"/>
                <w:color w:val="000000"/>
                <w:kern w:val="0"/>
                <w:sz w:val="18"/>
                <w:szCs w:val="18"/>
                <w:highlight w:val="none"/>
                <w:lang w:val="en-US"/>
              </w:rPr>
            </w:pPr>
            <w:r>
              <w:rPr>
                <w:rFonts w:hint="eastAsia" w:ascii="宋体" w:hAnsi="宋体" w:cs="宋体"/>
                <w:i w:val="0"/>
                <w:iCs w:val="0"/>
                <w:color w:val="000000"/>
                <w:kern w:val="0"/>
                <w:sz w:val="18"/>
                <w:szCs w:val="18"/>
                <w:highlight w:val="none"/>
                <w:u w:val="none"/>
                <w:lang w:val="en-US" w:eastAsia="zh-CN" w:bidi="ar"/>
              </w:rPr>
              <w:t>60</w:t>
            </w:r>
          </w:p>
        </w:tc>
        <w:tc>
          <w:tcPr>
            <w:tcW w:w="1359" w:type="dxa"/>
            <w:gridSpan w:val="2"/>
            <w:tcBorders>
              <w:top w:val="single" w:color="auto" w:sz="4" w:space="0"/>
              <w:left w:val="nil"/>
              <w:bottom w:val="single" w:color="auto" w:sz="4" w:space="0"/>
              <w:right w:val="single" w:color="auto" w:sz="4" w:space="0"/>
            </w:tcBorders>
            <w:noWrap w:val="0"/>
            <w:vAlign w:val="center"/>
          </w:tcPr>
          <w:p w14:paraId="18B1116A">
            <w:pPr>
              <w:rPr>
                <w:rFonts w:ascii="宋体" w:hAnsi="宋体" w:cs="宋体"/>
                <w:kern w:val="0"/>
                <w:sz w:val="18"/>
                <w:szCs w:val="18"/>
                <w:highlight w:val="none"/>
              </w:rPr>
            </w:pPr>
          </w:p>
        </w:tc>
      </w:tr>
    </w:tbl>
    <w:p w14:paraId="01CBA2D2">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14:paraId="3CAC721C">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14:paraId="5EE10E6D">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7C9CC4FF">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14:paraId="726C6A3D">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14:paraId="4B74E899">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3578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C5FB20">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uU2lsgBAACZ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GtKHLc48Mv3b5cfvy4/v5Jl&#10;lqcPUGPWQ8C8NNz5AZdm9gM6M+tBRZu/yIdgHMU9X8WVQyIiP1qv1usKQwJj8wXx2ePzECG9ld6S&#10;bDQ04vSKqPz0HtKYOqfkas7fa2PKBI37y4GY2cNy72OP2UrDfpgI7X17Rj49Dr6hDvecEvPOoa55&#10;R2YjzsZ+No4h6kNXlijXg3B7TNhE6S1XGGGnwjixwm7arrwSf95L1uMftf0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blNpbIAQAAmQMAAA4AAAAAAAAAAQAgAAAAHgEAAGRycy9lMm9Eb2Mu&#10;eG1sUEsFBgAAAAAGAAYAWQEAAFgFAAAAAA==&#10;">
              <v:fill on="f" focussize="0,0"/>
              <v:stroke on="f"/>
              <v:imagedata o:title=""/>
              <o:lock v:ext="edit" aspectratio="f"/>
              <v:textbox inset="0mm,0mm,0mm,0mm" style="mso-fit-shape-to-text:t;">
                <w:txbxContent>
                  <w:p w14:paraId="1AC5FB20">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14:paraId="6613D7E0">
    <w:pPr>
      <w:pStyle w:val="7"/>
    </w:pPr>
  </w:p>
  <w:p w14:paraId="7AFF1231">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37FD1">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D3793">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sF/f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X1DieMWB37++eP86/H88J0s&#10;sz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SwX99yQEAAJkDAAAOAAAAAAAAAAEAIAAAAB4BAABkcnMvZTJvRG9j&#10;LnhtbFBLBQYAAAAABgAGAFkBAABZBQAAAAA=&#10;">
              <v:fill on="f" focussize="0,0"/>
              <v:stroke on="f"/>
              <v:imagedata o:title=""/>
              <o:lock v:ext="edit" aspectratio="f"/>
              <v:textbox inset="0mm,0mm,0mm,0mm" style="mso-fit-shape-to-text:t;">
                <w:txbxContent>
                  <w:p w14:paraId="6FDD3793">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D22E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15486631">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D85A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39F1E27">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27C84"/>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7A4645"/>
    <w:rsid w:val="038E6E7A"/>
    <w:rsid w:val="04592C5D"/>
    <w:rsid w:val="04F06F19"/>
    <w:rsid w:val="055C08A0"/>
    <w:rsid w:val="06977913"/>
    <w:rsid w:val="06B05E90"/>
    <w:rsid w:val="079004AC"/>
    <w:rsid w:val="082A73F1"/>
    <w:rsid w:val="0AFD09DD"/>
    <w:rsid w:val="0C7B7F86"/>
    <w:rsid w:val="0F8E2C57"/>
    <w:rsid w:val="1059665E"/>
    <w:rsid w:val="10AC13BA"/>
    <w:rsid w:val="124610E1"/>
    <w:rsid w:val="135572DF"/>
    <w:rsid w:val="163F4A7E"/>
    <w:rsid w:val="18A22B4C"/>
    <w:rsid w:val="1AEC0734"/>
    <w:rsid w:val="1B323594"/>
    <w:rsid w:val="1B43291B"/>
    <w:rsid w:val="1C7254ED"/>
    <w:rsid w:val="1DEF20B0"/>
    <w:rsid w:val="1F401DDF"/>
    <w:rsid w:val="1F664E2A"/>
    <w:rsid w:val="21422A39"/>
    <w:rsid w:val="214243FA"/>
    <w:rsid w:val="232235C5"/>
    <w:rsid w:val="257A14F5"/>
    <w:rsid w:val="27196C26"/>
    <w:rsid w:val="29EF086F"/>
    <w:rsid w:val="2A8415D0"/>
    <w:rsid w:val="2BF13CCD"/>
    <w:rsid w:val="2D0964D6"/>
    <w:rsid w:val="2EFFE297"/>
    <w:rsid w:val="301437CA"/>
    <w:rsid w:val="32785148"/>
    <w:rsid w:val="353C75FB"/>
    <w:rsid w:val="35400107"/>
    <w:rsid w:val="386D6DD1"/>
    <w:rsid w:val="3C432C09"/>
    <w:rsid w:val="3DE04810"/>
    <w:rsid w:val="3DFD6097"/>
    <w:rsid w:val="3F143319"/>
    <w:rsid w:val="3F3B19D7"/>
    <w:rsid w:val="4208288A"/>
    <w:rsid w:val="42F27DD4"/>
    <w:rsid w:val="433E495C"/>
    <w:rsid w:val="44617DEC"/>
    <w:rsid w:val="45A90126"/>
    <w:rsid w:val="4616442F"/>
    <w:rsid w:val="46B753D0"/>
    <w:rsid w:val="48804E0D"/>
    <w:rsid w:val="49090450"/>
    <w:rsid w:val="4AC27CB3"/>
    <w:rsid w:val="4B6D146C"/>
    <w:rsid w:val="4BF72BEF"/>
    <w:rsid w:val="4CD80866"/>
    <w:rsid w:val="4DEB2135"/>
    <w:rsid w:val="4E150194"/>
    <w:rsid w:val="4E3C7044"/>
    <w:rsid w:val="4F505CEE"/>
    <w:rsid w:val="50502C65"/>
    <w:rsid w:val="51DB3C59"/>
    <w:rsid w:val="53A32D14"/>
    <w:rsid w:val="550A17D8"/>
    <w:rsid w:val="55762E42"/>
    <w:rsid w:val="568B6949"/>
    <w:rsid w:val="57A7B272"/>
    <w:rsid w:val="58470068"/>
    <w:rsid w:val="58886F75"/>
    <w:rsid w:val="58C146D8"/>
    <w:rsid w:val="59C13AFF"/>
    <w:rsid w:val="5A1720F9"/>
    <w:rsid w:val="5B9C37C2"/>
    <w:rsid w:val="5BA7C654"/>
    <w:rsid w:val="5C4A1DDB"/>
    <w:rsid w:val="5CF74D38"/>
    <w:rsid w:val="5F2D3D9B"/>
    <w:rsid w:val="5F8A0474"/>
    <w:rsid w:val="60FF240D"/>
    <w:rsid w:val="612F6476"/>
    <w:rsid w:val="638A7560"/>
    <w:rsid w:val="641F04E5"/>
    <w:rsid w:val="64C0607C"/>
    <w:rsid w:val="65AC6CC3"/>
    <w:rsid w:val="672D1356"/>
    <w:rsid w:val="676F09E1"/>
    <w:rsid w:val="696173A6"/>
    <w:rsid w:val="6A133703"/>
    <w:rsid w:val="6A9B1DCA"/>
    <w:rsid w:val="6C2C6080"/>
    <w:rsid w:val="6F375468"/>
    <w:rsid w:val="6FE55BEA"/>
    <w:rsid w:val="70757C2A"/>
    <w:rsid w:val="721821DB"/>
    <w:rsid w:val="731E722C"/>
    <w:rsid w:val="73A46317"/>
    <w:rsid w:val="756172B0"/>
    <w:rsid w:val="75A44ED9"/>
    <w:rsid w:val="75E74A0A"/>
    <w:rsid w:val="768F7680"/>
    <w:rsid w:val="77512F0B"/>
    <w:rsid w:val="77F80C6B"/>
    <w:rsid w:val="7A6139F1"/>
    <w:rsid w:val="7A7F1C49"/>
    <w:rsid w:val="7A83139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ome/user/Desktop/&#26032;&#24314;Excel&#25991;&#26723;.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explosion val="171"/>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explosion val="129"/>
            <c:spPr>
              <a:solidFill>
                <a:srgbClr val="8064A2"/>
              </a:solidFill>
              <a:ln w="19050">
                <a:solidFill>
                  <a:srgbClr val="FFFFFF"/>
                </a:solidFill>
              </a:ln>
              <a:effectLst/>
            </c:spPr>
          </c:dPt>
          <c:dPt>
            <c:idx val="4"/>
            <c:bubble3D val="0"/>
            <c:explosion val="90"/>
            <c:spPr>
              <a:solidFill>
                <a:srgbClr val="4BACC6"/>
              </a:solidFill>
              <a:ln w="19050">
                <a:solidFill>
                  <a:srgbClr val="FFFFFF"/>
                </a:solidFill>
              </a:ln>
              <a:effectLst/>
            </c:spPr>
          </c:dPt>
          <c:dPt>
            <c:idx val="5"/>
            <c:bubble3D val="0"/>
            <c:spPr>
              <a:solidFill>
                <a:srgbClr val="F79646"/>
              </a:solidFill>
              <a:ln w="19050">
                <a:solidFill>
                  <a:srgbClr val="FFFFFF"/>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rPr lang="en-US" altLang="zh-CN"/>
                      <a:t>52.51</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1"/>
              <c:delete val="1"/>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rPr lang="en-US" altLang="zh-CN"/>
                      <a:t>47.39</a:t>
                    </a:r>
                    <a:r>
                      <a:t>%</a:t>
                    </a:r>
                  </a:p>
                </c:rich>
              </c:tx>
              <c:dLblPos val="bestFit"/>
              <c:showLegendKey val="0"/>
              <c:showVal val="0"/>
              <c:showCatName val="0"/>
              <c:showSerName val="0"/>
              <c:showPercent val="1"/>
              <c:showBubbleSize val="0"/>
              <c:extLst>
                <c:ext xmlns:c15="http://schemas.microsoft.com/office/drawing/2012/chart" uri="{CE6537A1-D6FC-4f65-9D91-7224C49458BB}"/>
              </c:extLst>
            </c:dLbl>
            <c:dLbl>
              <c:idx val="3"/>
              <c:delete val="1"/>
            </c:dLbl>
            <c:dLbl>
              <c:idx val="4"/>
              <c:delete val="1"/>
            </c:dLbl>
            <c:dLbl>
              <c:idx val="5"/>
              <c:layout/>
              <c:tx>
                <c:rich>
                  <a:bodyPr rot="0" spcFirstLastPara="0" vertOverflow="ellipsis" vert="horz" wrap="square" lIns="38100" tIns="19050" rIns="38100" bIns="19050" anchor="ctr" anchorCtr="1"/>
                  <a:lstStyle/>
                  <a:p>
                    <a:pPr defTabSz="914400">
                      <a:defRPr lang="zh-CN" sz="900" b="0" i="0" u="none" strike="noStrike" kern="1200" baseline="0">
                        <a:solidFill>
                          <a:srgbClr val="404040">
                            <a:lumMod val="75000"/>
                            <a:lumOff val="25000"/>
                          </a:srgbClr>
                        </a:solidFill>
                        <a:latin typeface="+mn-lt"/>
                        <a:ea typeface="+mn-ea"/>
                        <a:cs typeface="+mn-cs"/>
                      </a:defRPr>
                    </a:pPr>
                    <a:r>
                      <a:rPr lang="en-US" altLang="zh-CN"/>
                      <a:t>0.1</a:t>
                    </a:r>
                    <a:r>
                      <a:t>%</a:t>
                    </a:r>
                  </a:p>
                </c:rich>
              </c:tx>
              <c:dLblPos val="bestFit"/>
              <c:showLegendKey val="0"/>
              <c:showVal val="0"/>
              <c:showCatName val="0"/>
              <c:showSerName val="0"/>
              <c:showPercent val="1"/>
              <c:showBubbleSize val="0"/>
              <c:extLst>
                <c:ext xmlns:c15="http://schemas.microsoft.com/office/drawing/2012/chart" uri="{CE6537A1-D6FC-4f65-9D91-7224C49458BB}"/>
              </c:extLst>
            </c:dLbl>
            <c:numFmt formatCode="General"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numRef>
              <c:f>[新建Excel文档.xls]Sheet1!$B$1:$G$1</c:f>
              <c:numCache>
                <c:ptCount val="0"/>
              </c:numCache>
            </c:numRef>
          </c:cat>
          <c:val>
            <c:numRef>
              <c:f>[新建Excel文档.xls]Sheet1!$B$2:$G$2</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500ead28-a183-4f52-9e74-4b75ac0e9541}"/>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elete val="1"/>
          </c:dLbls>
          <c:cat>
            <c:numRef>
              <c:f>[新建Excel文档.xls]Sheet1!$C$28:$G$28</c:f>
              <c:numCache>
                <c:ptCount val="0"/>
              </c:numCache>
            </c:num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3000fc53-dc0e-4055-8d0d-4c4dc5a672f1}"/>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8498</Words>
  <Characters>9433</Characters>
  <Lines>77</Lines>
  <Paragraphs>21</Paragraphs>
  <TotalTime>5</TotalTime>
  <ScaleCrop>false</ScaleCrop>
  <LinksUpToDate>false</LinksUpToDate>
  <CharactersWithSpaces>9472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d^d</cp:lastModifiedBy>
  <cp:lastPrinted>2020-08-07T19:39:00Z</cp:lastPrinted>
  <dcterms:modified xsi:type="dcterms:W3CDTF">2025-08-14T06:58:35Z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032136C5216D4BE383E201F0B38AD760_13</vt:lpwstr>
  </property>
  <property fmtid="{D5CDD505-2E9C-101B-9397-08002B2CF9AE}" pid="4" name="KSOTemplateDocerSaveRecord">
    <vt:lpwstr>eyJoZGlkIjoiOTBlMTlkMTA3NGY4N2RlMWZjNzgxMjFiMTRmYjkxM2IiLCJ1c2VySWQiOiI0MTMwMDcyODUifQ==</vt:lpwstr>
  </property>
</Properties>
</file>