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default"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val="en-US" w:eastAsia="zh-CN"/>
        </w:rPr>
        <w:t>青云店镇中心卫生院</w:t>
      </w:r>
    </w:p>
    <w:p>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eastAsia="zh-CN"/>
        </w:rPr>
        <w:t>单位</w:t>
      </w:r>
      <w:r>
        <w:rPr>
          <w:rFonts w:hint="eastAsia" w:ascii="黑体" w:eastAsia="黑体"/>
          <w:sz w:val="72"/>
          <w:szCs w:val="72"/>
        </w:rPr>
        <w:t>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w:t>
      </w:r>
      <w:r>
        <w:rPr>
          <w:rFonts w:hint="eastAsia" w:ascii="宋体" w:hAnsi="宋体" w:cs="宋体"/>
          <w:b/>
          <w:bCs/>
          <w:spacing w:val="40"/>
          <w:kern w:val="0"/>
          <w:sz w:val="32"/>
          <w:szCs w:val="32"/>
          <w:lang w:eastAsia="zh-CN"/>
        </w:rPr>
        <w:t>单位</w:t>
      </w:r>
      <w:r>
        <w:rPr>
          <w:rFonts w:hint="eastAsia" w:ascii="宋体" w:hAnsi="宋体" w:cs="宋体"/>
          <w:b/>
          <w:bCs/>
          <w:spacing w:val="40"/>
          <w:kern w:val="0"/>
          <w:sz w:val="32"/>
          <w:szCs w:val="32"/>
        </w:rPr>
        <w:t>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1．主要职能。</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青云店镇中心卫生院位于大兴区东南部，镇域面积70.3平方公里，北靠南六环，与北京亦庄经济技术开发区相连接，紧邻104国道。卫生院成立于1958年，现址卫生院建于1974年，经过62年的发展已成为拥有50张病床的一所一级甲等综合性医疗机构，为全镇10万本地和外来人口提供基本的医疗保健服务工作。</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机构情况</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青云店镇中心卫生院业务用楼分别为门诊综合楼和2014年新建的公共卫生门诊楼。门诊综合楼高五层，占地面积1200平方米，建筑面积5802平方米，建成时间为2008年12月，承担着门急诊、住院、辅助检查、体检、行政等业务工作。公共卫生门诊楼高四层，占地面积347平方米，建筑面积1391平方米，承担预防保健、妇幼保健、宣教等工作。</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卫生院下设内科、外科、肛肠科、糖尿病科、中医科、口腔科、妇科、儿科、检验科、放射科、超声科、护理部、预防保健站、妇幼保健站等科室，下设9家社区卫生服务站，1所门诊部，管理32家村卫生室。</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人员情况</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我单位正式职工97人，临时工78人，退休职工47人。正式职工比去年同期减少2人，临时工比去年同期增加6人，退休职工比去年同期减少1人。</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65" w:firstLineChars="202"/>
        <w:rPr>
          <w:rFonts w:hint="eastAsia" w:ascii="仿宋_GB2312" w:eastAsia="仿宋_GB2312"/>
          <w:color w:val="000000"/>
          <w:sz w:val="32"/>
          <w:szCs w:val="32"/>
          <w:lang w:eastAsia="zh-CN"/>
        </w:rPr>
      </w:pPr>
      <w:r>
        <w:rPr>
          <w:rFonts w:hint="eastAsia" w:ascii="仿宋_GB2312" w:hAnsi="Times New Roman" w:eastAsia="仿宋_GB2312" w:cs="Times New Roman"/>
          <w:sz w:val="28"/>
          <w:szCs w:val="28"/>
        </w:rPr>
        <w:t>从预算单位构成看，</w:t>
      </w:r>
      <w:r>
        <w:rPr>
          <w:rFonts w:hint="eastAsia" w:ascii="仿宋_GB2312" w:hAnsi="Times New Roman" w:eastAsia="仿宋_GB2312" w:cs="Times New Roman"/>
          <w:sz w:val="28"/>
          <w:szCs w:val="28"/>
          <w:lang w:eastAsia="zh-CN"/>
        </w:rPr>
        <w:t>青云店镇中心卫生院部门预算包括：北京市大兴区青云店镇中心卫生院（本级）预算。</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w:t>
      </w:r>
      <w:bookmarkStart w:id="0" w:name="OLE_LINK1"/>
      <w:r>
        <w:rPr>
          <w:rFonts w:hint="eastAsia" w:ascii="仿宋_GB2312" w:hAnsi="Times New Roman" w:eastAsia="仿宋_GB2312" w:cs="Times New Roman"/>
          <w:sz w:val="28"/>
          <w:szCs w:val="28"/>
        </w:rPr>
        <w:t>12641.27万元，比上年增加989.73万元，增长8.49%。主要原因：</w:t>
      </w:r>
      <w:r>
        <w:rPr>
          <w:rFonts w:hint="eastAsia" w:ascii="仿宋_GB2312" w:hAnsi="Times New Roman" w:eastAsia="仿宋_GB2312" w:cs="Times New Roman"/>
          <w:sz w:val="28"/>
          <w:szCs w:val="28"/>
          <w:lang w:val="en-US" w:eastAsia="zh-CN"/>
        </w:rPr>
        <w:t>门急诊及住院医疗收入增加；财政专项资金增加。</w:t>
      </w:r>
      <w:bookmarkEnd w:id="0"/>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年度支出总计12475.75万元，比上年增加876.14万元，增长7.55%。主要原因：</w:t>
      </w:r>
      <w:r>
        <w:rPr>
          <w:rFonts w:hint="eastAsia" w:ascii="仿宋_GB2312" w:hAnsi="Times New Roman" w:eastAsia="仿宋_GB2312" w:cs="Times New Roman"/>
          <w:sz w:val="28"/>
          <w:szCs w:val="28"/>
          <w:lang w:val="en-US" w:eastAsia="zh-CN"/>
        </w:rPr>
        <w:t>发放在职及退休人员住房补贴；人员保险及公积金支出增多。</w:t>
      </w:r>
      <w:bookmarkStart w:id="15" w:name="_GoBack"/>
      <w:bookmarkEnd w:id="15"/>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hint="eastAsia" w:ascii="仿宋_GB2312" w:hAnsi="Times New Roman" w:eastAsia="仿宋_GB2312" w:cs="Times New Roman"/>
          <w:sz w:val="28"/>
          <w:szCs w:val="28"/>
        </w:rPr>
        <w:t>12641.27万元，比上年增加989.73万元，增长8.49%。主要原因：</w:t>
      </w:r>
      <w:r>
        <w:rPr>
          <w:rFonts w:hint="eastAsia" w:ascii="仿宋_GB2312" w:hAnsi="Times New Roman" w:eastAsia="仿宋_GB2312" w:cs="Times New Roman"/>
          <w:sz w:val="28"/>
          <w:szCs w:val="28"/>
          <w:lang w:val="en-US" w:eastAsia="zh-CN"/>
        </w:rPr>
        <w:t>门急诊及住院医疗收入增加；财政专项资金增加。</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5207.35</w:t>
      </w:r>
      <w:r>
        <w:rPr>
          <w:rFonts w:hint="eastAsia" w:ascii="仿宋_GB2312" w:eastAsia="仿宋_GB2312"/>
          <w:sz w:val="28"/>
          <w:szCs w:val="28"/>
        </w:rPr>
        <w:t>万元，占收入合计的</w:t>
      </w:r>
      <w:r>
        <w:rPr>
          <w:rFonts w:hint="eastAsia" w:ascii="仿宋_GB2312" w:eastAsia="仿宋_GB2312"/>
          <w:sz w:val="28"/>
          <w:szCs w:val="28"/>
          <w:lang w:val="en-US" w:eastAsia="zh-CN"/>
        </w:rPr>
        <w:t>41.19</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5207.35</w:t>
      </w:r>
      <w:r>
        <w:rPr>
          <w:rFonts w:hint="eastAsia" w:ascii="仿宋_GB2312" w:eastAsia="仿宋_GB2312"/>
          <w:sz w:val="28"/>
          <w:szCs w:val="28"/>
        </w:rPr>
        <w:t>万元，占收入合计的</w:t>
      </w:r>
      <w:r>
        <w:rPr>
          <w:rFonts w:hint="eastAsia" w:ascii="仿宋_GB2312" w:eastAsia="仿宋_GB2312"/>
          <w:sz w:val="28"/>
          <w:szCs w:val="28"/>
          <w:lang w:val="en-US" w:eastAsia="zh-CN"/>
        </w:rPr>
        <w:t>41.19</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7417.04</w:t>
      </w:r>
      <w:r>
        <w:rPr>
          <w:rFonts w:hint="eastAsia" w:ascii="仿宋_GB2312" w:eastAsia="仿宋_GB2312"/>
          <w:sz w:val="28"/>
          <w:szCs w:val="28"/>
        </w:rPr>
        <w:t>万元，占收入合计的</w:t>
      </w:r>
      <w:r>
        <w:rPr>
          <w:rFonts w:hint="eastAsia" w:ascii="仿宋_GB2312" w:eastAsia="仿宋_GB2312"/>
          <w:sz w:val="28"/>
          <w:szCs w:val="28"/>
          <w:lang w:val="en-US" w:eastAsia="zh-CN"/>
        </w:rPr>
        <w:t>58.67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16.88</w:t>
      </w:r>
      <w:r>
        <w:rPr>
          <w:rFonts w:hint="eastAsia" w:ascii="仿宋_GB2312" w:eastAsia="仿宋_GB2312"/>
          <w:sz w:val="28"/>
          <w:szCs w:val="28"/>
        </w:rPr>
        <w:t>万元，占收入合计的</w:t>
      </w:r>
      <w:r>
        <w:rPr>
          <w:rFonts w:hint="eastAsia" w:ascii="仿宋_GB2312" w:eastAsia="仿宋_GB2312"/>
          <w:sz w:val="28"/>
          <w:szCs w:val="28"/>
          <w:lang w:val="en-US" w:eastAsia="zh-CN"/>
        </w:rPr>
        <w:t>0.13</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3"/>
        <w:ind w:firstLine="0"/>
        <w:jc w:val="center"/>
        <w:rPr>
          <w:rFonts w:hint="eastAsia" w:ascii="仿宋_GB2312" w:eastAsia="仿宋_GB2312"/>
          <w:sz w:val="28"/>
          <w:szCs w:val="28"/>
          <w:lang w:eastAsia="zh-CN"/>
        </w:rPr>
      </w:pPr>
      <w:r>
        <w:rPr>
          <w:rFonts w:hint="eastAsia" w:ascii="仿宋_GB2312" w:eastAsia="仿宋_GB2312"/>
          <w:sz w:val="28"/>
          <w:szCs w:val="28"/>
          <w:lang w:eastAsia="zh-CN"/>
        </w:rPr>
        <w:drawing>
          <wp:inline distT="0" distB="0" distL="114300" distR="114300">
            <wp:extent cx="5874385" cy="3407410"/>
            <wp:effectExtent l="4445" t="4445" r="19050" b="1714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2024年度本年支出合计</w:t>
      </w:r>
      <w:bookmarkStart w:id="1" w:name="OLE_LINK6"/>
      <w:r>
        <w:rPr>
          <w:rFonts w:hint="eastAsia" w:ascii="仿宋_GB2312" w:hAnsi="Times New Roman" w:eastAsia="仿宋_GB2312" w:cs="Times New Roman"/>
          <w:sz w:val="28"/>
          <w:szCs w:val="28"/>
        </w:rPr>
        <w:t>12475.75</w:t>
      </w:r>
      <w:bookmarkEnd w:id="1"/>
      <w:r>
        <w:rPr>
          <w:rFonts w:hint="eastAsia" w:ascii="仿宋_GB2312" w:hAnsi="Times New Roman" w:eastAsia="仿宋_GB2312" w:cs="Times New Roman"/>
          <w:sz w:val="28"/>
          <w:szCs w:val="28"/>
        </w:rPr>
        <w:t>万元，比上年增加</w:t>
      </w:r>
      <w:bookmarkStart w:id="2" w:name="OLE_LINK7"/>
      <w:r>
        <w:rPr>
          <w:rFonts w:hint="eastAsia" w:ascii="仿宋_GB2312" w:hAnsi="Times New Roman" w:eastAsia="仿宋_GB2312" w:cs="Times New Roman"/>
          <w:sz w:val="28"/>
          <w:szCs w:val="28"/>
        </w:rPr>
        <w:t>876.14</w:t>
      </w:r>
      <w:bookmarkEnd w:id="2"/>
      <w:r>
        <w:rPr>
          <w:rFonts w:hint="eastAsia" w:ascii="仿宋_GB2312" w:hAnsi="Times New Roman" w:eastAsia="仿宋_GB2312" w:cs="Times New Roman"/>
          <w:sz w:val="28"/>
          <w:szCs w:val="28"/>
        </w:rPr>
        <w:t>万元，增长</w:t>
      </w:r>
      <w:bookmarkStart w:id="3" w:name="OLE_LINK4"/>
      <w:r>
        <w:rPr>
          <w:rFonts w:hint="eastAsia" w:ascii="仿宋_GB2312" w:hAnsi="Times New Roman" w:eastAsia="仿宋_GB2312" w:cs="Times New Roman"/>
          <w:sz w:val="28"/>
          <w:szCs w:val="28"/>
        </w:rPr>
        <w:t>8.49</w:t>
      </w:r>
      <w:bookmarkEnd w:id="3"/>
      <w:r>
        <w:rPr>
          <w:rFonts w:hint="eastAsia" w:ascii="仿宋_GB2312" w:hAnsi="Times New Roman" w:eastAsia="仿宋_GB2312" w:cs="Times New Roman"/>
          <w:sz w:val="28"/>
          <w:szCs w:val="28"/>
        </w:rPr>
        <w:t>%。主要原因：</w:t>
      </w:r>
      <w:bookmarkStart w:id="4" w:name="OLE_LINK2"/>
      <w:bookmarkStart w:id="5" w:name="OLE_LINK9"/>
      <w:r>
        <w:rPr>
          <w:rFonts w:hint="eastAsia" w:ascii="仿宋_GB2312" w:hAnsi="Times New Roman" w:eastAsia="仿宋_GB2312" w:cs="Times New Roman"/>
          <w:sz w:val="28"/>
          <w:szCs w:val="28"/>
          <w:lang w:val="en-US" w:eastAsia="zh-CN"/>
        </w:rPr>
        <w:t>发放在职及退休人员住房补贴</w:t>
      </w:r>
      <w:bookmarkEnd w:id="4"/>
      <w:r>
        <w:rPr>
          <w:rFonts w:hint="eastAsia" w:ascii="仿宋_GB2312" w:hAnsi="Times New Roman" w:eastAsia="仿宋_GB2312" w:cs="Times New Roman"/>
          <w:sz w:val="28"/>
          <w:szCs w:val="28"/>
          <w:lang w:val="en-US" w:eastAsia="zh-CN"/>
        </w:rPr>
        <w:t>；</w:t>
      </w:r>
      <w:bookmarkStart w:id="6" w:name="OLE_LINK3"/>
      <w:r>
        <w:rPr>
          <w:rFonts w:hint="eastAsia" w:ascii="仿宋_GB2312" w:hAnsi="Times New Roman" w:eastAsia="仿宋_GB2312" w:cs="Times New Roman"/>
          <w:sz w:val="28"/>
          <w:szCs w:val="28"/>
          <w:lang w:val="en-US" w:eastAsia="zh-CN"/>
        </w:rPr>
        <w:t>人员保险及公积金支出增多</w:t>
      </w:r>
      <w:bookmarkEnd w:id="6"/>
      <w:r>
        <w:rPr>
          <w:rFonts w:hint="eastAsia" w:ascii="仿宋_GB2312" w:hAnsi="Times New Roman" w:eastAsia="仿宋_GB2312" w:cs="Times New Roman"/>
          <w:sz w:val="28"/>
          <w:szCs w:val="28"/>
          <w:lang w:val="en-US" w:eastAsia="zh-CN"/>
        </w:rPr>
        <w:t>。</w:t>
      </w:r>
      <w:bookmarkEnd w:id="5"/>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9897.31</w:t>
      </w:r>
      <w:r>
        <w:rPr>
          <w:rFonts w:hint="eastAsia" w:ascii="仿宋_GB2312" w:eastAsia="仿宋_GB2312"/>
          <w:sz w:val="28"/>
          <w:szCs w:val="28"/>
        </w:rPr>
        <w:t>万元，占支出合计的</w:t>
      </w:r>
      <w:r>
        <w:rPr>
          <w:rFonts w:hint="eastAsia" w:ascii="仿宋_GB2312" w:eastAsia="仿宋_GB2312"/>
          <w:sz w:val="28"/>
          <w:szCs w:val="28"/>
          <w:lang w:val="en-US" w:eastAsia="zh-CN"/>
        </w:rPr>
        <w:t>79.33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2578.44</w:t>
      </w:r>
      <w:r>
        <w:rPr>
          <w:rFonts w:hint="eastAsia" w:ascii="仿宋_GB2312" w:eastAsia="仿宋_GB2312"/>
          <w:sz w:val="28"/>
          <w:szCs w:val="28"/>
        </w:rPr>
        <w:t>万元，占支出合计的</w:t>
      </w:r>
      <w:r>
        <w:rPr>
          <w:rFonts w:hint="eastAsia" w:ascii="仿宋_GB2312" w:eastAsia="仿宋_GB2312"/>
          <w:sz w:val="28"/>
          <w:szCs w:val="28"/>
          <w:lang w:val="en-US" w:eastAsia="zh-CN"/>
        </w:rPr>
        <w:t>20.67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642"/>
        <w:jc w:val="center"/>
        <w:rPr>
          <w:rFonts w:hint="default"/>
          <w:lang w:val="en-US" w:eastAsia="zh-CN"/>
        </w:rPr>
      </w:pPr>
      <w:r>
        <w:rPr>
          <w:rFonts w:hint="eastAsia" w:ascii="仿宋_GB2312" w:eastAsia="仿宋_GB2312"/>
          <w:color w:val="000000"/>
          <w:sz w:val="32"/>
          <w:szCs w:val="32"/>
          <w:highlight w:val="none"/>
          <w:lang w:val="en-US" w:eastAsia="zh-CN"/>
        </w:rPr>
        <w:t xml:space="preserve">图2：基本支出和项目支出情况 </w:t>
      </w:r>
    </w:p>
    <w:p>
      <w:pPr>
        <w:rPr>
          <w:rFonts w:hint="eastAsia"/>
          <w:lang w:val="en-US" w:eastAsia="zh-CN"/>
        </w:rPr>
      </w:pPr>
      <w:r>
        <w:rPr>
          <w:rFonts w:hint="eastAsia"/>
          <w:lang w:val="en-US" w:eastAsia="zh-CN"/>
        </w:rPr>
        <w:t xml:space="preserve">                                  </w:t>
      </w:r>
      <w:r>
        <w:rPr>
          <w:rFonts w:hint="eastAsia"/>
          <w:lang w:val="en-US" w:eastAsia="zh-CN"/>
        </w:rPr>
        <w:drawing>
          <wp:inline distT="0" distB="0" distL="114300" distR="114300">
            <wp:extent cx="4918075" cy="2895600"/>
            <wp:effectExtent l="4445" t="4445" r="15240" b="1079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jc w:val="center"/>
        <w:rPr>
          <w:rFonts w:hint="eastAsia" w:ascii="黑体" w:eastAsia="黑体"/>
          <w:b/>
          <w:sz w:val="28"/>
          <w:szCs w:val="28"/>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color w:val="0000FF"/>
          <w:sz w:val="28"/>
          <w:szCs w:val="28"/>
        </w:rPr>
      </w:pPr>
      <w:r>
        <w:rPr>
          <w:rFonts w:hint="eastAsia" w:ascii="黑体" w:eastAsia="黑体"/>
          <w:sz w:val="28"/>
          <w:szCs w:val="28"/>
        </w:rPr>
        <w:t>四</w:t>
      </w:r>
      <w:r>
        <w:rPr>
          <w:rFonts w:ascii="黑体" w:eastAsia="黑体"/>
          <w:color w:val="auto"/>
          <w:sz w:val="28"/>
          <w:szCs w:val="28"/>
        </w:rPr>
        <w:t>、财政拨款</w:t>
      </w:r>
      <w:r>
        <w:rPr>
          <w:rFonts w:hint="eastAsia" w:ascii="黑体" w:eastAsia="黑体"/>
          <w:color w:val="auto"/>
          <w:sz w:val="28"/>
          <w:szCs w:val="28"/>
        </w:rPr>
        <w:t>收入支出决算</w:t>
      </w:r>
      <w:r>
        <w:rPr>
          <w:rFonts w:ascii="黑体" w:eastAsia="黑体"/>
          <w:color w:val="auto"/>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w:t>
      </w:r>
      <w:r>
        <w:rPr>
          <w:rFonts w:hint="eastAsia" w:ascii="仿宋_GB2312" w:eastAsia="仿宋_GB2312"/>
          <w:sz w:val="28"/>
          <w:szCs w:val="28"/>
          <w:lang w:val="en-US" w:eastAsia="zh-CN"/>
        </w:rPr>
        <w:t>5207.35</w:t>
      </w:r>
      <w:r>
        <w:rPr>
          <w:rFonts w:hint="eastAsia" w:ascii="仿宋_GB2312" w:eastAsia="仿宋_GB2312"/>
          <w:sz w:val="28"/>
          <w:szCs w:val="28"/>
        </w:rPr>
        <w:t>元，比上年</w:t>
      </w:r>
      <w:r>
        <w:rPr>
          <w:rFonts w:ascii="仿宋_GB2312" w:eastAsia="仿宋_GB2312"/>
          <w:sz w:val="28"/>
          <w:szCs w:val="28"/>
        </w:rPr>
        <w:t>增加</w:t>
      </w:r>
      <w:r>
        <w:rPr>
          <w:rFonts w:hint="eastAsia" w:ascii="仿宋_GB2312" w:eastAsia="仿宋_GB2312"/>
          <w:sz w:val="28"/>
          <w:szCs w:val="28"/>
          <w:lang w:val="en-US" w:eastAsia="zh-CN"/>
        </w:rPr>
        <w:t>53.06</w:t>
      </w:r>
      <w:r>
        <w:rPr>
          <w:rFonts w:hint="eastAsia" w:ascii="仿宋_GB2312" w:eastAsia="仿宋_GB2312"/>
          <w:sz w:val="28"/>
          <w:szCs w:val="28"/>
        </w:rPr>
        <w:t>万元，增长</w:t>
      </w:r>
      <w:r>
        <w:rPr>
          <w:rFonts w:hint="eastAsia" w:ascii="仿宋_GB2312" w:eastAsia="仿宋_GB2312"/>
          <w:sz w:val="28"/>
          <w:szCs w:val="28"/>
          <w:lang w:val="en-US" w:eastAsia="zh-CN"/>
        </w:rPr>
        <w:t>1..03</w:t>
      </w:r>
      <w:r>
        <w:rPr>
          <w:rFonts w:hint="eastAsia" w:ascii="仿宋_GB2312" w:eastAsia="仿宋_GB2312"/>
          <w:sz w:val="28"/>
          <w:szCs w:val="28"/>
        </w:rPr>
        <w:t>%。主要原因：</w:t>
      </w:r>
      <w:r>
        <w:rPr>
          <w:rFonts w:hint="eastAsia" w:ascii="仿宋_GB2312" w:hAnsi="Times New Roman" w:eastAsia="仿宋_GB2312" w:cs="Times New Roman"/>
          <w:sz w:val="28"/>
          <w:szCs w:val="28"/>
          <w:lang w:val="en-US" w:eastAsia="zh-CN"/>
        </w:rPr>
        <w:t>人员保险及公积金支出增多</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w:t>
      </w:r>
      <w:bookmarkStart w:id="7" w:name="OLE_LINK5"/>
      <w:r>
        <w:rPr>
          <w:rFonts w:hint="eastAsia" w:ascii="仿宋_GB2312" w:eastAsia="仿宋_GB2312"/>
          <w:sz w:val="28"/>
          <w:szCs w:val="28"/>
          <w:lang w:val="en-US" w:eastAsia="zh-CN"/>
        </w:rPr>
        <w:t>5547.82</w:t>
      </w:r>
      <w:bookmarkEnd w:id="7"/>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393.53</w:t>
      </w:r>
      <w:r>
        <w:rPr>
          <w:rFonts w:hint="eastAsia" w:ascii="仿宋_GB2312" w:eastAsia="仿宋_GB2312"/>
          <w:sz w:val="28"/>
          <w:szCs w:val="28"/>
        </w:rPr>
        <w:t>万元，增长</w:t>
      </w:r>
      <w:r>
        <w:rPr>
          <w:rFonts w:hint="eastAsia" w:ascii="仿宋_GB2312" w:eastAsia="仿宋_GB2312"/>
          <w:sz w:val="28"/>
          <w:szCs w:val="28"/>
          <w:lang w:val="en-US" w:eastAsia="zh-CN"/>
        </w:rPr>
        <w:t>7.63</w:t>
      </w:r>
      <w:r>
        <w:rPr>
          <w:rFonts w:hint="eastAsia" w:ascii="仿宋_GB2312" w:eastAsia="仿宋_GB2312"/>
          <w:sz w:val="28"/>
          <w:szCs w:val="28"/>
        </w:rPr>
        <w:t>%。主要原因：</w:t>
      </w:r>
      <w:r>
        <w:rPr>
          <w:rFonts w:hint="eastAsia" w:ascii="仿宋_GB2312" w:hAnsi="Times New Roman" w:eastAsia="仿宋_GB2312" w:cs="Times New Roman"/>
          <w:sz w:val="28"/>
          <w:szCs w:val="28"/>
          <w:lang w:val="en-US" w:eastAsia="zh-CN"/>
        </w:rPr>
        <w:t>发放在职及退休人员住房补贴</w:t>
      </w:r>
      <w:r>
        <w:rPr>
          <w:rFonts w:hint="eastAsia" w:ascii="仿宋_GB2312" w:eastAsia="仿宋_GB2312"/>
          <w:sz w:val="28"/>
          <w:szCs w:val="28"/>
        </w:rPr>
        <w:t xml:space="preserve">。 </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5547.82</w:t>
      </w:r>
      <w:r>
        <w:rPr>
          <w:rFonts w:hint="eastAsia" w:ascii="仿宋_GB2312" w:eastAsia="仿宋_GB2312"/>
          <w:sz w:val="28"/>
          <w:szCs w:val="28"/>
        </w:rPr>
        <w:t>万元，主要用于以下方面（按大类）：</w:t>
      </w:r>
      <w:bookmarkStart w:id="8" w:name="OLE_LINK10"/>
      <w:r>
        <w:rPr>
          <w:rFonts w:hint="eastAsia" w:ascii="仿宋_GB2312" w:eastAsia="仿宋_GB2312"/>
          <w:sz w:val="28"/>
          <w:szCs w:val="28"/>
          <w:lang w:val="en-US" w:eastAsia="zh-CN"/>
        </w:rPr>
        <w:t>社会保障和就业支出</w:t>
      </w:r>
      <w:bookmarkEnd w:id="8"/>
      <w:r>
        <w:rPr>
          <w:rFonts w:hint="eastAsia" w:ascii="仿宋_GB2312" w:eastAsia="仿宋_GB2312"/>
          <w:sz w:val="28"/>
          <w:szCs w:val="28"/>
          <w:lang w:val="en-US" w:eastAsia="zh-CN"/>
        </w:rPr>
        <w:t>516.99</w:t>
      </w:r>
      <w:r>
        <w:rPr>
          <w:rFonts w:hint="eastAsia" w:ascii="仿宋_GB2312" w:eastAsia="仿宋_GB2312"/>
          <w:sz w:val="28"/>
          <w:szCs w:val="28"/>
        </w:rPr>
        <w:t>万元，</w:t>
      </w:r>
      <w:bookmarkStart w:id="9" w:name="OLE_LINK8"/>
      <w:r>
        <w:rPr>
          <w:rFonts w:hint="eastAsia" w:ascii="仿宋_GB2312" w:eastAsia="仿宋_GB2312"/>
          <w:sz w:val="28"/>
          <w:szCs w:val="28"/>
        </w:rPr>
        <w:t>占本年财政拨款支出</w:t>
      </w:r>
      <w:r>
        <w:rPr>
          <w:rFonts w:hint="eastAsia" w:ascii="仿宋_GB2312" w:eastAsia="仿宋_GB2312"/>
          <w:sz w:val="28"/>
          <w:szCs w:val="28"/>
          <w:lang w:val="en-US" w:eastAsia="zh-CN"/>
        </w:rPr>
        <w:t>9.32</w:t>
      </w:r>
      <w:r>
        <w:rPr>
          <w:rFonts w:hint="eastAsia" w:ascii="仿宋_GB2312" w:eastAsia="仿宋_GB2312"/>
          <w:sz w:val="28"/>
          <w:szCs w:val="28"/>
        </w:rPr>
        <w:t>%</w:t>
      </w:r>
      <w:bookmarkEnd w:id="9"/>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 xml:space="preserve"> </w:t>
      </w:r>
      <w:r>
        <w:rPr>
          <w:rFonts w:hint="eastAsia" w:ascii="仿宋_GB2312" w:eastAsia="仿宋_GB2312"/>
          <w:sz w:val="28"/>
          <w:szCs w:val="28"/>
          <w:lang w:val="en-US" w:eastAsia="zh-CN"/>
        </w:rPr>
        <w:t>4690.36万元，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84.54</w:t>
      </w:r>
      <w:r>
        <w:rPr>
          <w:rFonts w:hint="eastAsia" w:ascii="仿宋_GB2312" w:eastAsia="仿宋_GB2312"/>
          <w:sz w:val="28"/>
          <w:szCs w:val="28"/>
        </w:rPr>
        <w:t>%</w:t>
      </w:r>
      <w:r>
        <w:rPr>
          <w:rFonts w:hint="eastAsia" w:ascii="仿宋_GB2312" w:eastAsia="仿宋_GB2312"/>
          <w:sz w:val="28"/>
          <w:szCs w:val="28"/>
          <w:lang w:val="en-US" w:eastAsia="zh-CN"/>
        </w:rPr>
        <w:t>;住房保障支出340.47万元，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6.14%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”（类）2024年度决算</w:t>
      </w:r>
      <w:r>
        <w:rPr>
          <w:rFonts w:hint="eastAsia" w:ascii="仿宋_GB2312" w:eastAsia="仿宋_GB2312"/>
          <w:sz w:val="28"/>
          <w:szCs w:val="28"/>
          <w:lang w:val="en-US" w:eastAsia="zh-CN"/>
        </w:rPr>
        <w:t>516.99</w:t>
      </w:r>
      <w:r>
        <w:rPr>
          <w:rFonts w:hint="eastAsia" w:ascii="仿宋_GB2312" w:eastAsia="仿宋_GB2312"/>
          <w:sz w:val="28"/>
          <w:szCs w:val="28"/>
        </w:rPr>
        <w:t>万元，比2024年度年初预算</w:t>
      </w:r>
      <w:bookmarkStart w:id="10" w:name="OLE_LINK11"/>
      <w:r>
        <w:rPr>
          <w:rFonts w:hint="eastAsia" w:ascii="仿宋_GB2312" w:eastAsia="仿宋_GB2312"/>
          <w:sz w:val="28"/>
          <w:szCs w:val="28"/>
          <w:lang w:val="en-US" w:eastAsia="zh-CN"/>
        </w:rPr>
        <w:t>减少11.27</w:t>
      </w:r>
      <w:r>
        <w:rPr>
          <w:rFonts w:hint="eastAsia" w:ascii="仿宋_GB2312" w:eastAsia="仿宋_GB2312"/>
          <w:sz w:val="28"/>
          <w:szCs w:val="28"/>
        </w:rPr>
        <w:t>万元，</w:t>
      </w:r>
      <w:r>
        <w:rPr>
          <w:rFonts w:hint="eastAsia" w:ascii="仿宋_GB2312" w:eastAsia="仿宋_GB2312"/>
          <w:sz w:val="28"/>
          <w:szCs w:val="28"/>
          <w:lang w:val="en-US" w:eastAsia="zh-CN"/>
        </w:rPr>
        <w:t>下降2.13</w:t>
      </w:r>
      <w:r>
        <w:rPr>
          <w:rFonts w:hint="eastAsia" w:ascii="仿宋_GB2312" w:eastAsia="仿宋_GB2312"/>
          <w:sz w:val="28"/>
          <w:szCs w:val="28"/>
        </w:rPr>
        <w:t>%</w:t>
      </w:r>
      <w:bookmarkEnd w:id="10"/>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“行政事业单位养老支出”（款）2024年度决算</w:t>
      </w:r>
      <w:r>
        <w:rPr>
          <w:rFonts w:hint="eastAsia" w:ascii="仿宋_GB2312" w:eastAsia="仿宋_GB2312"/>
          <w:sz w:val="28"/>
          <w:szCs w:val="28"/>
          <w:lang w:val="en-US" w:eastAsia="zh-CN"/>
        </w:rPr>
        <w:t>516.99</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减少11.27</w:t>
      </w:r>
      <w:r>
        <w:rPr>
          <w:rFonts w:hint="eastAsia" w:ascii="仿宋_GB2312" w:eastAsia="仿宋_GB2312"/>
          <w:sz w:val="28"/>
          <w:szCs w:val="28"/>
        </w:rPr>
        <w:t>万元，</w:t>
      </w:r>
      <w:r>
        <w:rPr>
          <w:rFonts w:hint="eastAsia" w:ascii="仿宋_GB2312" w:eastAsia="仿宋_GB2312"/>
          <w:sz w:val="28"/>
          <w:szCs w:val="28"/>
          <w:lang w:val="en-US" w:eastAsia="zh-CN"/>
        </w:rPr>
        <w:t>下降2.13</w:t>
      </w:r>
      <w:r>
        <w:rPr>
          <w:rFonts w:hint="eastAsia" w:ascii="仿宋_GB2312" w:eastAsia="仿宋_GB2312"/>
          <w:sz w:val="28"/>
          <w:szCs w:val="28"/>
        </w:rPr>
        <w:t>%。主要原因：</w:t>
      </w:r>
      <w:r>
        <w:rPr>
          <w:rFonts w:hint="eastAsia" w:ascii="仿宋_GB2312" w:eastAsia="仿宋_GB2312"/>
          <w:sz w:val="28"/>
          <w:szCs w:val="28"/>
          <w:lang w:val="en-US" w:eastAsia="zh-CN"/>
        </w:rPr>
        <w:t>在职人员保险基数下调，养老和年金保险支出减少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bookmarkStart w:id="11" w:name="OLE_LINK15"/>
      <w:r>
        <w:rPr>
          <w:rFonts w:hint="eastAsia" w:ascii="仿宋_GB2312" w:eastAsia="仿宋_GB2312"/>
          <w:sz w:val="28"/>
          <w:szCs w:val="28"/>
        </w:rPr>
        <w:t>2.“卫生健康支出”(类) 2024年度决算</w:t>
      </w:r>
      <w:r>
        <w:rPr>
          <w:rFonts w:hint="eastAsia" w:ascii="仿宋_GB2312" w:eastAsia="仿宋_GB2312"/>
          <w:sz w:val="28"/>
          <w:szCs w:val="28"/>
          <w:lang w:val="en-US" w:eastAsia="zh-CN"/>
        </w:rPr>
        <w:t>4690.36</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894.61</w:t>
      </w:r>
      <w:r>
        <w:rPr>
          <w:rFonts w:hint="eastAsia" w:ascii="仿宋_GB2312" w:eastAsia="仿宋_GB2312"/>
          <w:sz w:val="28"/>
          <w:szCs w:val="28"/>
        </w:rPr>
        <w:t>万元，增长</w:t>
      </w:r>
      <w:r>
        <w:rPr>
          <w:rFonts w:hint="eastAsia" w:ascii="仿宋_GB2312" w:eastAsia="仿宋_GB2312"/>
          <w:sz w:val="28"/>
          <w:szCs w:val="28"/>
          <w:lang w:val="en-US" w:eastAsia="zh-CN"/>
        </w:rPr>
        <w:t>23.57</w:t>
      </w:r>
      <w:r>
        <w:rPr>
          <w:rFonts w:hint="eastAsia" w:ascii="仿宋_GB2312" w:eastAsia="仿宋_GB2312"/>
          <w:sz w:val="28"/>
          <w:szCs w:val="28"/>
        </w:rPr>
        <w:t>%。其中：</w:t>
      </w:r>
      <w:bookmarkEnd w:id="11"/>
    </w:p>
    <w:p>
      <w:pPr>
        <w:spacing w:line="580" w:lineRule="exact"/>
        <w:ind w:firstLine="560" w:firstLineChars="200"/>
        <w:rPr>
          <w:rFonts w:hint="eastAsia" w:ascii="仿宋_GB2312" w:eastAsia="仿宋_GB2312"/>
          <w:sz w:val="28"/>
          <w:szCs w:val="28"/>
        </w:rPr>
      </w:pPr>
      <w:bookmarkStart w:id="12" w:name="OLE_LINK12"/>
      <w:r>
        <w:rPr>
          <w:rFonts w:hint="eastAsia" w:ascii="仿宋_GB2312" w:eastAsia="仿宋_GB2312"/>
          <w:sz w:val="28"/>
          <w:szCs w:val="28"/>
        </w:rPr>
        <w:t>“基层医疗卫生机构”（款）2024年度决算</w:t>
      </w:r>
      <w:r>
        <w:rPr>
          <w:rFonts w:hint="eastAsia" w:ascii="仿宋_GB2312" w:eastAsia="仿宋_GB2312"/>
          <w:sz w:val="28"/>
          <w:szCs w:val="28"/>
          <w:lang w:val="en-US" w:eastAsia="zh-CN"/>
        </w:rPr>
        <w:t>2813.65</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492.15</w:t>
      </w:r>
      <w:r>
        <w:rPr>
          <w:rFonts w:hint="eastAsia" w:ascii="仿宋_GB2312" w:eastAsia="仿宋_GB2312"/>
          <w:sz w:val="28"/>
          <w:szCs w:val="28"/>
        </w:rPr>
        <w:t>万元，增长</w:t>
      </w:r>
      <w:r>
        <w:rPr>
          <w:rFonts w:hint="eastAsia" w:ascii="仿宋_GB2312" w:eastAsia="仿宋_GB2312"/>
          <w:sz w:val="28"/>
          <w:szCs w:val="28"/>
          <w:lang w:val="en-US" w:eastAsia="zh-CN"/>
        </w:rPr>
        <w:t>21.20</w:t>
      </w:r>
      <w:r>
        <w:rPr>
          <w:rFonts w:hint="eastAsia" w:ascii="仿宋_GB2312" w:eastAsia="仿宋_GB2312"/>
          <w:sz w:val="28"/>
          <w:szCs w:val="28"/>
        </w:rPr>
        <w:t>%。主要原因：</w:t>
      </w:r>
      <w:r>
        <w:rPr>
          <w:rFonts w:hint="eastAsia" w:ascii="仿宋_GB2312" w:eastAsia="仿宋_GB2312"/>
          <w:sz w:val="28"/>
          <w:szCs w:val="28"/>
          <w:lang w:val="en-US" w:eastAsia="zh-CN"/>
        </w:rPr>
        <w:t>拨付基层能力提升专项资金</w:t>
      </w:r>
      <w:r>
        <w:rPr>
          <w:rFonts w:hint="eastAsia" w:ascii="仿宋_GB2312" w:eastAsia="仿宋_GB2312"/>
          <w:sz w:val="28"/>
          <w:szCs w:val="28"/>
        </w:rPr>
        <w:t>。</w:t>
      </w:r>
    </w:p>
    <w:bookmarkEnd w:id="12"/>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“公共卫生”（款）2024年度决算</w:t>
      </w:r>
      <w:r>
        <w:rPr>
          <w:rFonts w:hint="eastAsia" w:ascii="仿宋_GB2312" w:eastAsia="仿宋_GB2312"/>
          <w:sz w:val="28"/>
          <w:szCs w:val="28"/>
          <w:lang w:val="en-US" w:eastAsia="zh-CN"/>
        </w:rPr>
        <w:t>1428.71</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310.71</w:t>
      </w:r>
      <w:r>
        <w:rPr>
          <w:rFonts w:hint="eastAsia" w:ascii="仿宋_GB2312" w:eastAsia="仿宋_GB2312"/>
          <w:sz w:val="28"/>
          <w:szCs w:val="28"/>
        </w:rPr>
        <w:t>万元，增长</w:t>
      </w:r>
      <w:r>
        <w:rPr>
          <w:rFonts w:hint="eastAsia" w:ascii="仿宋_GB2312" w:eastAsia="仿宋_GB2312"/>
          <w:sz w:val="28"/>
          <w:szCs w:val="28"/>
          <w:lang w:val="en-US" w:eastAsia="zh-CN"/>
        </w:rPr>
        <w:t>27.79</w:t>
      </w:r>
      <w:r>
        <w:rPr>
          <w:rFonts w:hint="eastAsia" w:ascii="仿宋_GB2312" w:eastAsia="仿宋_GB2312"/>
          <w:sz w:val="28"/>
          <w:szCs w:val="28"/>
        </w:rPr>
        <w:t>%。主要原因：</w:t>
      </w:r>
      <w:r>
        <w:rPr>
          <w:rFonts w:hint="eastAsia" w:ascii="仿宋_GB2312" w:eastAsia="仿宋_GB2312"/>
          <w:sz w:val="28"/>
          <w:szCs w:val="28"/>
          <w:lang w:val="en-US" w:eastAsia="zh-CN"/>
        </w:rPr>
        <w:t>拨付中央和市级基本公共卫生服务、重大公共卫生服务、突发公共卫生事件应急处置专项资金</w:t>
      </w:r>
      <w:r>
        <w:rPr>
          <w:rFonts w:hint="eastAsia" w:ascii="仿宋_GB2312" w:eastAsia="仿宋_GB2312"/>
          <w:sz w:val="28"/>
          <w:szCs w:val="28"/>
        </w:rPr>
        <w:t>。</w:t>
      </w:r>
    </w:p>
    <w:p>
      <w:pPr>
        <w:pStyle w:val="9"/>
        <w:ind w:left="0" w:leftChars="0" w:firstLine="560" w:firstLineChars="200"/>
        <w:rPr>
          <w:rFonts w:hint="eastAsia" w:ascii="仿宋_GB2312" w:eastAsia="仿宋_GB2312"/>
          <w:sz w:val="28"/>
          <w:szCs w:val="28"/>
        </w:rPr>
      </w:pPr>
      <w:r>
        <w:rPr>
          <w:rFonts w:hint="eastAsia" w:ascii="仿宋_GB2312" w:eastAsia="仿宋_GB2312"/>
          <w:sz w:val="28"/>
          <w:szCs w:val="28"/>
        </w:rPr>
        <w:t>“行政事业单位医疗”（款）2024年度决算</w:t>
      </w:r>
      <w:r>
        <w:rPr>
          <w:rFonts w:hint="eastAsia" w:ascii="仿宋_GB2312" w:eastAsia="仿宋_GB2312"/>
          <w:sz w:val="28"/>
          <w:szCs w:val="28"/>
          <w:lang w:val="en-US" w:eastAsia="zh-CN"/>
        </w:rPr>
        <w:t>337.90</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65.15</w:t>
      </w:r>
      <w:r>
        <w:rPr>
          <w:rFonts w:hint="eastAsia" w:ascii="仿宋_GB2312" w:eastAsia="仿宋_GB2312"/>
          <w:sz w:val="28"/>
          <w:szCs w:val="28"/>
        </w:rPr>
        <w:t>万元，增长</w:t>
      </w:r>
      <w:r>
        <w:rPr>
          <w:rFonts w:hint="eastAsia" w:ascii="仿宋_GB2312" w:eastAsia="仿宋_GB2312"/>
          <w:sz w:val="28"/>
          <w:szCs w:val="28"/>
          <w:lang w:val="en-US" w:eastAsia="zh-CN"/>
        </w:rPr>
        <w:t>23.89</w:t>
      </w:r>
      <w:r>
        <w:rPr>
          <w:rFonts w:hint="eastAsia" w:ascii="仿宋_GB2312" w:eastAsia="仿宋_GB2312"/>
          <w:sz w:val="28"/>
          <w:szCs w:val="28"/>
        </w:rPr>
        <w:t>%。主要原因：</w:t>
      </w:r>
      <w:r>
        <w:rPr>
          <w:rFonts w:hint="eastAsia" w:ascii="仿宋_GB2312" w:eastAsia="仿宋_GB2312"/>
          <w:sz w:val="28"/>
          <w:szCs w:val="28"/>
          <w:lang w:val="en-US" w:eastAsia="zh-CN"/>
        </w:rPr>
        <w:t>在职人员基本医疗、公务员补充医疗保险支出增多</w:t>
      </w:r>
      <w:r>
        <w:rPr>
          <w:rFonts w:hint="eastAsia" w:ascii="仿宋_GB2312" w:eastAsia="仿宋_GB2312"/>
          <w:sz w:val="28"/>
          <w:szCs w:val="28"/>
        </w:rPr>
        <w:t>。</w:t>
      </w:r>
    </w:p>
    <w:p>
      <w:pPr>
        <w:ind w:firstLine="560" w:firstLineChars="200"/>
        <w:rPr>
          <w:rFonts w:hint="eastAsia" w:ascii="仿宋_GB2312" w:eastAsia="仿宋_GB2312"/>
          <w:sz w:val="28"/>
          <w:szCs w:val="28"/>
        </w:rPr>
      </w:pPr>
      <w:bookmarkStart w:id="13" w:name="OLE_LINK13"/>
      <w:r>
        <w:rPr>
          <w:rFonts w:hint="eastAsia" w:ascii="仿宋_GB2312" w:eastAsia="仿宋_GB2312"/>
          <w:sz w:val="28"/>
          <w:szCs w:val="28"/>
        </w:rPr>
        <w:t>“中医药事务”（款）2024年度决算</w:t>
      </w:r>
      <w:r>
        <w:rPr>
          <w:rFonts w:hint="eastAsia" w:ascii="仿宋_GB2312" w:eastAsia="仿宋_GB2312"/>
          <w:sz w:val="28"/>
          <w:szCs w:val="28"/>
          <w:lang w:val="en-US" w:eastAsia="zh-CN"/>
        </w:rPr>
        <w:t>6.22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6.22</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拨付名中医工程专项资金</w:t>
      </w:r>
      <w:r>
        <w:rPr>
          <w:rFonts w:hint="eastAsia" w:ascii="仿宋_GB2312" w:eastAsia="仿宋_GB2312"/>
          <w:sz w:val="28"/>
          <w:szCs w:val="28"/>
        </w:rPr>
        <w:t>。</w:t>
      </w:r>
    </w:p>
    <w:bookmarkEnd w:id="13"/>
    <w:p>
      <w:pPr>
        <w:ind w:firstLine="560" w:firstLineChars="200"/>
        <w:rPr>
          <w:rFonts w:hint="eastAsia" w:ascii="仿宋_GB2312" w:eastAsia="仿宋_GB2312"/>
          <w:sz w:val="28"/>
          <w:szCs w:val="28"/>
        </w:rPr>
      </w:pPr>
      <w:bookmarkStart w:id="14" w:name="OLE_LINK14"/>
      <w:r>
        <w:rPr>
          <w:rFonts w:hint="eastAsia" w:ascii="仿宋_GB2312" w:eastAsia="仿宋_GB2312"/>
          <w:sz w:val="28"/>
          <w:szCs w:val="28"/>
        </w:rPr>
        <w:t>“其他卫生健康支出”（款）2024年度决算</w:t>
      </w:r>
      <w:r>
        <w:rPr>
          <w:rFonts w:hint="eastAsia" w:ascii="仿宋_GB2312" w:eastAsia="仿宋_GB2312"/>
          <w:sz w:val="28"/>
          <w:szCs w:val="28"/>
          <w:lang w:val="en-US" w:eastAsia="zh-CN"/>
        </w:rPr>
        <w:t>103.88</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103.88</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拨付乡医岗位补助、从业人员免费健康体检专项资金</w:t>
      </w:r>
      <w:r>
        <w:rPr>
          <w:rFonts w:hint="eastAsia" w:ascii="仿宋_GB2312" w:eastAsia="仿宋_GB2312"/>
          <w:sz w:val="28"/>
          <w:szCs w:val="28"/>
        </w:rPr>
        <w:t>。</w:t>
      </w:r>
    </w:p>
    <w:p>
      <w:pPr>
        <w:pStyle w:val="9"/>
        <w:ind w:left="0" w:leftChars="0" w:firstLine="560" w:firstLineChars="200"/>
        <w:rPr>
          <w:rFonts w:hint="eastAsia"/>
        </w:rPr>
      </w:pPr>
      <w:r>
        <w:rPr>
          <w:rFonts w:hint="eastAsia" w:ascii="仿宋_GB2312" w:eastAsia="仿宋_GB2312"/>
          <w:sz w:val="28"/>
          <w:szCs w:val="28"/>
          <w:lang w:val="en-US" w:eastAsia="zh-CN"/>
        </w:rPr>
        <w:t>3</w:t>
      </w:r>
      <w:r>
        <w:rPr>
          <w:rFonts w:hint="eastAsia" w:ascii="仿宋_GB2312" w:eastAsia="仿宋_GB2312"/>
          <w:sz w:val="28"/>
          <w:szCs w:val="28"/>
        </w:rPr>
        <w:t>.“住房保障支出”(类) 2024年度决算</w:t>
      </w:r>
      <w:r>
        <w:rPr>
          <w:rFonts w:hint="eastAsia" w:ascii="仿宋_GB2312" w:eastAsia="仿宋_GB2312"/>
          <w:sz w:val="28"/>
          <w:szCs w:val="28"/>
          <w:lang w:val="en-US" w:eastAsia="zh-CN"/>
        </w:rPr>
        <w:t>340.47</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340.47</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%。其中：</w:t>
      </w:r>
    </w:p>
    <w:bookmarkEnd w:id="14"/>
    <w:p>
      <w:pPr>
        <w:ind w:firstLine="560" w:firstLineChars="200"/>
      </w:pPr>
      <w:r>
        <w:rPr>
          <w:rFonts w:hint="eastAsia" w:ascii="仿宋_GB2312" w:eastAsia="仿宋_GB2312"/>
          <w:sz w:val="28"/>
          <w:szCs w:val="28"/>
        </w:rPr>
        <w:t>“住房改革支出”（款）2024年度决算</w:t>
      </w:r>
      <w:r>
        <w:rPr>
          <w:rFonts w:hint="eastAsia" w:ascii="仿宋_GB2312" w:eastAsia="仿宋_GB2312"/>
          <w:sz w:val="28"/>
          <w:szCs w:val="28"/>
          <w:lang w:val="en-US" w:eastAsia="zh-CN"/>
        </w:rPr>
        <w:t>340.47</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340.47</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发放在职及退休人员住房补贴专项资金</w:t>
      </w:r>
      <w:r>
        <w:rPr>
          <w:rFonts w:hint="eastAsia" w:ascii="仿宋_GB2312" w:eastAsia="仿宋_GB2312"/>
          <w:sz w:val="28"/>
          <w:szCs w:val="28"/>
        </w:rPr>
        <w:t>。</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pPr>
        <w:ind w:firstLine="537" w:firstLineChars="192"/>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ind w:firstLine="537" w:firstLineChars="192"/>
        <w:rPr>
          <w:rFonts w:hint="eastAsia" w:ascii="仿宋_GB2312" w:eastAsia="仿宋_GB2312"/>
          <w:sz w:val="28"/>
          <w:szCs w:val="28"/>
        </w:rPr>
      </w:pPr>
      <w:r>
        <w:rPr>
          <w:rFonts w:hint="eastAsia" w:ascii="黑体" w:eastAsia="黑体"/>
          <w:color w:val="auto"/>
          <w:sz w:val="28"/>
          <w:szCs w:val="28"/>
        </w:rPr>
        <w:t>八、财政拨款基本支出决算情况说明</w:t>
      </w:r>
    </w:p>
    <w:p>
      <w:pPr>
        <w:ind w:firstLine="537" w:firstLineChars="192"/>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3081.11</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0.00</w:t>
      </w:r>
      <w:r>
        <w:rPr>
          <w:rFonts w:hint="eastAsia" w:ascii="仿宋_GB2312" w:eastAsia="仿宋_GB2312"/>
          <w:sz w:val="28"/>
          <w:szCs w:val="28"/>
        </w:rPr>
        <w:t>万元，其中：（1）工资福利支出包括</w:t>
      </w:r>
      <w:r>
        <w:rPr>
          <w:rFonts w:hint="eastAsia" w:ascii="仿宋_GB2312" w:eastAsia="仿宋_GB2312"/>
          <w:sz w:val="28"/>
          <w:szCs w:val="28"/>
          <w:lang w:eastAsia="zh-CN"/>
        </w:rPr>
        <w:t>：</w:t>
      </w:r>
      <w:r>
        <w:rPr>
          <w:rFonts w:hint="eastAsia" w:ascii="仿宋_GB2312" w:eastAsia="仿宋_GB2312"/>
          <w:sz w:val="28"/>
          <w:szCs w:val="28"/>
        </w:rPr>
        <w:t>基本工资</w:t>
      </w:r>
      <w:r>
        <w:rPr>
          <w:rFonts w:hint="eastAsia" w:ascii="仿宋_GB2312" w:eastAsia="仿宋_GB2312"/>
          <w:sz w:val="28"/>
          <w:szCs w:val="28"/>
          <w:lang w:val="en-US" w:eastAsia="zh-CN"/>
        </w:rPr>
        <w:t>130.84万元</w:t>
      </w:r>
      <w:r>
        <w:rPr>
          <w:rFonts w:ascii="仿宋_GB2312" w:eastAsia="仿宋_GB2312"/>
          <w:sz w:val="28"/>
          <w:szCs w:val="28"/>
        </w:rPr>
        <w:t>、津贴补贴</w:t>
      </w:r>
      <w:r>
        <w:rPr>
          <w:rFonts w:hint="eastAsia" w:ascii="仿宋_GB2312" w:eastAsia="仿宋_GB2312"/>
          <w:sz w:val="28"/>
          <w:szCs w:val="28"/>
          <w:lang w:val="en-US" w:eastAsia="zh-CN"/>
        </w:rPr>
        <w:t>470.31万元</w:t>
      </w:r>
      <w:r>
        <w:rPr>
          <w:rFonts w:ascii="仿宋_GB2312" w:eastAsia="仿宋_GB2312"/>
          <w:sz w:val="28"/>
          <w:szCs w:val="28"/>
        </w:rPr>
        <w:t>、绩效工资</w:t>
      </w:r>
      <w:r>
        <w:rPr>
          <w:rFonts w:hint="eastAsia" w:ascii="仿宋_GB2312" w:eastAsia="仿宋_GB2312"/>
          <w:sz w:val="28"/>
          <w:szCs w:val="28"/>
          <w:lang w:val="en-US" w:eastAsia="zh-CN"/>
        </w:rPr>
        <w:t>1234.90万元</w:t>
      </w:r>
      <w:r>
        <w:rPr>
          <w:rFonts w:ascii="仿宋_GB2312" w:eastAsia="仿宋_GB2312"/>
          <w:sz w:val="28"/>
          <w:szCs w:val="28"/>
        </w:rPr>
        <w:t>、</w:t>
      </w:r>
      <w:r>
        <w:rPr>
          <w:rFonts w:hint="eastAsia" w:ascii="仿宋_GB2312" w:eastAsia="仿宋_GB2312"/>
          <w:sz w:val="28"/>
          <w:szCs w:val="28"/>
        </w:rPr>
        <w:t>机关事业单位基本养老保险缴费</w:t>
      </w:r>
      <w:r>
        <w:rPr>
          <w:rFonts w:hint="eastAsia" w:ascii="仿宋_GB2312" w:eastAsia="仿宋_GB2312"/>
          <w:sz w:val="28"/>
          <w:szCs w:val="28"/>
          <w:lang w:val="en-US" w:eastAsia="zh-CN"/>
        </w:rPr>
        <w:t>307.80万元</w:t>
      </w:r>
      <w:r>
        <w:rPr>
          <w:rFonts w:hint="eastAsia" w:ascii="仿宋_GB2312" w:eastAsia="仿宋_GB2312"/>
          <w:sz w:val="28"/>
          <w:szCs w:val="28"/>
          <w:lang w:eastAsia="zh-CN"/>
        </w:rPr>
        <w:t>、职业年金缴费</w:t>
      </w:r>
      <w:r>
        <w:rPr>
          <w:rFonts w:hint="eastAsia" w:ascii="仿宋_GB2312" w:eastAsia="仿宋_GB2312"/>
          <w:sz w:val="28"/>
          <w:szCs w:val="28"/>
          <w:lang w:val="en-US" w:eastAsia="zh-CN"/>
        </w:rPr>
        <w:t>158.20万元</w:t>
      </w:r>
      <w:r>
        <w:rPr>
          <w:rFonts w:hint="eastAsia" w:ascii="仿宋_GB2312" w:eastAsia="仿宋_GB2312"/>
          <w:sz w:val="28"/>
          <w:szCs w:val="28"/>
          <w:lang w:eastAsia="zh-CN"/>
        </w:rPr>
        <w:t>、职工基本医疗保险缴费</w:t>
      </w:r>
      <w:r>
        <w:rPr>
          <w:rFonts w:hint="eastAsia" w:ascii="仿宋_GB2312" w:eastAsia="仿宋_GB2312"/>
          <w:sz w:val="28"/>
          <w:szCs w:val="28"/>
          <w:lang w:val="en-US" w:eastAsia="zh-CN"/>
        </w:rPr>
        <w:t>263.71万元</w:t>
      </w:r>
      <w:r>
        <w:rPr>
          <w:rFonts w:hint="eastAsia" w:ascii="仿宋_GB2312" w:eastAsia="仿宋_GB2312"/>
          <w:sz w:val="28"/>
          <w:szCs w:val="28"/>
          <w:lang w:eastAsia="zh-CN"/>
        </w:rPr>
        <w:t>、公务员医疗补助缴费</w:t>
      </w:r>
      <w:r>
        <w:rPr>
          <w:rFonts w:hint="eastAsia" w:ascii="仿宋_GB2312" w:eastAsia="仿宋_GB2312"/>
          <w:sz w:val="28"/>
          <w:szCs w:val="28"/>
          <w:lang w:val="en-US" w:eastAsia="zh-CN"/>
        </w:rPr>
        <w:t>74.20万元</w:t>
      </w:r>
      <w:r>
        <w:rPr>
          <w:rFonts w:hint="eastAsia" w:ascii="仿宋_GB2312" w:eastAsia="仿宋_GB2312"/>
          <w:sz w:val="28"/>
          <w:szCs w:val="28"/>
          <w:lang w:eastAsia="zh-CN"/>
        </w:rPr>
        <w:t>、</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22.26万元</w:t>
      </w:r>
      <w:r>
        <w:rPr>
          <w:rFonts w:ascii="仿宋_GB2312" w:eastAsia="仿宋_GB2312"/>
          <w:sz w:val="28"/>
          <w:szCs w:val="28"/>
        </w:rPr>
        <w:t>、</w:t>
      </w:r>
      <w:r>
        <w:rPr>
          <w:rFonts w:hint="eastAsia" w:ascii="仿宋_GB2312" w:eastAsia="仿宋_GB2312"/>
          <w:sz w:val="28"/>
          <w:szCs w:val="28"/>
        </w:rPr>
        <w:t>住房公积金</w:t>
      </w:r>
      <w:r>
        <w:rPr>
          <w:rFonts w:hint="eastAsia" w:ascii="仿宋_GB2312" w:eastAsia="仿宋_GB2312"/>
          <w:sz w:val="28"/>
          <w:szCs w:val="28"/>
          <w:lang w:val="en-US" w:eastAsia="zh-CN"/>
        </w:rPr>
        <w:t>290.60万元</w:t>
      </w:r>
      <w:r>
        <w:rPr>
          <w:rFonts w:hint="eastAsia" w:ascii="仿宋_GB2312" w:eastAsia="仿宋_GB2312"/>
          <w:sz w:val="28"/>
          <w:szCs w:val="28"/>
          <w:lang w:eastAsia="zh-CN"/>
        </w:rPr>
        <w:t>、</w:t>
      </w:r>
      <w:r>
        <w:rPr>
          <w:rFonts w:ascii="仿宋_GB2312" w:eastAsia="仿宋_GB2312"/>
          <w:sz w:val="28"/>
          <w:szCs w:val="28"/>
        </w:rPr>
        <w:t>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67.67万元</w:t>
      </w:r>
      <w:r>
        <w:rPr>
          <w:rFonts w:hint="eastAsia" w:ascii="仿宋_GB2312" w:eastAsia="仿宋_GB2312"/>
          <w:sz w:val="28"/>
          <w:szCs w:val="28"/>
        </w:rPr>
        <w:t>；（2）商品和服务支出包括</w:t>
      </w:r>
      <w:r>
        <w:rPr>
          <w:rFonts w:hint="eastAsia" w:ascii="仿宋_GB2312" w:eastAsia="仿宋_GB2312"/>
          <w:sz w:val="28"/>
          <w:szCs w:val="28"/>
          <w:lang w:eastAsia="zh-CN"/>
        </w:rPr>
        <w:t>：</w:t>
      </w:r>
      <w:r>
        <w:rPr>
          <w:rFonts w:ascii="仿宋_GB2312" w:eastAsia="仿宋_GB2312"/>
          <w:sz w:val="28"/>
          <w:szCs w:val="28"/>
        </w:rPr>
        <w:t>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3.72万元</w:t>
      </w:r>
      <w:r>
        <w:rPr>
          <w:rFonts w:hint="eastAsia" w:ascii="仿宋_GB2312" w:eastAsia="仿宋_GB2312"/>
          <w:sz w:val="28"/>
          <w:szCs w:val="28"/>
        </w:rPr>
        <w:t>；（3）对个人和家庭补助支出包括</w:t>
      </w:r>
      <w:r>
        <w:rPr>
          <w:rFonts w:hint="eastAsia" w:ascii="仿宋_GB2312" w:eastAsia="仿宋_GB2312"/>
          <w:sz w:val="28"/>
          <w:szCs w:val="28"/>
          <w:lang w:eastAsia="zh-CN"/>
        </w:rPr>
        <w:t>：</w:t>
      </w:r>
      <w:r>
        <w:rPr>
          <w:rFonts w:ascii="仿宋_GB2312" w:eastAsia="仿宋_GB2312"/>
          <w:sz w:val="28"/>
          <w:szCs w:val="28"/>
        </w:rPr>
        <w:t>退休费</w:t>
      </w:r>
      <w:r>
        <w:rPr>
          <w:rFonts w:hint="eastAsia" w:ascii="仿宋_GB2312" w:eastAsia="仿宋_GB2312"/>
          <w:sz w:val="28"/>
          <w:szCs w:val="28"/>
          <w:lang w:val="en-US" w:eastAsia="zh-CN"/>
        </w:rPr>
        <w:t>56.78万元</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0.13万元</w:t>
      </w:r>
      <w:r>
        <w:rPr>
          <w:rFonts w:hint="eastAsia" w:ascii="仿宋_GB2312" w:eastAsia="仿宋_GB2312"/>
          <w:sz w:val="28"/>
          <w:szCs w:val="28"/>
        </w:rPr>
        <w:t>。</w:t>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ind w:firstLine="537" w:firstLineChars="192"/>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本</w:t>
      </w:r>
      <w:r>
        <w:rPr>
          <w:rFonts w:hint="eastAsia" w:ascii="仿宋_GB2312" w:hAnsi="Times New Roman" w:eastAsia="仿宋_GB2312" w:cs="Times New Roman"/>
          <w:sz w:val="28"/>
          <w:szCs w:val="28"/>
          <w:lang w:val="en-US" w:eastAsia="zh-CN"/>
        </w:rPr>
        <w:t>单位</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年无财政拨款安排的‘三公’经费</w:t>
      </w:r>
      <w:r>
        <w:rPr>
          <w:rFonts w:hint="eastAsia" w:ascii="仿宋_GB2312" w:hAnsi="Times New Roman" w:eastAsia="仿宋_GB2312" w:cs="Times New Roman"/>
          <w:sz w:val="28"/>
          <w:szCs w:val="28"/>
          <w:lang w:val="en-US" w:eastAsia="zh-CN"/>
        </w:rPr>
        <w:t>支出</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比</w:t>
      </w:r>
      <w:r>
        <w:rPr>
          <w:rFonts w:hint="eastAsia" w:ascii="仿宋_GB2312" w:hAnsi="Times New Roman" w:eastAsia="仿宋_GB2312" w:cs="Times New Roman"/>
          <w:sz w:val="28"/>
          <w:szCs w:val="28"/>
          <w:lang w:val="en-US" w:eastAsia="zh-CN"/>
        </w:rPr>
        <w:t>年初</w:t>
      </w:r>
      <w:r>
        <w:rPr>
          <w:rFonts w:hint="eastAsia" w:ascii="仿宋_GB2312" w:hAnsi="Times New Roman" w:eastAsia="仿宋_GB2312" w:cs="Times New Roman"/>
          <w:sz w:val="28"/>
          <w:szCs w:val="28"/>
        </w:rPr>
        <w:t>“三公”经费财政拨款年初预算增加0</w:t>
      </w:r>
      <w:r>
        <w:rPr>
          <w:rFonts w:hint="eastAsia" w:ascii="仿宋_GB2312" w:hAnsi="Times New Roman" w:eastAsia="仿宋_GB2312" w:cs="Times New Roman"/>
          <w:sz w:val="28"/>
          <w:szCs w:val="28"/>
          <w:lang w:val="en-US" w:eastAsia="zh-CN"/>
        </w:rPr>
        <w:t>.00</w:t>
      </w:r>
      <w:r>
        <w:rPr>
          <w:rFonts w:hint="eastAsia" w:ascii="仿宋_GB2312" w:hAnsi="Times New Roman" w:eastAsia="仿宋_GB2312" w:cs="Times New Roman"/>
          <w:sz w:val="28"/>
          <w:szCs w:val="28"/>
        </w:rPr>
        <w:t>元。</w:t>
      </w:r>
    </w:p>
    <w:p>
      <w:pPr>
        <w:spacing w:line="560" w:lineRule="exact"/>
        <w:ind w:firstLine="6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1.因公出国（境）费用0元。</w:t>
      </w:r>
      <w:r>
        <w:rPr>
          <w:rFonts w:hint="eastAsia" w:ascii="仿宋_GB2312" w:eastAsia="仿宋_GB2312" w:cs="Times New Roman"/>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lang w:val="en-US" w:eastAsia="zh-CN"/>
        </w:rPr>
        <w:t>2024年年初预算数一致，主要原因为本年度未发生</w:t>
      </w:r>
      <w:r>
        <w:rPr>
          <w:rFonts w:hint="eastAsia" w:ascii="仿宋_GB2312" w:eastAsia="仿宋_GB2312"/>
          <w:sz w:val="28"/>
          <w:szCs w:val="28"/>
        </w:rPr>
        <w:t>因公出国（境）费用</w:t>
      </w:r>
      <w:r>
        <w:rPr>
          <w:rFonts w:hint="eastAsia" w:ascii="仿宋_GB2312" w:eastAsia="仿宋_GB2312"/>
          <w:sz w:val="28"/>
          <w:szCs w:val="28"/>
          <w:lang w:eastAsia="zh-CN"/>
        </w:rPr>
        <w:t>。</w:t>
      </w:r>
    </w:p>
    <w:p>
      <w:pPr>
        <w:ind w:firstLine="537" w:firstLineChars="192"/>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2.公务接待费0元。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lang w:val="en-US" w:eastAsia="zh-CN"/>
        </w:rPr>
        <w:t>2024年年初预算数一致，主要原因为本年度未发生公务接待费</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rPr>
      </w:pPr>
      <w:r>
        <w:rPr>
          <w:rFonts w:hint="eastAsia" w:ascii="仿宋_GB2312" w:hAnsi="Times New Roman" w:eastAsia="仿宋_GB2312" w:cs="Times New Roman"/>
          <w:sz w:val="28"/>
          <w:szCs w:val="28"/>
        </w:rPr>
        <w:t>3.公务用车购置及运行维护费0元。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lang w:val="en-US" w:eastAsia="zh-CN"/>
        </w:rPr>
        <w:t>2024年年初预算数一致，主要原因为本年度未发生</w:t>
      </w:r>
      <w:r>
        <w:rPr>
          <w:rFonts w:hint="eastAsia" w:ascii="仿宋_GB2312" w:hAnsi="Times New Roman" w:eastAsia="仿宋_GB2312" w:cs="Times New Roman"/>
          <w:sz w:val="28"/>
          <w:szCs w:val="28"/>
        </w:rPr>
        <w:t>公务用车购置及运行维护费</w:t>
      </w:r>
      <w:r>
        <w:rPr>
          <w:rFonts w:hint="eastAsia" w:ascii="仿宋_GB2312" w:eastAsia="仿宋_GB2312"/>
          <w:sz w:val="28"/>
          <w:szCs w:val="28"/>
          <w:lang w:eastAsia="zh-CN"/>
        </w:rPr>
        <w:t>。</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w:t>
      </w:r>
      <w:r>
        <w:rPr>
          <w:rFonts w:hint="eastAsia" w:ascii="仿宋_GB2312" w:hAnsi="Times New Roman" w:eastAsia="仿宋_GB2312" w:cs="Times New Roman"/>
          <w:sz w:val="28"/>
          <w:szCs w:val="28"/>
          <w:highlight w:val="none"/>
          <w:lang w:val="en-US" w:eastAsia="zh-CN"/>
        </w:rPr>
        <w:t>369.22</w:t>
      </w:r>
      <w:r>
        <w:rPr>
          <w:rFonts w:hint="eastAsia" w:ascii="仿宋_GB2312" w:hAnsi="Times New Roman" w:eastAsia="仿宋_GB2312" w:cs="Times New Roman"/>
          <w:sz w:val="28"/>
          <w:szCs w:val="28"/>
          <w:highlight w:val="none"/>
        </w:rPr>
        <w:t>万</w:t>
      </w:r>
      <w:r>
        <w:rPr>
          <w:rFonts w:hint="eastAsia" w:ascii="仿宋_GB2312" w:eastAsia="仿宋_GB2312"/>
          <w:sz w:val="28"/>
          <w:szCs w:val="28"/>
          <w:highlight w:val="none"/>
        </w:rPr>
        <w:t>元，其中：政府采购货物支出</w:t>
      </w:r>
      <w:r>
        <w:rPr>
          <w:rFonts w:hint="eastAsia" w:ascii="仿宋_GB2312" w:eastAsia="仿宋_GB2312"/>
          <w:sz w:val="28"/>
          <w:szCs w:val="28"/>
          <w:highlight w:val="none"/>
          <w:lang w:val="en-US" w:eastAsia="zh-CN"/>
        </w:rPr>
        <w:t>52.74</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255.70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60.78</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357.35</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96.79</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101.24</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27.42</w:t>
      </w:r>
      <w:r>
        <w:rPr>
          <w:rFonts w:hint="eastAsia" w:ascii="仿宋_GB2312" w:eastAsia="仿宋_GB2312"/>
          <w:sz w:val="28"/>
          <w:szCs w:val="28"/>
          <w:highlight w:val="none"/>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1</w:t>
      </w:r>
      <w:r>
        <w:rPr>
          <w:rFonts w:hint="eastAsia" w:ascii="仿宋_GB2312" w:eastAsia="仿宋_GB2312"/>
          <w:sz w:val="28"/>
          <w:szCs w:val="28"/>
        </w:rPr>
        <w:t>台，共计</w:t>
      </w:r>
      <w:r>
        <w:rPr>
          <w:rFonts w:hint="eastAsia" w:ascii="仿宋_GB2312" w:eastAsia="仿宋_GB2312"/>
          <w:sz w:val="28"/>
          <w:szCs w:val="28"/>
          <w:lang w:val="en-US" w:eastAsia="zh-CN"/>
        </w:rPr>
        <w:t>13.8</w:t>
      </w:r>
      <w:r>
        <w:rPr>
          <w:rFonts w:hint="eastAsia" w:ascii="仿宋_GB2312" w:eastAsia="仿宋_GB2312"/>
          <w:sz w:val="28"/>
          <w:szCs w:val="28"/>
        </w:rPr>
        <w:t>万元；新购置单位价值100万元以上的设备</w:t>
      </w:r>
      <w:r>
        <w:rPr>
          <w:rFonts w:hint="eastAsia" w:ascii="仿宋_GB2312" w:eastAsia="仿宋_GB2312"/>
          <w:sz w:val="28"/>
          <w:szCs w:val="28"/>
          <w:lang w:val="en-US" w:eastAsia="zh-CN"/>
        </w:rPr>
        <w:t>1</w:t>
      </w:r>
      <w:r>
        <w:rPr>
          <w:rFonts w:hint="eastAsia" w:ascii="仿宋_GB2312" w:eastAsia="仿宋_GB2312"/>
          <w:sz w:val="28"/>
          <w:szCs w:val="28"/>
        </w:rPr>
        <w:t>台（套），共计</w:t>
      </w:r>
      <w:r>
        <w:rPr>
          <w:rFonts w:hint="eastAsia" w:ascii="仿宋_GB2312" w:eastAsia="仿宋_GB2312"/>
          <w:sz w:val="28"/>
          <w:szCs w:val="28"/>
          <w:lang w:val="en-US" w:eastAsia="zh-CN"/>
        </w:rPr>
        <w:t>194.85</w:t>
      </w:r>
      <w:r>
        <w:rPr>
          <w:rFonts w:hint="eastAsia" w:ascii="仿宋_GB2312" w:eastAsia="仿宋_GB2312"/>
          <w:sz w:val="28"/>
          <w:szCs w:val="28"/>
        </w:rPr>
        <w:t>万元。截至2024年底，本单位固定资产总额</w:t>
      </w:r>
      <w:r>
        <w:rPr>
          <w:rFonts w:hint="eastAsia" w:ascii="仿宋_GB2312" w:eastAsia="仿宋_GB2312"/>
          <w:sz w:val="28"/>
          <w:szCs w:val="28"/>
          <w:lang w:val="en-US" w:eastAsia="zh-CN"/>
        </w:rPr>
        <w:t>6346.26</w:t>
      </w:r>
      <w:r>
        <w:rPr>
          <w:rFonts w:hint="eastAsia" w:ascii="仿宋_GB2312" w:eastAsia="仿宋_GB2312"/>
          <w:sz w:val="28"/>
          <w:szCs w:val="28"/>
        </w:rPr>
        <w:t>万元，其中车辆</w:t>
      </w:r>
      <w:r>
        <w:rPr>
          <w:rFonts w:hint="eastAsia" w:ascii="仿宋_GB2312" w:eastAsia="仿宋_GB2312"/>
          <w:sz w:val="28"/>
          <w:szCs w:val="28"/>
          <w:lang w:val="en-US" w:eastAsia="zh-CN"/>
        </w:rPr>
        <w:t>8</w:t>
      </w:r>
      <w:r>
        <w:rPr>
          <w:rFonts w:hint="eastAsia" w:ascii="仿宋_GB2312" w:eastAsia="仿宋_GB2312"/>
          <w:sz w:val="28"/>
          <w:szCs w:val="28"/>
        </w:rPr>
        <w:t>台，共计</w:t>
      </w:r>
      <w:r>
        <w:rPr>
          <w:rFonts w:hint="eastAsia" w:ascii="仿宋_GB2312" w:eastAsia="仿宋_GB2312"/>
          <w:sz w:val="28"/>
          <w:szCs w:val="28"/>
          <w:lang w:val="en-US" w:eastAsia="zh-CN"/>
        </w:rPr>
        <w:t>192.06</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4</w:t>
      </w:r>
      <w:r>
        <w:rPr>
          <w:rFonts w:hint="eastAsia" w:ascii="仿宋_GB2312" w:eastAsia="仿宋_GB2312"/>
          <w:sz w:val="28"/>
          <w:szCs w:val="28"/>
        </w:rPr>
        <w:t>台（套），共计</w:t>
      </w:r>
      <w:r>
        <w:rPr>
          <w:rFonts w:hint="eastAsia" w:ascii="仿宋_GB2312" w:eastAsia="仿宋_GB2312"/>
          <w:sz w:val="28"/>
          <w:szCs w:val="28"/>
          <w:lang w:val="en-US" w:eastAsia="zh-CN"/>
        </w:rPr>
        <w:t>1242.58</w:t>
      </w:r>
      <w:r>
        <w:rPr>
          <w:rFonts w:hint="eastAsia" w:ascii="仿宋_GB2312" w:eastAsia="仿宋_GB2312"/>
          <w:sz w:val="28"/>
          <w:szCs w:val="28"/>
        </w:rPr>
        <w:t>万元。</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pPr>
        <w:spacing w:line="560" w:lineRule="exact"/>
        <w:ind w:firstLine="560" w:firstLineChars="200"/>
        <w:rPr>
          <w:rFonts w:hint="eastAsia" w:ascii="仿宋_GB2312" w:eastAsia="仿宋_GB2312"/>
          <w:sz w:val="28"/>
          <w:szCs w:val="28"/>
          <w:highlight w:val="none"/>
        </w:rPr>
      </w:pPr>
      <w:r>
        <w:rPr>
          <w:rFonts w:ascii="仿宋_GB2312" w:eastAsia="仿宋_GB2312"/>
          <w:sz w:val="28"/>
          <w:szCs w:val="28"/>
          <w:highlight w:val="none"/>
        </w:rPr>
        <w:t>202</w:t>
      </w:r>
      <w:r>
        <w:rPr>
          <w:rFonts w:hint="eastAsia" w:ascii="仿宋_GB2312" w:eastAsia="仿宋_GB2312"/>
          <w:sz w:val="28"/>
          <w:szCs w:val="28"/>
          <w:highlight w:val="none"/>
          <w:lang w:val="en-US" w:eastAsia="zh-CN"/>
        </w:rPr>
        <w:t>5</w:t>
      </w:r>
      <w:r>
        <w:rPr>
          <w:rFonts w:ascii="仿宋_GB2312" w:eastAsia="仿宋_GB2312"/>
          <w:sz w:val="28"/>
          <w:szCs w:val="28"/>
          <w:highlight w:val="none"/>
        </w:rPr>
        <w:t>年</w:t>
      </w:r>
      <w:r>
        <w:rPr>
          <w:rFonts w:hint="eastAsia" w:ascii="仿宋_GB2312" w:eastAsia="仿宋_GB2312"/>
          <w:sz w:val="28"/>
          <w:szCs w:val="28"/>
          <w:highlight w:val="none"/>
        </w:rPr>
        <w:t>，</w:t>
      </w:r>
      <w:r>
        <w:rPr>
          <w:rFonts w:ascii="仿宋_GB2312" w:eastAsia="仿宋_GB2312"/>
          <w:sz w:val="28"/>
          <w:szCs w:val="28"/>
          <w:highlight w:val="none"/>
        </w:rPr>
        <w:t>本单位对202</w:t>
      </w:r>
      <w:r>
        <w:rPr>
          <w:rFonts w:hint="eastAsia" w:ascii="仿宋_GB2312" w:eastAsia="仿宋_GB2312"/>
          <w:sz w:val="28"/>
          <w:szCs w:val="28"/>
          <w:highlight w:val="none"/>
          <w:lang w:val="en-US" w:eastAsia="zh-CN"/>
        </w:rPr>
        <w:t>4</w:t>
      </w:r>
      <w:r>
        <w:rPr>
          <w:rFonts w:ascii="仿宋_GB2312" w:eastAsia="仿宋_GB2312"/>
          <w:sz w:val="28"/>
          <w:szCs w:val="28"/>
          <w:highlight w:val="none"/>
        </w:rPr>
        <w:t>年度单位项目支出实施了绩效评价，</w:t>
      </w:r>
      <w:r>
        <w:rPr>
          <w:rFonts w:hint="eastAsia" w:ascii="仿宋_GB2312" w:eastAsia="仿宋_GB2312"/>
          <w:sz w:val="28"/>
          <w:szCs w:val="28"/>
          <w:highlight w:val="none"/>
        </w:rPr>
        <w:t>单位自评</w:t>
      </w:r>
      <w:r>
        <w:rPr>
          <w:rFonts w:hint="eastAsia" w:ascii="仿宋_GB2312" w:eastAsia="仿宋_GB2312"/>
          <w:sz w:val="28"/>
          <w:szCs w:val="28"/>
          <w:highlight w:val="none"/>
          <w:lang w:val="en-US" w:eastAsia="zh-CN"/>
        </w:rPr>
        <w:t>31</w:t>
      </w:r>
      <w:r>
        <w:rPr>
          <w:rFonts w:ascii="仿宋_GB2312" w:eastAsia="仿宋_GB2312"/>
          <w:sz w:val="28"/>
          <w:szCs w:val="28"/>
          <w:highlight w:val="none"/>
        </w:rPr>
        <w:t>个，占单位项目总数的</w:t>
      </w:r>
      <w:r>
        <w:rPr>
          <w:rFonts w:hint="eastAsia" w:ascii="仿宋_GB2312" w:eastAsia="仿宋_GB2312"/>
          <w:sz w:val="28"/>
          <w:szCs w:val="28"/>
          <w:highlight w:val="none"/>
          <w:lang w:val="en-US" w:eastAsia="zh-CN"/>
        </w:rPr>
        <w:t>100</w:t>
      </w:r>
      <w:r>
        <w:rPr>
          <w:rFonts w:ascii="仿宋_GB2312" w:eastAsia="仿宋_GB2312"/>
          <w:sz w:val="28"/>
          <w:szCs w:val="28"/>
          <w:highlight w:val="none"/>
        </w:rPr>
        <w:t xml:space="preserve"> %，涉及金额</w:t>
      </w:r>
      <w:r>
        <w:rPr>
          <w:rFonts w:hint="eastAsia" w:ascii="仿宋_GB2312" w:eastAsia="仿宋_GB2312"/>
          <w:sz w:val="28"/>
          <w:szCs w:val="28"/>
          <w:highlight w:val="none"/>
          <w:lang w:val="en-US" w:eastAsia="zh-CN"/>
        </w:rPr>
        <w:t>2565.29</w:t>
      </w:r>
      <w:r>
        <w:rPr>
          <w:rFonts w:ascii="仿宋_GB2312" w:eastAsia="仿宋_GB2312"/>
          <w:sz w:val="28"/>
          <w:szCs w:val="28"/>
          <w:highlight w:val="none"/>
        </w:rPr>
        <w:t>万元。评价得分在90分（含90分）以上的</w:t>
      </w:r>
      <w:r>
        <w:rPr>
          <w:rFonts w:hint="eastAsia" w:ascii="仿宋_GB2312" w:eastAsia="仿宋_GB2312"/>
          <w:sz w:val="28"/>
          <w:szCs w:val="28"/>
          <w:highlight w:val="none"/>
          <w:lang w:val="en-US" w:eastAsia="zh-CN"/>
        </w:rPr>
        <w:t>30</w:t>
      </w:r>
      <w:r>
        <w:rPr>
          <w:rFonts w:ascii="仿宋_GB2312" w:eastAsia="仿宋_GB2312"/>
          <w:sz w:val="28"/>
          <w:szCs w:val="28"/>
          <w:highlight w:val="none"/>
        </w:rPr>
        <w:t>个、评价得分在80-90分（含80分）的</w:t>
      </w:r>
      <w:r>
        <w:rPr>
          <w:rFonts w:hint="eastAsia" w:ascii="仿宋_GB2312" w:eastAsia="仿宋_GB2312"/>
          <w:sz w:val="28"/>
          <w:szCs w:val="28"/>
          <w:highlight w:val="none"/>
          <w:lang w:val="en-US" w:eastAsia="zh-CN"/>
        </w:rPr>
        <w:t>1</w:t>
      </w:r>
      <w:r>
        <w:rPr>
          <w:rFonts w:ascii="仿宋_GB2312" w:eastAsia="仿宋_GB2312"/>
          <w:sz w:val="28"/>
          <w:szCs w:val="28"/>
          <w:highlight w:val="none"/>
        </w:rPr>
        <w:t>个、评价得分在60-80分（含60分）的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个、评价得分在60分以下的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w:t>
      </w:r>
      <w:r>
        <w:rPr>
          <w:rFonts w:hint="eastAsia" w:ascii="仿宋_GB2312" w:eastAsia="仿宋_GB2312"/>
          <w:sz w:val="28"/>
          <w:szCs w:val="28"/>
          <w:lang w:val="en-US" w:eastAsia="zh-CN"/>
        </w:rPr>
        <w:t>单位</w:t>
      </w:r>
      <w:r>
        <w:rPr>
          <w:rFonts w:hint="eastAsia" w:ascii="仿宋_GB2312" w:eastAsia="仿宋_GB2312"/>
          <w:sz w:val="28"/>
          <w:szCs w:val="28"/>
        </w:rPr>
        <w:t>没有重点行政事业性收费</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0</w:t>
      </w:r>
      <w:r>
        <w:rPr>
          <w:rFonts w:hint="eastAsia" w:ascii="仿宋_GB2312" w:eastAsia="仿宋_GB2312"/>
          <w:sz w:val="28"/>
          <w:szCs w:val="28"/>
        </w:rPr>
        <w:t>项，金额</w:t>
      </w:r>
      <w:r>
        <w:rPr>
          <w:rFonts w:hint="eastAsia" w:ascii="仿宋_GB2312" w:eastAsia="仿宋_GB2312"/>
          <w:sz w:val="28"/>
          <w:szCs w:val="28"/>
          <w:lang w:val="en-US" w:eastAsia="zh-CN"/>
        </w:rPr>
        <w:t>0.00</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7.各单位需根据自身业务职能，补充当年使用的所有支出功能分类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事业单位开支的离退休经费。</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社会保障和就业支出（类）行政事业单位养老支出（款）机关事业单位基本养老保险缴费支出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事业单位实施养老保险制度由单位缴纳的基本养老保险费支出。</w:t>
      </w:r>
    </w:p>
    <w:p>
      <w:pPr>
        <w:spacing w:line="580" w:lineRule="exact"/>
        <w:ind w:firstLine="420" w:firstLineChars="150"/>
        <w:rPr>
          <w:rFonts w:hint="eastAsia"/>
        </w:rPr>
      </w:pPr>
      <w:r>
        <w:rPr>
          <w:rFonts w:hint="eastAsia" w:ascii="仿宋_GB2312" w:eastAsia="仿宋_GB2312"/>
          <w:sz w:val="28"/>
          <w:szCs w:val="28"/>
        </w:rPr>
        <w:t>社会保障和就业支出（类）行政事业单位养老支出（款）机关事业单位职业年金缴费支出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事业单位实施养老保险制度由单位实际缴纳的职业年金支出。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卫生健康支出（类）基层医疗卫生机构（款）</w:t>
      </w:r>
      <w:r>
        <w:rPr>
          <w:rFonts w:hint="eastAsia" w:ascii="仿宋_GB2312" w:eastAsia="仿宋_GB2312"/>
          <w:sz w:val="28"/>
          <w:szCs w:val="28"/>
          <w:lang w:val="en-US" w:eastAsia="zh-CN"/>
        </w:rPr>
        <w:t>其他基层医疗卫生机构支出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其他基层医疗卫生机构支出的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w:t>
      </w:r>
      <w:r>
        <w:rPr>
          <w:rFonts w:hint="eastAsia" w:ascii="仿宋_GB2312" w:eastAsia="仿宋_GB2312"/>
          <w:sz w:val="28"/>
          <w:szCs w:val="28"/>
          <w:lang w:eastAsia="zh-CN"/>
        </w:rPr>
        <w:t>基层医疗卫生机构</w:t>
      </w:r>
      <w:r>
        <w:rPr>
          <w:rFonts w:hint="eastAsia" w:ascii="仿宋_GB2312" w:eastAsia="仿宋_GB2312"/>
          <w:sz w:val="28"/>
          <w:szCs w:val="28"/>
        </w:rPr>
        <w:t>（款）</w:t>
      </w:r>
      <w:r>
        <w:rPr>
          <w:rFonts w:hint="eastAsia" w:ascii="仿宋_GB2312" w:eastAsia="仿宋_GB2312"/>
          <w:sz w:val="28"/>
          <w:szCs w:val="28"/>
          <w:lang w:eastAsia="zh-CN"/>
        </w:rPr>
        <w:t>乡镇卫生院（项）</w:t>
      </w:r>
      <w:r>
        <w:rPr>
          <w:rFonts w:hint="eastAsia" w:ascii="仿宋_GB2312" w:eastAsia="仿宋_GB2312"/>
          <w:sz w:val="28"/>
          <w:szCs w:val="28"/>
        </w:rPr>
        <w:t>：</w:t>
      </w:r>
      <w:r>
        <w:rPr>
          <w:rFonts w:hint="eastAsia" w:ascii="仿宋_GB2312" w:eastAsia="仿宋_GB2312"/>
          <w:sz w:val="28"/>
          <w:szCs w:val="28"/>
          <w:lang w:eastAsia="zh-CN"/>
        </w:rPr>
        <w:t>反映用于乡镇卫生院的支出。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卫生健康支出（类）公共卫生（款）突发公共卫生事件应急处置</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w:t>
      </w:r>
      <w:r>
        <w:rPr>
          <w:rFonts w:hint="eastAsia" w:ascii="仿宋_GB2312" w:eastAsia="仿宋_GB2312"/>
          <w:sz w:val="28"/>
          <w:szCs w:val="28"/>
        </w:rPr>
        <w:t>突发公共卫生事件应急处置</w:t>
      </w:r>
      <w:r>
        <w:rPr>
          <w:rFonts w:hint="eastAsia" w:ascii="仿宋_GB2312" w:eastAsia="仿宋_GB2312"/>
          <w:sz w:val="28"/>
          <w:szCs w:val="28"/>
          <w:lang w:eastAsia="zh-CN"/>
        </w:rPr>
        <w:t>方面的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w:t>
      </w:r>
      <w:r>
        <w:rPr>
          <w:rFonts w:hint="eastAsia" w:ascii="仿宋_GB2312" w:eastAsia="仿宋_GB2312"/>
          <w:sz w:val="28"/>
          <w:szCs w:val="28"/>
          <w:lang w:eastAsia="zh-CN"/>
        </w:rPr>
        <w:t>公共卫生</w:t>
      </w:r>
      <w:r>
        <w:rPr>
          <w:rFonts w:hint="eastAsia" w:ascii="仿宋_GB2312" w:eastAsia="仿宋_GB2312"/>
          <w:sz w:val="28"/>
          <w:szCs w:val="28"/>
        </w:rPr>
        <w:t>（款）</w:t>
      </w:r>
      <w:r>
        <w:rPr>
          <w:rFonts w:hint="eastAsia" w:ascii="仿宋_GB2312" w:eastAsia="仿宋_GB2312"/>
          <w:sz w:val="28"/>
          <w:szCs w:val="28"/>
          <w:lang w:eastAsia="zh-CN"/>
        </w:rPr>
        <w:t>基本公共卫生服务（项）</w:t>
      </w:r>
      <w:r>
        <w:rPr>
          <w:rFonts w:hint="eastAsia" w:ascii="仿宋_GB2312" w:eastAsia="仿宋_GB2312"/>
          <w:sz w:val="28"/>
          <w:szCs w:val="28"/>
        </w:rPr>
        <w:t>：</w:t>
      </w:r>
      <w:r>
        <w:rPr>
          <w:rFonts w:hint="eastAsia" w:ascii="仿宋_GB2312" w:eastAsia="仿宋_GB2312"/>
          <w:sz w:val="28"/>
          <w:szCs w:val="28"/>
          <w:lang w:eastAsia="zh-CN"/>
        </w:rPr>
        <w:t>反映基本公共卫生服务支出。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w:t>
      </w:r>
      <w:r>
        <w:rPr>
          <w:rFonts w:hint="eastAsia" w:ascii="仿宋_GB2312" w:eastAsia="仿宋_GB2312"/>
          <w:sz w:val="28"/>
          <w:szCs w:val="28"/>
          <w:lang w:eastAsia="zh-CN"/>
        </w:rPr>
        <w:t>公共卫生</w:t>
      </w:r>
      <w:r>
        <w:rPr>
          <w:rFonts w:hint="eastAsia" w:ascii="仿宋_GB2312" w:eastAsia="仿宋_GB2312"/>
          <w:sz w:val="28"/>
          <w:szCs w:val="28"/>
        </w:rPr>
        <w:t>（款）</w:t>
      </w:r>
      <w:r>
        <w:rPr>
          <w:rFonts w:hint="eastAsia" w:ascii="仿宋_GB2312" w:eastAsia="仿宋_GB2312"/>
          <w:sz w:val="28"/>
          <w:szCs w:val="28"/>
          <w:lang w:eastAsia="zh-CN"/>
        </w:rPr>
        <w:t>重大公共卫生服务（项）</w:t>
      </w:r>
      <w:r>
        <w:rPr>
          <w:rFonts w:hint="eastAsia" w:ascii="仿宋_GB2312" w:eastAsia="仿宋_GB2312"/>
          <w:sz w:val="28"/>
          <w:szCs w:val="28"/>
        </w:rPr>
        <w:t>：</w:t>
      </w:r>
      <w:r>
        <w:rPr>
          <w:rFonts w:hint="eastAsia" w:ascii="仿宋_GB2312" w:eastAsia="仿宋_GB2312"/>
          <w:sz w:val="28"/>
          <w:szCs w:val="28"/>
          <w:lang w:eastAsia="zh-CN"/>
        </w:rPr>
        <w:t>反映重大疾病、重大传染病预防控制等重大公共卫生服务项目支出。</w:t>
      </w:r>
    </w:p>
    <w:p>
      <w:pPr>
        <w:spacing w:line="580" w:lineRule="exact"/>
        <w:ind w:firstLine="420" w:firstLineChars="150"/>
        <w:rPr>
          <w:rFonts w:hint="eastAsia"/>
        </w:rPr>
      </w:pPr>
      <w:r>
        <w:rPr>
          <w:rFonts w:hint="eastAsia" w:ascii="仿宋_GB2312" w:eastAsia="仿宋_GB2312"/>
          <w:sz w:val="28"/>
          <w:szCs w:val="28"/>
        </w:rPr>
        <w:t>卫生健康支出（类）行政事业单位医疗（款）</w:t>
      </w:r>
      <w:r>
        <w:rPr>
          <w:rFonts w:hint="eastAsia" w:ascii="仿宋_GB2312" w:eastAsia="仿宋_GB2312"/>
          <w:sz w:val="28"/>
          <w:szCs w:val="28"/>
          <w:lang w:val="en-US" w:eastAsia="zh-CN"/>
        </w:rPr>
        <w:t>事业</w:t>
      </w:r>
      <w:r>
        <w:rPr>
          <w:rFonts w:hint="eastAsia" w:ascii="仿宋_GB2312" w:eastAsia="仿宋_GB2312"/>
          <w:sz w:val="28"/>
          <w:szCs w:val="28"/>
        </w:rPr>
        <w:t>单位医疗</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财政部门安排的事业单位基本医疗保险缴费经费，未参加医疗保险的事业单位的公费医疗经费，按国家规定享受离休人员待遇的医疗经费</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卫生健康支出（类）行政事业单位医疗（款）</w:t>
      </w:r>
      <w:r>
        <w:rPr>
          <w:rFonts w:hint="eastAsia" w:ascii="仿宋_GB2312" w:eastAsia="仿宋_GB2312"/>
          <w:sz w:val="28"/>
          <w:szCs w:val="28"/>
          <w:lang w:val="en-US" w:eastAsia="zh-CN"/>
        </w:rPr>
        <w:t>公务员医疗补助</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财政部门安排的公务员医疗补助经费。</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卫生健康支出（类）中医药事务（款）中医（民族医）药专项</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中医（民族医）药方面的专项支出</w:t>
      </w:r>
      <w:r>
        <w:rPr>
          <w:rFonts w:hint="eastAsia" w:ascii="仿宋_GB2312" w:eastAsia="仿宋_GB2312"/>
          <w:sz w:val="28"/>
          <w:szCs w:val="28"/>
        </w:rPr>
        <w:t>。</w:t>
      </w:r>
    </w:p>
    <w:p>
      <w:pPr>
        <w:ind w:firstLine="420" w:firstLineChars="150"/>
        <w:rPr>
          <w:rFonts w:hint="eastAsia" w:ascii="宋体" w:hAnsi="宋体" w:cs="宋体"/>
          <w:b/>
          <w:bCs/>
          <w:spacing w:val="40"/>
          <w:kern w:val="0"/>
          <w:sz w:val="32"/>
          <w:szCs w:val="32"/>
        </w:rPr>
      </w:pPr>
      <w:r>
        <w:rPr>
          <w:rFonts w:hint="eastAsia" w:ascii="仿宋_GB2312" w:eastAsia="仿宋_GB2312"/>
          <w:sz w:val="28"/>
          <w:szCs w:val="28"/>
        </w:rPr>
        <w:t>住房保障支出（类）住房改革支出（款）购房补贴</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eastAsia="zh-CN"/>
        </w:rPr>
        <w:t>反映按房改政策规定，行政事业单位向符合条件职工（含离退休人员）、军队（含武警）向转役复员离退休人员发放的用于购买住房的补贴。</w:t>
      </w: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ind w:firstLine="560" w:firstLineChars="200"/>
        <w:rPr>
          <w:rFonts w:ascii="黑体" w:eastAsia="黑体"/>
          <w:sz w:val="28"/>
          <w:szCs w:val="28"/>
          <w:highlight w:val="none"/>
        </w:rPr>
      </w:pPr>
      <w:r>
        <w:rPr>
          <w:rFonts w:hint="eastAsia" w:ascii="黑体" w:eastAsia="黑体"/>
          <w:sz w:val="28"/>
          <w:szCs w:val="28"/>
          <w:highlight w:val="none"/>
        </w:rPr>
        <w:t>一、</w:t>
      </w:r>
      <w:r>
        <w:rPr>
          <w:rFonts w:hint="eastAsia" w:ascii="黑体" w:eastAsia="黑体"/>
          <w:sz w:val="28"/>
          <w:szCs w:val="28"/>
          <w:highlight w:val="none"/>
          <w:lang w:eastAsia="zh-CN"/>
        </w:rPr>
        <w:t>基本情况</w:t>
      </w:r>
    </w:p>
    <w:p>
      <w:pPr>
        <w:ind w:firstLine="1120" w:firstLineChars="4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eastAsia="zh-CN"/>
        </w:rPr>
        <w:t>青云店镇中心卫生院开展项目绩效评价项目数量</w:t>
      </w:r>
      <w:r>
        <w:rPr>
          <w:rFonts w:hint="eastAsia" w:ascii="仿宋_GB2312" w:eastAsia="仿宋_GB2312"/>
          <w:sz w:val="28"/>
          <w:szCs w:val="28"/>
          <w:highlight w:val="none"/>
          <w:lang w:val="en-US" w:eastAsia="zh-CN"/>
        </w:rPr>
        <w:t>31个</w:t>
      </w:r>
      <w:r>
        <w:rPr>
          <w:rFonts w:hint="eastAsia" w:ascii="仿宋_GB2312" w:eastAsia="仿宋_GB2312"/>
          <w:sz w:val="28"/>
          <w:szCs w:val="28"/>
          <w:highlight w:val="none"/>
        </w:rPr>
        <w:t>，已形成项目绩效评价表</w:t>
      </w:r>
      <w:r>
        <w:rPr>
          <w:rFonts w:hint="eastAsia" w:ascii="仿宋_GB2312" w:eastAsia="仿宋_GB2312"/>
          <w:sz w:val="28"/>
          <w:szCs w:val="28"/>
          <w:highlight w:val="none"/>
          <w:lang w:val="en-US" w:eastAsia="zh-CN"/>
        </w:rPr>
        <w:t>31个</w:t>
      </w:r>
      <w:r>
        <w:rPr>
          <w:rFonts w:hint="eastAsia" w:ascii="仿宋_GB2312" w:eastAsia="仿宋_GB2312"/>
          <w:sz w:val="28"/>
          <w:szCs w:val="28"/>
          <w:highlight w:val="none"/>
        </w:rPr>
        <w:t>。</w:t>
      </w:r>
    </w:p>
    <w:p>
      <w:pPr>
        <w:numPr>
          <w:ilvl w:val="0"/>
          <w:numId w:val="1"/>
        </w:numPr>
        <w:spacing w:line="580" w:lineRule="exact"/>
        <w:ind w:firstLine="560" w:firstLineChars="200"/>
        <w:rPr>
          <w:rFonts w:hint="eastAsia"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spacing w:line="560" w:lineRule="exact"/>
        <w:ind w:firstLine="1260" w:firstLineChars="450"/>
        <w:rPr>
          <w:rFonts w:hint="eastAsia" w:ascii="仿宋_GB2312" w:eastAsia="仿宋_GB2312"/>
          <w:sz w:val="28"/>
          <w:szCs w:val="28"/>
          <w:highlight w:val="none"/>
          <w:lang w:val="en-US" w:eastAsia="zh-CN"/>
        </w:rPr>
      </w:pPr>
      <w:r>
        <w:rPr>
          <w:rFonts w:hint="eastAsia" w:ascii="仿宋_GB2312" w:eastAsia="仿宋_GB2312"/>
          <w:sz w:val="28"/>
          <w:szCs w:val="28"/>
          <w:highlight w:val="none"/>
        </w:rPr>
        <w:t>报表详见附件</w:t>
      </w:r>
      <w:r>
        <w:rPr>
          <w:rFonts w:hint="eastAsia" w:ascii="仿宋_GB2312" w:hAnsi="宋体" w:eastAsia="仿宋_GB2312" w:cs="宋体"/>
          <w:bCs/>
          <w:spacing w:val="40"/>
          <w:kern w:val="0"/>
          <w:sz w:val="32"/>
          <w:szCs w:val="32"/>
        </w:rPr>
        <w:t>。</w:t>
      </w: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480" w:lineRule="exact"/>
        <w:jc w:val="center"/>
        <w:rPr>
          <w:rFonts w:hint="eastAsia" w:ascii="黑体" w:eastAsia="黑体"/>
          <w:sz w:val="32"/>
          <w:szCs w:val="32"/>
          <w:highlight w:val="none"/>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Noto Sans SC">
    <w:altName w:val="宋体"/>
    <w:panose1 w:val="020B0200000000000000"/>
    <w:charset w:val="86"/>
    <w:family w:val="auto"/>
    <w:pitch w:val="default"/>
    <w:sig w:usb0="00000000" w:usb1="00000000" w:usb2="00000016" w:usb3="00000000" w:csb0="60060107" w:csb1="00000000"/>
  </w:font>
  <w:font w:name="方正小标宋简体">
    <w:panose1 w:val="02010601030101010101"/>
    <w:charset w:val="86"/>
    <w:family w:val="auto"/>
    <w:pitch w:val="default"/>
    <w:sig w:usb0="00000001" w:usb1="080E0000" w:usb2="00000000" w:usb3="00000000" w:csb0="00040000" w:csb1="00000000"/>
  </w:font>
  <w:font w:name="Times New Toman">
    <w:altName w:val="Traditional Arabic"/>
    <w:panose1 w:val="02020603050405020304"/>
    <w:charset w:val="00"/>
    <w:family w:val="roman"/>
    <w:pitch w:val="default"/>
    <w:sig w:usb0="00000000" w:usb1="00000000" w:usb2="00000008" w:usb3="00000000" w:csb0="000001FF" w:csb1="00000000"/>
  </w:font>
  <w:font w:name="Arial">
    <w:panose1 w:val="020B0604020202020204"/>
    <w:charset w:val="86"/>
    <w:family w:val="auto"/>
    <w:pitch w:val="default"/>
    <w:sig w:usb0="E0002AFF" w:usb1="C0007843" w:usb2="00000009" w:usb3="00000000" w:csb0="400001FF" w:csb1="FFFF0000"/>
  </w:font>
  <w:font w:name="Microsoft JhengHei">
    <w:panose1 w:val="020B0604030504040204"/>
    <w:charset w:val="88"/>
    <w:family w:val="auto"/>
    <w:pitch w:val="default"/>
    <w:sig w:usb0="00000087" w:usb1="28AF4000" w:usb2="00000016" w:usb3="00000000" w:csb0="00100009" w:csb1="00000000"/>
  </w:font>
  <w:font w:name="FangSong_GB2312">
    <w:altName w:val="仿宋_GB2312"/>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Traditional Arabic">
    <w:panose1 w:val="02020603050405020304"/>
    <w:charset w:val="00"/>
    <w:family w:val="auto"/>
    <w:pitch w:val="default"/>
    <w:sig w:usb0="00006003" w:usb1="80000000" w:usb2="00000008" w:usb3="00000000" w:csb0="00000041" w:csb1="2008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yAsvK4BAABLAwAADgAAAGRycy9lMm9Eb2MueG1srVPNahsxEL4X8g5C&#10;91hrB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V5Yo14v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TICy8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wRlV60BAABLAwAADgAAAGRycy9lMm9Eb2MueG1srVNLjhMxEN0jcQfL&#10;e+KeCKGolc4INBqEhABp4ACO205b8k9VTrpzAbgBKzbsOVfOQdlJZ/jsEBt3uar86r2q6vXt5B07&#10;aEAbQ8dvFg1nOqjY27Dr+KeP989WnGGWoZcuBt3xo0Z+u3n6ZD2mVi/jEF2vgRFIwHZMHR9yTq0Q&#10;qAbtJS5i0oGCJoKXma6wEz3IkdC9E8umeSHGCH2CqDQiee/OQb6p+MZold8bgzoz13HilusJ9dyW&#10;U2zWst2BTINVFxryH1h4aQMVvULdySzZHuxfUN4qiBhNXqjoRTTGKl01kJqb5g81D4NMumqh5mC6&#10;tgn/H6x6d/gAzPYdf85ZkJ5GdPr65fTtx+n7Z7Ys7RkTtpT1kCgvT6/iRGOe/UjOonoy4MuX9DCK&#10;U6OP1+bqKTNVHq2Wq1VDIUWx+UL44vF5AsyvdfSsGB0Hml5tqjy8xXxOnVNKtRDvrXN1gi785iDM&#10;4hGF+5ljsfK0nS6CtrE/kp6RBt/xQJvJmXsTqK9lR2YDZmM7G/sEdjfUJSr1ML3cZyJRuZUKZ9hL&#10;YZpYVXfZrrISv95r1uM/sPk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cEZVetAQAASwMA&#10;AA4AAAAAAAAAAQAgAAAAHgEAAGRycy9lMm9Eb2MueG1sUEsFBgAAAAAGAAYAWQEAAD0FAAAAAA==&#10;">
              <v:fill on="f" focussize="0,0"/>
              <v:stroke on="f"/>
              <v:imagedata o:title=""/>
              <o:lock v:ext="edit" aspectratio="f"/>
              <v:textbox inset="0mm,0mm,0mm,0mm" style="mso-fit-shape-to-text:t;">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F6F74A"/>
    <w:multiLevelType w:val="singleLevel"/>
    <w:tmpl w:val="64F6F74A"/>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72A27"/>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364B"/>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34CCB"/>
    <w:rsid w:val="01C47B20"/>
    <w:rsid w:val="027A4645"/>
    <w:rsid w:val="038E6E7A"/>
    <w:rsid w:val="04592C5D"/>
    <w:rsid w:val="079004AC"/>
    <w:rsid w:val="0AFD09DD"/>
    <w:rsid w:val="0B0230CF"/>
    <w:rsid w:val="0C7B7F86"/>
    <w:rsid w:val="0C9A20B7"/>
    <w:rsid w:val="0E421BEF"/>
    <w:rsid w:val="0F8E2C57"/>
    <w:rsid w:val="1059665E"/>
    <w:rsid w:val="10AC13BA"/>
    <w:rsid w:val="124610E1"/>
    <w:rsid w:val="135572DF"/>
    <w:rsid w:val="14DC4052"/>
    <w:rsid w:val="163F4A7E"/>
    <w:rsid w:val="16C618FC"/>
    <w:rsid w:val="18A22B4C"/>
    <w:rsid w:val="199C6EDD"/>
    <w:rsid w:val="1AC96C88"/>
    <w:rsid w:val="1AEC0734"/>
    <w:rsid w:val="1B2C5F72"/>
    <w:rsid w:val="1B323594"/>
    <w:rsid w:val="1B43291B"/>
    <w:rsid w:val="1C7254ED"/>
    <w:rsid w:val="1DEF20B0"/>
    <w:rsid w:val="1DF0165D"/>
    <w:rsid w:val="1EF57C35"/>
    <w:rsid w:val="1F401DDF"/>
    <w:rsid w:val="1F664E2A"/>
    <w:rsid w:val="21422A39"/>
    <w:rsid w:val="214243FA"/>
    <w:rsid w:val="226F2233"/>
    <w:rsid w:val="232235C5"/>
    <w:rsid w:val="24837369"/>
    <w:rsid w:val="257A14F5"/>
    <w:rsid w:val="27196C26"/>
    <w:rsid w:val="29B018BB"/>
    <w:rsid w:val="29EF086F"/>
    <w:rsid w:val="29F970B9"/>
    <w:rsid w:val="2A735E0C"/>
    <w:rsid w:val="2A7E0A56"/>
    <w:rsid w:val="2A825249"/>
    <w:rsid w:val="2A8415D0"/>
    <w:rsid w:val="2BF13CCD"/>
    <w:rsid w:val="2C432F41"/>
    <w:rsid w:val="2EFFE297"/>
    <w:rsid w:val="2FB23CC1"/>
    <w:rsid w:val="301437CA"/>
    <w:rsid w:val="318D7A21"/>
    <w:rsid w:val="32785148"/>
    <w:rsid w:val="353C75FB"/>
    <w:rsid w:val="37ED3CEF"/>
    <w:rsid w:val="38254A7C"/>
    <w:rsid w:val="386D6DD1"/>
    <w:rsid w:val="39EA227A"/>
    <w:rsid w:val="3A61592B"/>
    <w:rsid w:val="3DCE17B8"/>
    <w:rsid w:val="3DE04810"/>
    <w:rsid w:val="3DEE6E89"/>
    <w:rsid w:val="3DFD6097"/>
    <w:rsid w:val="3E775D43"/>
    <w:rsid w:val="3F143319"/>
    <w:rsid w:val="3F3B19D7"/>
    <w:rsid w:val="3FC343A8"/>
    <w:rsid w:val="4208288A"/>
    <w:rsid w:val="425C2574"/>
    <w:rsid w:val="42F27DD4"/>
    <w:rsid w:val="43286940"/>
    <w:rsid w:val="433E495C"/>
    <w:rsid w:val="44617DEC"/>
    <w:rsid w:val="45A90126"/>
    <w:rsid w:val="4616442F"/>
    <w:rsid w:val="46B753D0"/>
    <w:rsid w:val="47063240"/>
    <w:rsid w:val="48804E0D"/>
    <w:rsid w:val="49090450"/>
    <w:rsid w:val="4AC27CB3"/>
    <w:rsid w:val="4B6D146C"/>
    <w:rsid w:val="4B9815B3"/>
    <w:rsid w:val="4BDE3EAD"/>
    <w:rsid w:val="4BF72BEF"/>
    <w:rsid w:val="4C7055DC"/>
    <w:rsid w:val="4CD80866"/>
    <w:rsid w:val="4D2B475A"/>
    <w:rsid w:val="4DEB2135"/>
    <w:rsid w:val="4E150194"/>
    <w:rsid w:val="4F524CF8"/>
    <w:rsid w:val="50502C65"/>
    <w:rsid w:val="51970FB1"/>
    <w:rsid w:val="51DB3C59"/>
    <w:rsid w:val="526A0864"/>
    <w:rsid w:val="550A17D8"/>
    <w:rsid w:val="55762E42"/>
    <w:rsid w:val="568B6949"/>
    <w:rsid w:val="57A7B272"/>
    <w:rsid w:val="58470068"/>
    <w:rsid w:val="58886F75"/>
    <w:rsid w:val="58C146D8"/>
    <w:rsid w:val="5A1720F9"/>
    <w:rsid w:val="5B2969DE"/>
    <w:rsid w:val="5B9C37C2"/>
    <w:rsid w:val="5BA7C654"/>
    <w:rsid w:val="5C4E70C0"/>
    <w:rsid w:val="5C88152B"/>
    <w:rsid w:val="5CF74D38"/>
    <w:rsid w:val="5E8D7753"/>
    <w:rsid w:val="5F2D3D9B"/>
    <w:rsid w:val="5F8A0474"/>
    <w:rsid w:val="60FF240D"/>
    <w:rsid w:val="62D60F54"/>
    <w:rsid w:val="638A7560"/>
    <w:rsid w:val="641F04E5"/>
    <w:rsid w:val="64C0607C"/>
    <w:rsid w:val="65AC6CC3"/>
    <w:rsid w:val="66AE016C"/>
    <w:rsid w:val="672D1356"/>
    <w:rsid w:val="676F09E1"/>
    <w:rsid w:val="68260FE9"/>
    <w:rsid w:val="68866384"/>
    <w:rsid w:val="69174AE0"/>
    <w:rsid w:val="696173A6"/>
    <w:rsid w:val="6A9B1DCA"/>
    <w:rsid w:val="6BEE675A"/>
    <w:rsid w:val="6C2C6080"/>
    <w:rsid w:val="6C840988"/>
    <w:rsid w:val="6CA83F44"/>
    <w:rsid w:val="6DAB1513"/>
    <w:rsid w:val="6E16292A"/>
    <w:rsid w:val="6E223398"/>
    <w:rsid w:val="6F375468"/>
    <w:rsid w:val="6F536B9C"/>
    <w:rsid w:val="6F562244"/>
    <w:rsid w:val="6FE55BEA"/>
    <w:rsid w:val="721821DB"/>
    <w:rsid w:val="730269BF"/>
    <w:rsid w:val="756172B0"/>
    <w:rsid w:val="75A44ED9"/>
    <w:rsid w:val="75E74A0A"/>
    <w:rsid w:val="76322105"/>
    <w:rsid w:val="768F7680"/>
    <w:rsid w:val="769A0A64"/>
    <w:rsid w:val="77170C10"/>
    <w:rsid w:val="77512F0B"/>
    <w:rsid w:val="77D15A34"/>
    <w:rsid w:val="77E1493E"/>
    <w:rsid w:val="77F80C6B"/>
    <w:rsid w:val="791B1128"/>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toc 2"/>
    <w:basedOn w:val="1"/>
    <w:next w:val="1"/>
    <w:unhideWhenUsed/>
    <w:qFormat/>
    <w:uiPriority w:val="0"/>
    <w:pPr>
      <w:tabs>
        <w:tab w:val="left" w:pos="1080"/>
      </w:tabs>
      <w:spacing w:beforeLines="0" w:afterLines="0"/>
      <w:ind w:left="420" w:leftChars="200"/>
    </w:pPr>
    <w:rPr>
      <w:rFonts w:hint="default"/>
      <w:sz w:val="21"/>
      <w:szCs w:val="24"/>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8"/>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font21"/>
    <w:basedOn w:val="11"/>
    <w:qFormat/>
    <w:uiPriority w:val="0"/>
    <w:rPr>
      <w:rFonts w:hint="eastAsia" w:ascii="宋体" w:hAnsi="宋体" w:eastAsia="宋体" w:cs="宋体"/>
      <w:color w:val="000000"/>
      <w:sz w:val="18"/>
      <w:szCs w:val="18"/>
      <w:u w:val="none"/>
    </w:rPr>
  </w:style>
  <w:style w:type="character" w:customStyle="1" w:styleId="22">
    <w:name w:val="font01"/>
    <w:basedOn w:val="11"/>
    <w:qFormat/>
    <w:uiPriority w:val="0"/>
    <w:rPr>
      <w:rFonts w:hint="eastAsia" w:ascii="宋体" w:hAnsi="宋体" w:eastAsia="宋体" w:cs="宋体"/>
      <w:color w:val="000000"/>
      <w:sz w:val="13"/>
      <w:szCs w:val="13"/>
      <w:u w:val="none"/>
    </w:rPr>
  </w:style>
  <w:style w:type="paragraph" w:customStyle="1" w:styleId="23">
    <w:name w:val="索引 11"/>
    <w:basedOn w:val="1"/>
    <w:next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p>
      </c:txPr>
    </c:title>
    <c:autoTitleDeleted val="0"/>
    <c:plotArea>
      <c:layout/>
      <c:pieChart>
        <c:varyColors val="1"/>
        <c:ser>
          <c:idx val="0"/>
          <c:order val="0"/>
          <c:tx>
            <c:strRef>
              <c:f>Sheet1!$A$2</c:f>
              <c:strCache>
                <c:ptCount val="1"/>
                <c:pt idx="0">
                  <c:v>收入决算占比</c:v>
                </c:pt>
              </c:strCache>
            </c:strRef>
          </c:tx>
          <c:spPr/>
          <c:explosion val="0"/>
          <c:dPt>
            <c:idx val="0"/>
            <c:bubble3D val="0"/>
            <c:spPr>
              <a:solidFill>
                <a:schemeClr val="accent4">
                  <a:lumMod val="60000"/>
                  <a:lumOff val="40000"/>
                </a:schemeClr>
              </a:solidFill>
              <a:ln>
                <a:noFill/>
              </a:ln>
              <a:effectLst>
                <a:outerShdw blurRad="254000" sx="102000" sy="102000" algn="ctr" rotWithShape="0">
                  <a:prstClr val="black">
                    <a:alpha val="20000"/>
                  </a:prstClr>
                </a:outerShdw>
              </a:effectLst>
            </c:spPr>
          </c:dPt>
          <c:dPt>
            <c:idx val="1"/>
            <c:bubble3D val="0"/>
            <c:spPr>
              <a:solidFill>
                <a:schemeClr val="accent6"/>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Lbls>
            <c:dLbl>
              <c:idx val="2"/>
              <c:layout>
                <c:manualLayout>
                  <c:x val="0.000622051152891831"/>
                  <c:y val="0.21090910003521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Sheet1!$B$1:$D$1</c:f>
              <c:strCache>
                <c:ptCount val="3"/>
                <c:pt idx="0">
                  <c:v>财政拨款收入</c:v>
                </c:pt>
                <c:pt idx="1">
                  <c:v>事业收入</c:v>
                </c:pt>
                <c:pt idx="2">
                  <c:v>其他收入</c:v>
                </c:pt>
              </c:strCache>
            </c:strRef>
          </c:cat>
          <c:val>
            <c:numRef>
              <c:f>Sheet1!$B$2:$D$2</c:f>
              <c:numCache>
                <c:formatCode>General</c:formatCode>
                <c:ptCount val="3"/>
                <c:pt idx="0">
                  <c:v>41.19</c:v>
                </c:pt>
                <c:pt idx="1" c:formatCode="0.00_ ">
                  <c:v>58.67</c:v>
                </c:pt>
                <c:pt idx="2">
                  <c:v>0.13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66187439195763"/>
          <c:y val="0.405609392471114"/>
        </c:manualLayout>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no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b="1"/>
              <a:t>支出决算占比</a:t>
            </a:r>
            <a:endParaRPr b="1"/>
          </a:p>
        </c:rich>
      </c:tx>
      <c:layout/>
      <c:overlay val="0"/>
      <c:spPr>
        <a:noFill/>
        <a:ln>
          <a:noFill/>
        </a:ln>
        <a:effectLst/>
      </c:spPr>
    </c:title>
    <c:autoTitleDeleted val="0"/>
    <c:plotArea>
      <c:layout/>
      <c:pieChart>
        <c:varyColors val="1"/>
        <c:ser>
          <c:idx val="0"/>
          <c:order val="0"/>
          <c:tx>
            <c:strRef>
              <c:f>Sheet1!$B$1</c:f>
              <c:strCache>
                <c:ptCount val="1"/>
                <c:pt idx="0">
                  <c:v>支出决算占比</c:v>
                </c:pt>
              </c:strCache>
            </c:strRef>
          </c:tx>
          <c:spPr/>
          <c:explosion val="0"/>
          <c:dPt>
            <c:idx val="0"/>
            <c:bubble3D val="0"/>
            <c:spPr>
              <a:solidFill>
                <a:schemeClr val="accent4">
                  <a:lumMod val="60000"/>
                  <a:lumOff val="40000"/>
                </a:schemeClr>
              </a:solidFill>
              <a:ln w="19050">
                <a:solidFill>
                  <a:schemeClr val="lt1"/>
                </a:solidFill>
              </a:ln>
              <a:effectLst/>
            </c:spPr>
          </c:dPt>
          <c:dPt>
            <c:idx val="1"/>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79.33</c:v>
                </c:pt>
                <c:pt idx="1">
                  <c:v>20.67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b="1"/>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8000</Words>
  <Characters>9055</Characters>
  <Lines>77</Lines>
  <Paragraphs>21</Paragraphs>
  <ScaleCrop>false</ScaleCrop>
  <LinksUpToDate>false</LinksUpToDate>
  <CharactersWithSpaces>9096</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镇及街道</cp:lastModifiedBy>
  <cp:lastPrinted>2020-08-07T19:39:00Z</cp:lastPrinted>
  <dcterms:modified xsi:type="dcterms:W3CDTF">2025-08-14T07:25:10Z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