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黑体" w:eastAsia="黑体"/>
          <w:sz w:val="72"/>
          <w:szCs w:val="72"/>
        </w:rPr>
      </w:pPr>
    </w:p>
    <w:p>
      <w:pPr>
        <w:jc w:val="both"/>
        <w:rPr>
          <w:rFonts w:hint="eastAsia" w:ascii="黑体" w:eastAsia="黑体"/>
          <w:sz w:val="72"/>
          <w:szCs w:val="72"/>
        </w:rPr>
      </w:pPr>
    </w:p>
    <w:p>
      <w:pPr>
        <w:jc w:val="both"/>
        <w:rPr>
          <w:rFonts w:hint="eastAsia" w:ascii="黑体" w:eastAsia="黑体"/>
          <w:sz w:val="72"/>
          <w:szCs w:val="72"/>
        </w:rPr>
      </w:pPr>
    </w:p>
    <w:p>
      <w:pPr>
        <w:jc w:val="center"/>
        <w:rPr>
          <w:rFonts w:hint="eastAsia" w:ascii="黑体" w:eastAsia="黑体"/>
          <w:sz w:val="72"/>
          <w:szCs w:val="72"/>
          <w:lang w:val="en-US" w:eastAsia="zh-CN"/>
        </w:rPr>
      </w:pPr>
      <w:r>
        <w:rPr>
          <w:rFonts w:hint="eastAsia" w:ascii="黑体" w:eastAsia="黑体"/>
          <w:sz w:val="72"/>
          <w:szCs w:val="72"/>
        </w:rPr>
        <w:t>北京市大兴区</w:t>
      </w:r>
      <w:r>
        <w:rPr>
          <w:rFonts w:hint="eastAsia" w:ascii="黑体" w:eastAsia="黑体"/>
          <w:sz w:val="72"/>
          <w:szCs w:val="72"/>
          <w:lang w:val="en-US" w:eastAsia="zh-CN"/>
        </w:rPr>
        <w:t>安定镇中心卫生院</w:t>
      </w:r>
    </w:p>
    <w:p>
      <w:pPr>
        <w:jc w:val="center"/>
        <w:rPr>
          <w:rFonts w:hint="eastAsia" w:ascii="黑体" w:eastAsia="黑体"/>
          <w:sz w:val="52"/>
          <w:szCs w:val="52"/>
        </w:rPr>
      </w:pPr>
      <w:r>
        <w:rPr>
          <w:rFonts w:hint="eastAsia" w:ascii="黑体" w:eastAsia="黑体"/>
          <w:sz w:val="72"/>
          <w:szCs w:val="72"/>
        </w:rPr>
        <w:t xml:space="preserve"> 202</w:t>
      </w:r>
      <w:r>
        <w:rPr>
          <w:rFonts w:hint="eastAsia" w:ascii="黑体" w:eastAsia="黑体"/>
          <w:sz w:val="72"/>
          <w:szCs w:val="72"/>
          <w:lang w:val="en-US" w:eastAsia="zh-CN"/>
        </w:rPr>
        <w:t>4</w:t>
      </w:r>
      <w:r>
        <w:rPr>
          <w:rFonts w:hint="eastAsia" w:ascii="黑体" w:eastAsia="黑体"/>
          <w:sz w:val="72"/>
          <w:szCs w:val="72"/>
        </w:rPr>
        <w:t>年度部门决算报表及说明</w:t>
      </w:r>
    </w:p>
    <w:p>
      <w:pPr>
        <w:jc w:val="center"/>
        <w:rPr>
          <w:rFonts w:ascii="黑体" w:eastAsia="黑体"/>
          <w:sz w:val="52"/>
          <w:szCs w:val="52"/>
        </w:rPr>
      </w:pPr>
    </w:p>
    <w:p>
      <w:pPr>
        <w:rPr>
          <w:rFonts w:ascii="黑体" w:eastAsia="黑体"/>
          <w:sz w:val="52"/>
          <w:szCs w:val="52"/>
        </w:rPr>
        <w:sectPr>
          <w:footerReference r:id="rId3" w:type="default"/>
          <w:pgSz w:w="16838" w:h="11906" w:orient="landscape"/>
          <w:pgMar w:top="1134" w:right="1134" w:bottom="1134" w:left="1134" w:header="851" w:footer="992" w:gutter="0"/>
          <w:pgNumType w:fmt="decimal"/>
          <w:cols w:space="720" w:num="1"/>
          <w:docGrid w:type="linesAndChars" w:linePitch="312" w:charSpace="0"/>
        </w:sectPr>
      </w:pPr>
    </w:p>
    <w:p>
      <w:pPr>
        <w:spacing w:line="500" w:lineRule="exact"/>
        <w:jc w:val="center"/>
        <w:rPr>
          <w:rFonts w:hint="eastAsia" w:ascii="宋体" w:hAnsi="宋体" w:cs="宋体"/>
          <w:b/>
          <w:bCs/>
          <w:kern w:val="0"/>
          <w:sz w:val="44"/>
          <w:szCs w:val="44"/>
        </w:rPr>
      </w:pPr>
      <w:r>
        <w:rPr>
          <w:rFonts w:hint="eastAsia" w:ascii="宋体" w:hAnsi="宋体" w:cs="宋体"/>
          <w:b/>
          <w:bCs/>
          <w:kern w:val="0"/>
          <w:sz w:val="44"/>
          <w:szCs w:val="44"/>
        </w:rPr>
        <w:t>目    录</w:t>
      </w:r>
    </w:p>
    <w:p>
      <w:pPr>
        <w:spacing w:line="500" w:lineRule="exact"/>
        <w:ind w:firstLine="1512" w:firstLineChars="378"/>
        <w:rPr>
          <w:rFonts w:hint="eastAsia" w:ascii="宋体" w:hAnsi="宋体" w:cs="宋体"/>
          <w:b/>
          <w:bCs/>
          <w:kern w:val="0"/>
          <w:sz w:val="32"/>
          <w:szCs w:val="32"/>
        </w:rPr>
      </w:pPr>
      <w:r>
        <w:rPr>
          <w:rFonts w:hint="eastAsia" w:ascii="宋体" w:hAnsi="宋体" w:cs="宋体"/>
          <w:bCs/>
          <w:spacing w:val="40"/>
          <w:kern w:val="0"/>
          <w:sz w:val="32"/>
          <w:szCs w:val="32"/>
        </w:rPr>
        <w:t>第一部分 2024年度部门决算报表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w:t>
      </w:r>
      <w:r>
        <w:rPr>
          <w:rFonts w:ascii="仿宋_GB2312" w:hAnsi="仿宋" w:eastAsia="仿宋_GB2312" w:cs="宋体"/>
          <w:bCs/>
          <w:spacing w:val="40"/>
          <w:kern w:val="0"/>
          <w:sz w:val="32"/>
          <w:szCs w:val="32"/>
        </w:rPr>
        <w:t>购买服务</w:t>
      </w:r>
      <w:r>
        <w:rPr>
          <w:rFonts w:hint="eastAsia" w:ascii="仿宋_GB2312" w:hAnsi="仿宋" w:eastAsia="仿宋_GB2312" w:cs="宋体"/>
          <w:bCs/>
          <w:spacing w:val="40"/>
          <w:kern w:val="0"/>
          <w:sz w:val="32"/>
          <w:szCs w:val="32"/>
        </w:rPr>
        <w:t>决算情况</w:t>
      </w:r>
      <w:r>
        <w:rPr>
          <w:rFonts w:ascii="仿宋_GB2312" w:hAnsi="仿宋" w:eastAsia="仿宋_GB2312" w:cs="宋体"/>
          <w:bCs/>
          <w:spacing w:val="40"/>
          <w:kern w:val="0"/>
          <w:sz w:val="32"/>
          <w:szCs w:val="32"/>
        </w:rPr>
        <w:t>表</w:t>
      </w:r>
    </w:p>
    <w:p>
      <w:pPr>
        <w:tabs>
          <w:tab w:val="center" w:pos="6979"/>
        </w:tabs>
        <w:spacing w:before="156" w:beforeLines="50" w:after="156" w:afterLines="50"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spacing w:val="40"/>
          <w:sz w:val="32"/>
          <w:szCs w:val="32"/>
        </w:rPr>
        <w:t>部门决算说明</w:t>
      </w:r>
    </w:p>
    <w:p>
      <w:pPr>
        <w:tabs>
          <w:tab w:val="center" w:pos="6979"/>
        </w:tabs>
        <w:spacing w:before="156" w:beforeLines="50" w:after="156" w:afterLines="50"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w:t>
      </w:r>
      <w:r>
        <w:rPr>
          <w:rFonts w:hint="eastAsia" w:ascii="宋体" w:hAnsi="宋体" w:cs="宋体"/>
          <w:bCs/>
          <w:spacing w:val="40"/>
          <w:kern w:val="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line="500" w:lineRule="exact"/>
        <w:ind w:firstLine="1600" w:firstLineChars="400"/>
        <w:jc w:val="left"/>
        <w:rPr>
          <w:rFonts w:ascii="宋体" w:hAnsi="宋体" w:cs="宋体"/>
          <w:spacing w:val="40"/>
          <w:kern w:val="0"/>
          <w:sz w:val="32"/>
          <w:szCs w:val="32"/>
        </w:rPr>
      </w:pPr>
      <w:r>
        <w:rPr>
          <w:rFonts w:hint="eastAsia" w:ascii="宋体" w:hAnsi="宋体" w:cs="宋体"/>
          <w:spacing w:val="40"/>
          <w:kern w:val="0"/>
          <w:sz w:val="32"/>
          <w:szCs w:val="32"/>
        </w:rPr>
        <w:t>第四部分 2024</w:t>
      </w:r>
      <w:r>
        <w:rPr>
          <w:rFonts w:hint="eastAsia" w:ascii="宋体" w:hAnsi="宋体" w:cs="宋体"/>
          <w:bCs/>
          <w:spacing w:val="40"/>
          <w:kern w:val="0"/>
          <w:sz w:val="32"/>
          <w:szCs w:val="32"/>
        </w:rPr>
        <w:t>年度</w:t>
      </w:r>
      <w:r>
        <w:rPr>
          <w:rFonts w:hint="eastAsia" w:ascii="宋体" w:hAnsi="宋体" w:cs="宋体"/>
          <w:spacing w:val="40"/>
          <w:kern w:val="0"/>
          <w:sz w:val="32"/>
          <w:szCs w:val="32"/>
        </w:rPr>
        <w:t>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numPr>
          <w:ilvl w:val="0"/>
          <w:numId w:val="1"/>
        </w:num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2024年度部门决算报表</w:t>
      </w:r>
    </w:p>
    <w:p>
      <w:pPr>
        <w:numPr>
          <w:ilvl w:val="0"/>
          <w:numId w:val="0"/>
        </w:numPr>
        <w:tabs>
          <w:tab w:val="center" w:pos="6979"/>
        </w:tabs>
        <w:spacing w:before="156" w:beforeLines="50" w:after="156" w:afterLines="50"/>
        <w:ind w:firstLine="840" w:firstLineChars="300"/>
        <w:jc w:val="both"/>
        <w:rPr>
          <w:rFonts w:hint="eastAsia" w:ascii="仿宋_GB2312" w:eastAsia="仿宋_GB2312"/>
          <w:sz w:val="28"/>
          <w:szCs w:val="28"/>
        </w:rPr>
      </w:pPr>
    </w:p>
    <w:p>
      <w:pPr>
        <w:numPr>
          <w:ilvl w:val="0"/>
          <w:numId w:val="0"/>
        </w:numPr>
        <w:tabs>
          <w:tab w:val="center" w:pos="6979"/>
        </w:tabs>
        <w:spacing w:before="156" w:beforeLines="50" w:after="156" w:afterLines="50"/>
        <w:ind w:firstLine="840" w:firstLineChars="300"/>
        <w:jc w:val="both"/>
        <w:rPr>
          <w:rFonts w:hint="eastAsia" w:ascii="仿宋_GB2312" w:eastAsia="仿宋_GB2312"/>
          <w:sz w:val="28"/>
          <w:szCs w:val="28"/>
        </w:rPr>
      </w:pPr>
    </w:p>
    <w:p>
      <w:pPr>
        <w:numPr>
          <w:ilvl w:val="0"/>
          <w:numId w:val="0"/>
        </w:numPr>
        <w:tabs>
          <w:tab w:val="center" w:pos="6979"/>
        </w:tabs>
        <w:spacing w:before="156" w:beforeLines="50" w:after="156" w:afterLines="50"/>
        <w:ind w:firstLine="1400" w:firstLineChars="500"/>
        <w:jc w:val="both"/>
        <w:rPr>
          <w:rFonts w:hint="eastAsia" w:ascii="宋体" w:hAnsi="宋体" w:eastAsia="仿宋_GB2312" w:cs="宋体"/>
          <w:b/>
          <w:bCs/>
          <w:spacing w:val="40"/>
          <w:kern w:val="0"/>
          <w:sz w:val="32"/>
          <w:szCs w:val="32"/>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报表详见附件。</w:t>
      </w:r>
    </w:p>
    <w:p>
      <w:pPr>
        <w:rPr>
          <w:rFonts w:hint="eastAsia" w:ascii="宋体" w:hAnsi="宋体" w:cs="宋体"/>
          <w:b/>
          <w:bCs/>
          <w:spacing w:val="40"/>
          <w:kern w:val="0"/>
          <w:sz w:val="32"/>
          <w:szCs w:val="32"/>
        </w:rPr>
      </w:pPr>
    </w:p>
    <w:p>
      <w:pPr>
        <w:tabs>
          <w:tab w:val="center" w:pos="6979"/>
        </w:tabs>
        <w:spacing w:before="156" w:beforeLines="50" w:after="156" w:afterLines="50"/>
        <w:rPr>
          <w:rFonts w:hint="eastAsia" w:ascii="宋体" w:hAnsi="宋体" w:cs="宋体"/>
          <w:b/>
          <w:bCs/>
          <w:spacing w:val="40"/>
          <w:kern w:val="0"/>
          <w:sz w:val="32"/>
          <w:szCs w:val="32"/>
        </w:rPr>
      </w:pP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b/>
          <w:spacing w:val="40"/>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sz w:val="28"/>
          <w:szCs w:val="28"/>
        </w:rPr>
        <w:t>一、单位基本情况</w:t>
      </w:r>
    </w:p>
    <w:p>
      <w:pPr>
        <w:tabs>
          <w:tab w:val="center" w:pos="6979"/>
        </w:tabs>
        <w:spacing w:line="580" w:lineRule="exact"/>
        <w:ind w:firstLine="565" w:firstLineChars="202"/>
        <w:rPr>
          <w:rFonts w:hint="eastAsia" w:ascii="仿宋_GB2312" w:hAnsi="Calibri" w:eastAsia="仿宋_GB2312"/>
          <w:sz w:val="28"/>
          <w:szCs w:val="28"/>
        </w:rPr>
      </w:pPr>
      <w:r>
        <w:rPr>
          <w:rFonts w:hint="eastAsia" w:ascii="仿宋_GB2312" w:hAnsi="Calibri" w:eastAsia="仿宋_GB2312"/>
          <w:sz w:val="28"/>
          <w:szCs w:val="28"/>
        </w:rPr>
        <w:t>安定镇位于大兴区东南部，黄村镇东南18公里处，东邻长子营镇，东南与河北省廊坊市交界，南与礼贤镇毗邻，西与魏善庄镇接壤，北接青云店镇。镇域面积77.8平方公里,下辖33个自然村，有汉、回两个主要民族，常住人口30764余人。安定镇中心卫生院始建于1958年，是辖区内唯一一家集医疗、公共卫生和院前急救等功能为一体的一级甲等综合性医院，</w:t>
      </w:r>
      <w:r>
        <w:rPr>
          <w:rFonts w:hint="eastAsia" w:ascii="仿宋_GB2312" w:hAnsi="Calibri" w:eastAsia="仿宋_GB2312"/>
          <w:sz w:val="28"/>
          <w:szCs w:val="28"/>
          <w:lang w:eastAsia="zh-CN"/>
        </w:rPr>
        <w:t>属于公益一类事业单位，执行政府会计准则制度，下设预防保健科、全科医疗科、内科、外科、妇科、口腔科、急诊科、康复科、医学检验科、医学影像科、</w:t>
      </w:r>
      <w:r>
        <w:rPr>
          <w:rFonts w:hint="eastAsia" w:ascii="仿宋_GB2312" w:hAnsi="Calibri" w:eastAsia="仿宋_GB2312"/>
          <w:sz w:val="28"/>
          <w:szCs w:val="28"/>
          <w:lang w:val="en-US" w:eastAsia="zh-CN"/>
        </w:rPr>
        <w:t>CT诊断、超声诊断专业、心电图诊断专业、中医科，</w:t>
      </w:r>
      <w:r>
        <w:rPr>
          <w:rFonts w:hint="eastAsia" w:ascii="仿宋_GB2312" w:hAnsi="Calibri" w:eastAsia="仿宋_GB2312"/>
          <w:sz w:val="28"/>
          <w:szCs w:val="28"/>
        </w:rPr>
        <w:t>下辖4个社区卫生服务站，是北京市医保定点医院机构。</w:t>
      </w:r>
      <w:r>
        <w:rPr>
          <w:rFonts w:hint="eastAsia" w:ascii="仿宋_GB2312" w:hAnsi="Calibri" w:eastAsia="仿宋_GB2312"/>
          <w:sz w:val="28"/>
          <w:szCs w:val="28"/>
          <w:lang w:eastAsia="zh-CN"/>
        </w:rPr>
        <w:t>单位编制数</w:t>
      </w:r>
      <w:r>
        <w:rPr>
          <w:rFonts w:hint="eastAsia" w:ascii="仿宋_GB2312" w:hAnsi="Calibri" w:eastAsia="仿宋_GB2312"/>
          <w:sz w:val="28"/>
          <w:szCs w:val="28"/>
          <w:lang w:val="en-US" w:eastAsia="zh-CN"/>
        </w:rPr>
        <w:t>72个，职工总人数145人，</w:t>
      </w:r>
      <w:r>
        <w:rPr>
          <w:rFonts w:hint="eastAsia" w:ascii="仿宋_GB2312" w:hAnsi="Calibri" w:eastAsia="仿宋_GB2312"/>
          <w:sz w:val="28"/>
          <w:szCs w:val="28"/>
        </w:rPr>
        <w:t>在编人员</w:t>
      </w:r>
      <w:r>
        <w:rPr>
          <w:rFonts w:hint="eastAsia" w:ascii="仿宋_GB2312" w:hAnsi="Calibri" w:eastAsia="仿宋_GB2312"/>
          <w:sz w:val="28"/>
          <w:szCs w:val="28"/>
          <w:lang w:val="en-US" w:eastAsia="zh-CN"/>
        </w:rPr>
        <w:t>64</w:t>
      </w:r>
      <w:r>
        <w:rPr>
          <w:rFonts w:hint="eastAsia" w:ascii="仿宋_GB2312" w:hAnsi="Calibri" w:eastAsia="仿宋_GB2312"/>
          <w:sz w:val="28"/>
          <w:szCs w:val="28"/>
        </w:rPr>
        <w:t>人，临时辅助用工</w:t>
      </w:r>
      <w:r>
        <w:rPr>
          <w:rFonts w:hint="eastAsia" w:ascii="仿宋_GB2312" w:hAnsi="Calibri" w:eastAsia="仿宋_GB2312"/>
          <w:sz w:val="28"/>
          <w:szCs w:val="28"/>
          <w:lang w:val="en-US" w:eastAsia="zh-CN"/>
        </w:rPr>
        <w:t>80</w:t>
      </w:r>
      <w:r>
        <w:rPr>
          <w:rFonts w:hint="eastAsia" w:ascii="仿宋_GB2312" w:hAnsi="Calibri" w:eastAsia="仿宋_GB2312"/>
          <w:sz w:val="28"/>
          <w:szCs w:val="28"/>
        </w:rPr>
        <w:t>人。</w:t>
      </w:r>
    </w:p>
    <w:p>
      <w:pPr>
        <w:tabs>
          <w:tab w:val="center" w:pos="6979"/>
        </w:tabs>
        <w:spacing w:line="580" w:lineRule="exact"/>
        <w:ind w:firstLine="565" w:firstLineChars="202"/>
        <w:rPr>
          <w:rFonts w:hint="eastAsia" w:ascii="黑体" w:eastAsia="黑体"/>
          <w:sz w:val="28"/>
          <w:szCs w:val="28"/>
        </w:rPr>
      </w:pPr>
      <w:r>
        <w:rPr>
          <w:rFonts w:hint="eastAsia" w:ascii="黑体" w:eastAsia="黑体"/>
          <w:sz w:val="28"/>
          <w:szCs w:val="28"/>
        </w:rPr>
        <w:t>二、部门决算单位构成</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sz w:val="28"/>
          <w:szCs w:val="28"/>
        </w:rPr>
        <w:t>从预算单位构成看，</w:t>
      </w:r>
      <w:r>
        <w:rPr>
          <w:rFonts w:hint="eastAsia" w:ascii="仿宋_GB2312" w:eastAsia="仿宋_GB2312"/>
          <w:sz w:val="28"/>
          <w:szCs w:val="28"/>
          <w:lang w:eastAsia="zh-CN"/>
        </w:rPr>
        <w:t>属于财政补助事业单位，</w:t>
      </w:r>
      <w:r>
        <w:rPr>
          <w:rFonts w:hint="eastAsia" w:ascii="仿宋_GB2312" w:eastAsia="仿宋_GB2312"/>
          <w:sz w:val="28"/>
          <w:szCs w:val="28"/>
        </w:rPr>
        <w:t>本</w:t>
      </w:r>
      <w:r>
        <w:rPr>
          <w:rFonts w:hint="eastAsia" w:ascii="仿宋_GB2312" w:eastAsia="仿宋_GB2312"/>
          <w:kern w:val="0"/>
          <w:sz w:val="28"/>
          <w:szCs w:val="28"/>
        </w:rPr>
        <w:t>单位部门决算包括：安定镇中心卫生院部门决算。</w:t>
      </w:r>
    </w:p>
    <w:p>
      <w:pPr>
        <w:tabs>
          <w:tab w:val="center" w:pos="6979"/>
        </w:tabs>
        <w:spacing w:line="580" w:lineRule="exact"/>
        <w:ind w:firstLine="565" w:firstLineChars="202"/>
        <w:rPr>
          <w:rFonts w:hint="eastAsia" w:ascii="仿宋_GB2312" w:eastAsia="仿宋_GB2312"/>
          <w:kern w:val="0"/>
          <w:sz w:val="28"/>
          <w:szCs w:val="28"/>
        </w:rPr>
      </w:pPr>
      <w:r>
        <w:rPr>
          <w:rFonts w:hint="eastAsia" w:ascii="黑体" w:eastAsia="黑体"/>
          <w:sz w:val="28"/>
          <w:szCs w:val="28"/>
        </w:rPr>
        <w:t>三、收入支出决算总体情况说明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2024年度收入总计</w:t>
      </w:r>
      <w:r>
        <w:rPr>
          <w:rFonts w:hint="eastAsia" w:ascii="仿宋_GB2312" w:eastAsia="仿宋_GB2312"/>
          <w:sz w:val="28"/>
          <w:szCs w:val="28"/>
          <w:lang w:val="en-US" w:eastAsia="zh-CN"/>
        </w:rPr>
        <w:t>11445.81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w:t>
      </w:r>
      <w:r>
        <w:rPr>
          <w:rFonts w:hint="eastAsia" w:ascii="仿宋_GB2312" w:eastAsia="仿宋_GB2312"/>
          <w:sz w:val="28"/>
          <w:szCs w:val="28"/>
          <w:lang w:val="en-US" w:eastAsia="zh-CN"/>
        </w:rPr>
        <w:t>增加</w:t>
      </w:r>
      <w:r>
        <w:rPr>
          <w:rFonts w:ascii="仿宋_GB2312" w:eastAsia="仿宋_GB2312"/>
          <w:sz w:val="28"/>
          <w:szCs w:val="28"/>
        </w:rPr>
        <w:t>）</w:t>
      </w:r>
      <w:r>
        <w:rPr>
          <w:rFonts w:hint="eastAsia" w:ascii="仿宋_GB2312" w:eastAsia="仿宋_GB2312"/>
          <w:sz w:val="28"/>
          <w:szCs w:val="28"/>
          <w:lang w:val="en-US" w:eastAsia="zh-CN"/>
        </w:rPr>
        <w:t>1368.45</w:t>
      </w:r>
      <w:r>
        <w:rPr>
          <w:rFonts w:hint="eastAsia" w:ascii="仿宋_GB2312" w:eastAsia="仿宋_GB2312"/>
          <w:sz w:val="28"/>
          <w:szCs w:val="28"/>
        </w:rPr>
        <w:t>万元，增长</w:t>
      </w:r>
      <w:r>
        <w:rPr>
          <w:rFonts w:hint="eastAsia" w:ascii="仿宋_GB2312" w:eastAsia="仿宋_GB2312"/>
          <w:sz w:val="28"/>
          <w:szCs w:val="28"/>
          <w:lang w:val="en-US" w:eastAsia="zh-CN"/>
        </w:rPr>
        <w:t>13.58</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年度支出总计</w:t>
      </w:r>
      <w:r>
        <w:rPr>
          <w:rFonts w:hint="eastAsia" w:ascii="仿宋_GB2312" w:eastAsia="仿宋_GB2312"/>
          <w:sz w:val="28"/>
          <w:szCs w:val="28"/>
          <w:lang w:val="en-US" w:eastAsia="zh-CN"/>
        </w:rPr>
        <w:t>11445.81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1368.45</w:t>
      </w:r>
      <w:r>
        <w:rPr>
          <w:rFonts w:hint="eastAsia" w:ascii="仿宋_GB2312" w:eastAsia="仿宋_GB2312"/>
          <w:sz w:val="28"/>
          <w:szCs w:val="28"/>
        </w:rPr>
        <w:t>万元，增长</w:t>
      </w:r>
      <w:r>
        <w:rPr>
          <w:rFonts w:hint="eastAsia" w:ascii="仿宋_GB2312" w:eastAsia="仿宋_GB2312"/>
          <w:sz w:val="28"/>
          <w:szCs w:val="28"/>
          <w:lang w:val="en-US" w:eastAsia="zh-CN"/>
        </w:rPr>
        <w:t>13.58</w:t>
      </w:r>
      <w:r>
        <w:rPr>
          <w:rFonts w:hint="eastAsia" w:ascii="仿宋_GB2312" w:eastAsia="仿宋_GB2312"/>
          <w:sz w:val="28"/>
          <w:szCs w:val="28"/>
        </w:rPr>
        <w:t>%。主要原因：</w:t>
      </w:r>
      <w:r>
        <w:rPr>
          <w:rFonts w:hint="eastAsia" w:ascii="仿宋_GB2312" w:eastAsia="仿宋_GB2312"/>
          <w:sz w:val="28"/>
          <w:szCs w:val="28"/>
          <w:lang w:eastAsia="zh-CN"/>
        </w:rPr>
        <w:t>年初结转和结余</w:t>
      </w:r>
      <w:r>
        <w:rPr>
          <w:rFonts w:hint="eastAsia" w:ascii="仿宋_GB2312" w:eastAsia="仿宋_GB2312"/>
          <w:sz w:val="28"/>
          <w:szCs w:val="28"/>
          <w:lang w:val="en-US" w:eastAsia="zh-CN"/>
        </w:rPr>
        <w:t>2043.57万元</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9402.24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（减少</w:t>
      </w:r>
      <w:r>
        <w:rPr>
          <w:rFonts w:ascii="仿宋_GB2312" w:eastAsia="仿宋_GB2312"/>
          <w:sz w:val="28"/>
          <w:szCs w:val="28"/>
        </w:rPr>
        <w:t>）</w:t>
      </w:r>
      <w:r>
        <w:rPr>
          <w:rFonts w:hint="eastAsia" w:ascii="仿宋_GB2312" w:eastAsia="仿宋_GB2312"/>
          <w:sz w:val="28"/>
          <w:szCs w:val="28"/>
          <w:lang w:val="en-US" w:eastAsia="zh-CN"/>
        </w:rPr>
        <w:t>929.36</w:t>
      </w:r>
      <w:r>
        <w:rPr>
          <w:rFonts w:hint="eastAsia" w:ascii="仿宋_GB2312" w:eastAsia="仿宋_GB2312"/>
          <w:sz w:val="28"/>
          <w:szCs w:val="28"/>
        </w:rPr>
        <w:t>万元，增长</w:t>
      </w:r>
      <w:r>
        <w:rPr>
          <w:rFonts w:hint="eastAsia" w:ascii="仿宋_GB2312" w:eastAsia="仿宋_GB2312"/>
          <w:sz w:val="28"/>
          <w:szCs w:val="28"/>
          <w:lang w:val="en-US" w:eastAsia="zh-CN"/>
        </w:rPr>
        <w:t>10.97</w:t>
      </w:r>
      <w:r>
        <w:rPr>
          <w:rFonts w:hint="eastAsia" w:ascii="仿宋_GB2312" w:eastAsia="仿宋_GB2312"/>
          <w:sz w:val="28"/>
          <w:szCs w:val="28"/>
        </w:rPr>
        <w:t>%。主要原因：基本公共卫生支出、防护用品材料费等支出。</w:t>
      </w:r>
      <w:r>
        <w:rPr>
          <w:rFonts w:hint="eastAsia" w:ascii="仿宋_GB2312" w:eastAsia="仿宋_GB2312"/>
          <w:sz w:val="28"/>
          <w:szCs w:val="28"/>
          <w:lang w:eastAsia="zh-CN"/>
        </w:rPr>
        <w:t>一般公共预算财政拨款收入增加</w:t>
      </w:r>
      <w:r>
        <w:rPr>
          <w:rFonts w:hint="eastAsia" w:ascii="仿宋_GB2312" w:eastAsia="仿宋_GB2312"/>
          <w:sz w:val="28"/>
          <w:szCs w:val="28"/>
          <w:lang w:val="en-US" w:eastAsia="zh-CN"/>
        </w:rPr>
        <w:t>11.18万元、事业收入增加1019.21万元，</w:t>
      </w:r>
      <w:r>
        <w:rPr>
          <w:rFonts w:hint="eastAsia" w:ascii="仿宋_GB2312" w:eastAsia="仿宋_GB2312"/>
          <w:sz w:val="28"/>
          <w:szCs w:val="28"/>
        </w:rPr>
        <w:t>其中：</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w:t>
      </w:r>
      <w:r>
        <w:rPr>
          <w:rFonts w:hint="eastAsia" w:ascii="仿宋_GB2312" w:eastAsia="仿宋_GB2312"/>
          <w:sz w:val="28"/>
          <w:szCs w:val="28"/>
          <w:lang w:val="en-US" w:eastAsia="zh-CN"/>
        </w:rPr>
        <w:t>3842.49</w:t>
      </w:r>
      <w:r>
        <w:rPr>
          <w:rFonts w:hint="eastAsia" w:ascii="仿宋_GB2312" w:eastAsia="仿宋_GB2312"/>
          <w:sz w:val="28"/>
          <w:szCs w:val="28"/>
        </w:rPr>
        <w:t>万元，占收入合计的</w:t>
      </w:r>
      <w:r>
        <w:rPr>
          <w:rFonts w:hint="eastAsia" w:ascii="仿宋_GB2312" w:eastAsia="仿宋_GB2312"/>
          <w:sz w:val="28"/>
          <w:szCs w:val="28"/>
          <w:lang w:val="en-US" w:eastAsia="zh-CN"/>
        </w:rPr>
        <w:t>40.87</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3842.49</w:t>
      </w:r>
      <w:r>
        <w:rPr>
          <w:rFonts w:hint="eastAsia" w:ascii="仿宋_GB2312" w:eastAsia="仿宋_GB2312"/>
          <w:sz w:val="28"/>
          <w:szCs w:val="28"/>
        </w:rPr>
        <w:t>万元，占收入合计的</w:t>
      </w:r>
      <w:r>
        <w:rPr>
          <w:rFonts w:hint="eastAsia" w:ascii="仿宋_GB2312" w:eastAsia="仿宋_GB2312"/>
          <w:sz w:val="28"/>
          <w:szCs w:val="28"/>
          <w:lang w:val="en-US" w:eastAsia="zh-CN"/>
        </w:rPr>
        <w:t>40.87</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w:t>
      </w:r>
      <w:r>
        <w:rPr>
          <w:rFonts w:hint="eastAsia" w:ascii="仿宋_GB2312" w:eastAsia="仿宋_GB2312"/>
          <w:sz w:val="28"/>
          <w:szCs w:val="28"/>
          <w:lang w:val="en-US" w:eastAsia="zh-CN"/>
        </w:rPr>
        <w:t>5487.18</w:t>
      </w:r>
      <w:r>
        <w:rPr>
          <w:rFonts w:hint="eastAsia" w:ascii="仿宋_GB2312" w:eastAsia="仿宋_GB2312"/>
          <w:sz w:val="28"/>
          <w:szCs w:val="28"/>
        </w:rPr>
        <w:t>万元，占收入合计的</w:t>
      </w:r>
      <w:r>
        <w:rPr>
          <w:rFonts w:hint="eastAsia" w:ascii="仿宋_GB2312" w:eastAsia="仿宋_GB2312"/>
          <w:sz w:val="28"/>
          <w:szCs w:val="28"/>
          <w:lang w:val="en-US" w:eastAsia="zh-CN"/>
        </w:rPr>
        <w:t>58.36</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w:t>
      </w:r>
      <w:r>
        <w:rPr>
          <w:rFonts w:hint="eastAsia" w:ascii="仿宋_GB2312" w:eastAsia="仿宋_GB2312"/>
          <w:sz w:val="28"/>
          <w:szCs w:val="28"/>
          <w:lang w:val="en-US" w:eastAsia="zh-CN"/>
        </w:rPr>
        <w:t>72.58</w:t>
      </w:r>
      <w:r>
        <w:rPr>
          <w:rFonts w:hint="eastAsia" w:ascii="仿宋_GB2312" w:eastAsia="仿宋_GB2312"/>
          <w:sz w:val="28"/>
          <w:szCs w:val="28"/>
        </w:rPr>
        <w:t>万元，占收入合计的</w:t>
      </w:r>
      <w:r>
        <w:rPr>
          <w:rFonts w:hint="eastAsia" w:ascii="仿宋_GB2312" w:eastAsia="仿宋_GB2312"/>
          <w:sz w:val="28"/>
          <w:szCs w:val="28"/>
          <w:lang w:val="en-US" w:eastAsia="zh-CN"/>
        </w:rPr>
        <w:t>0.77</w:t>
      </w:r>
      <w:r>
        <w:rPr>
          <w:rFonts w:hint="eastAsia" w:ascii="仿宋_GB2312" w:eastAsia="仿宋_GB2312"/>
          <w:sz w:val="28"/>
          <w:szCs w:val="28"/>
        </w:rPr>
        <w:t>%。</w:t>
      </w:r>
    </w:p>
    <w:p>
      <w:pPr>
        <w:pStyle w:val="3"/>
        <w:ind w:firstLine="0"/>
        <w:jc w:val="center"/>
      </w:pPr>
      <w:r>
        <w:rPr>
          <w:rFonts w:hint="eastAsia" w:ascii="仿宋_GB2312" w:eastAsia="仿宋_GB2312"/>
          <w:color w:val="000000"/>
          <w:sz w:val="32"/>
          <w:szCs w:val="32"/>
          <w:highlight w:val="none"/>
          <w:lang w:val="en-US" w:eastAsia="zh-CN"/>
        </w:rPr>
        <w:t>图1：收入决算</w:t>
      </w:r>
    </w:p>
    <w:p>
      <w:pPr>
        <w:pStyle w:val="3"/>
        <w:ind w:firstLine="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drawing>
          <wp:inline distT="0" distB="0" distL="114300" distR="114300">
            <wp:extent cx="5565140" cy="4434840"/>
            <wp:effectExtent l="5080" t="4445" r="11430" b="18415"/>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2024年度本年支出合计</w:t>
      </w:r>
      <w:r>
        <w:rPr>
          <w:rFonts w:hint="eastAsia" w:ascii="仿宋_GB2312" w:eastAsia="仿宋_GB2312"/>
          <w:sz w:val="28"/>
          <w:szCs w:val="28"/>
          <w:lang w:val="en-US" w:eastAsia="zh-CN"/>
        </w:rPr>
        <w:t>8813.92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558.15</w:t>
      </w:r>
      <w:r>
        <w:rPr>
          <w:rFonts w:hint="eastAsia" w:ascii="仿宋_GB2312" w:eastAsia="仿宋_GB2312"/>
          <w:sz w:val="28"/>
          <w:szCs w:val="28"/>
        </w:rPr>
        <w:t>万元，增长</w:t>
      </w:r>
      <w:r>
        <w:rPr>
          <w:rFonts w:hint="eastAsia" w:ascii="仿宋_GB2312" w:eastAsia="仿宋_GB2312"/>
          <w:sz w:val="28"/>
          <w:szCs w:val="28"/>
          <w:lang w:val="en-US" w:eastAsia="zh-CN"/>
        </w:rPr>
        <w:t>6.76</w:t>
      </w:r>
      <w:r>
        <w:rPr>
          <w:rFonts w:hint="eastAsia" w:ascii="仿宋_GB2312" w:eastAsia="仿宋_GB2312"/>
          <w:sz w:val="28"/>
          <w:szCs w:val="28"/>
        </w:rPr>
        <w:t xml:space="preserve">%。主要原因：基本公共卫生支出、防护用品材料费等支出。 </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6595.81</w:t>
      </w:r>
      <w:r>
        <w:rPr>
          <w:rFonts w:hint="eastAsia" w:ascii="仿宋_GB2312" w:eastAsia="仿宋_GB2312"/>
          <w:sz w:val="28"/>
          <w:szCs w:val="28"/>
        </w:rPr>
        <w:t>万元，占支出合计的</w:t>
      </w:r>
      <w:r>
        <w:rPr>
          <w:rFonts w:hint="eastAsia" w:ascii="仿宋_GB2312" w:eastAsia="仿宋_GB2312"/>
          <w:sz w:val="28"/>
          <w:szCs w:val="28"/>
          <w:lang w:val="en-US" w:eastAsia="zh-CN"/>
        </w:rPr>
        <w:t>74.83</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2218.11</w:t>
      </w:r>
      <w:r>
        <w:rPr>
          <w:rFonts w:hint="eastAsia" w:ascii="仿宋_GB2312" w:eastAsia="仿宋_GB2312"/>
          <w:sz w:val="28"/>
          <w:szCs w:val="28"/>
        </w:rPr>
        <w:t>万元，占支出合计的</w:t>
      </w:r>
      <w:r>
        <w:rPr>
          <w:rFonts w:hint="eastAsia" w:ascii="仿宋_GB2312" w:eastAsia="仿宋_GB2312"/>
          <w:sz w:val="28"/>
          <w:szCs w:val="28"/>
          <w:lang w:val="en-US" w:eastAsia="zh-CN"/>
        </w:rPr>
        <w:t>25.17</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3.上缴上级支出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5.对附属单位补助支出</w:t>
      </w:r>
      <w:r>
        <w:rPr>
          <w:rFonts w:hint="eastAsia" w:ascii="仿宋_GB2312" w:eastAsia="仿宋_GB2312"/>
          <w:sz w:val="28"/>
          <w:szCs w:val="28"/>
          <w:lang w:val="en-US" w:eastAsia="zh-CN"/>
        </w:rPr>
        <w:t>0</w:t>
      </w:r>
      <w:r>
        <w:rPr>
          <w:rFonts w:hint="eastAsia" w:ascii="仿宋_GB2312" w:eastAsia="仿宋_GB2312"/>
          <w:sz w:val="28"/>
          <w:szCs w:val="28"/>
        </w:rPr>
        <w:t>万元，占支出合计的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lang w:eastAsia="zh-CN"/>
        </w:rPr>
      </w:pPr>
      <w:r>
        <w:drawing>
          <wp:inline distT="0" distB="0" distL="114300" distR="114300">
            <wp:extent cx="5076190" cy="3237865"/>
            <wp:effectExtent l="4445" t="4445" r="5715" b="1524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四</w:t>
      </w:r>
      <w:r>
        <w:rPr>
          <w:rFonts w:ascii="黑体" w:eastAsia="黑体"/>
          <w:sz w:val="28"/>
          <w:szCs w:val="28"/>
        </w:rPr>
        <w:t>、财政拨款</w:t>
      </w:r>
      <w:r>
        <w:rPr>
          <w:rFonts w:hint="eastAsia" w:ascii="黑体" w:eastAsia="黑体"/>
          <w:sz w:val="28"/>
          <w:szCs w:val="28"/>
        </w:rPr>
        <w:t>收入支出决算</w:t>
      </w:r>
      <w:r>
        <w:rPr>
          <w:rFonts w:ascii="黑体" w:eastAsia="黑体"/>
          <w:sz w:val="28"/>
          <w:szCs w:val="28"/>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2024年度财政拨款收入</w:t>
      </w:r>
      <w:r>
        <w:rPr>
          <w:rFonts w:hint="eastAsia" w:ascii="仿宋_GB2312" w:eastAsia="仿宋_GB2312"/>
          <w:sz w:val="28"/>
          <w:szCs w:val="28"/>
          <w:highlight w:val="none"/>
        </w:rPr>
        <w:t>总计</w:t>
      </w:r>
      <w:r>
        <w:rPr>
          <w:rFonts w:hint="eastAsia" w:ascii="仿宋_GB2312" w:eastAsia="仿宋_GB2312"/>
          <w:sz w:val="28"/>
          <w:szCs w:val="28"/>
          <w:highlight w:val="none"/>
          <w:lang w:val="en-US" w:eastAsia="zh-CN"/>
        </w:rPr>
        <w:t>4064.47</w:t>
      </w:r>
      <w:r>
        <w:rPr>
          <w:rFonts w:hint="eastAsia" w:ascii="仿宋_GB2312" w:eastAsia="仿宋_GB2312"/>
          <w:sz w:val="28"/>
          <w:szCs w:val="28"/>
          <w:highlight w:val="none"/>
        </w:rPr>
        <w:t>万元，比上年</w:t>
      </w:r>
      <w:r>
        <w:rPr>
          <w:rFonts w:ascii="仿宋_GB2312" w:eastAsia="仿宋_GB2312"/>
          <w:sz w:val="28"/>
          <w:szCs w:val="28"/>
          <w:highlight w:val="none"/>
        </w:rPr>
        <w:t>增加</w:t>
      </w:r>
      <w:r>
        <w:rPr>
          <w:rFonts w:hint="eastAsia" w:ascii="仿宋_GB2312" w:eastAsia="仿宋_GB2312"/>
          <w:sz w:val="28"/>
          <w:szCs w:val="28"/>
          <w:highlight w:val="none"/>
          <w:lang w:val="en-US" w:eastAsia="zh-CN"/>
        </w:rPr>
        <w:t>233.16</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6.07</w:t>
      </w:r>
      <w:r>
        <w:rPr>
          <w:rFonts w:hint="eastAsia" w:ascii="仿宋_GB2312" w:eastAsia="仿宋_GB2312"/>
          <w:sz w:val="28"/>
          <w:szCs w:val="28"/>
          <w:highlight w:val="none"/>
        </w:rPr>
        <w:t xml:space="preserve">%。主要原因：基本公共卫生支出、材料费等支出。 </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2024年度财政拨款收入总计</w:t>
      </w:r>
      <w:r>
        <w:rPr>
          <w:rFonts w:hint="eastAsia" w:ascii="仿宋_GB2312" w:eastAsia="仿宋_GB2312"/>
          <w:sz w:val="28"/>
          <w:szCs w:val="28"/>
          <w:highlight w:val="none"/>
          <w:lang w:val="en-US" w:eastAsia="zh-CN"/>
        </w:rPr>
        <w:t>4064.47</w:t>
      </w:r>
      <w:r>
        <w:rPr>
          <w:rFonts w:hint="eastAsia" w:ascii="仿宋_GB2312" w:eastAsia="仿宋_GB2312"/>
          <w:sz w:val="28"/>
          <w:szCs w:val="28"/>
          <w:highlight w:val="none"/>
        </w:rPr>
        <w:t>万元，比上年</w:t>
      </w:r>
      <w:r>
        <w:rPr>
          <w:rFonts w:ascii="仿宋_GB2312" w:eastAsia="仿宋_GB2312"/>
          <w:sz w:val="28"/>
          <w:szCs w:val="28"/>
          <w:highlight w:val="none"/>
        </w:rPr>
        <w:t>增加</w:t>
      </w:r>
      <w:r>
        <w:rPr>
          <w:rFonts w:hint="eastAsia" w:ascii="仿宋_GB2312" w:eastAsia="仿宋_GB2312"/>
          <w:sz w:val="28"/>
          <w:szCs w:val="28"/>
          <w:highlight w:val="none"/>
          <w:lang w:val="en-US" w:eastAsia="zh-CN"/>
        </w:rPr>
        <w:t>233.16</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6.07</w:t>
      </w:r>
      <w:r>
        <w:rPr>
          <w:rFonts w:hint="eastAsia" w:ascii="仿宋_GB2312" w:eastAsia="仿宋_GB2312"/>
          <w:sz w:val="28"/>
          <w:szCs w:val="28"/>
          <w:highlight w:val="none"/>
        </w:rPr>
        <w:t xml:space="preserve">%。主要原因：基本公共卫生支出、材料费等支出。 </w:t>
      </w:r>
    </w:p>
    <w:p>
      <w:pPr>
        <w:tabs>
          <w:tab w:val="center" w:pos="6979"/>
        </w:tabs>
        <w:spacing w:line="580" w:lineRule="exact"/>
        <w:ind w:firstLine="548" w:firstLineChars="196"/>
        <w:rPr>
          <w:rFonts w:hint="eastAsia" w:ascii="黑体" w:eastAsia="黑体"/>
          <w:sz w:val="28"/>
          <w:szCs w:val="28"/>
          <w:highlight w:val="none"/>
        </w:rPr>
      </w:pPr>
      <w:r>
        <w:rPr>
          <w:rFonts w:hint="eastAsia" w:ascii="黑体" w:eastAsia="黑体"/>
          <w:sz w:val="28"/>
          <w:szCs w:val="28"/>
          <w:highlight w:val="none"/>
        </w:rPr>
        <w:t>五、一般公共预算财政拨款支出决算情况说明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（一）一般公共预算财政拨款支出决算总体情况</w:t>
      </w:r>
    </w:p>
    <w:p>
      <w:pPr>
        <w:tabs>
          <w:tab w:val="center" w:pos="6979"/>
        </w:tabs>
        <w:spacing w:line="580" w:lineRule="exact"/>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rPr>
        <w:t>2024年度一般公共预算财政拨款支出</w:t>
      </w:r>
      <w:r>
        <w:rPr>
          <w:rFonts w:hint="eastAsia" w:ascii="仿宋_GB2312" w:eastAsia="仿宋_GB2312"/>
          <w:sz w:val="28"/>
          <w:szCs w:val="28"/>
          <w:highlight w:val="none"/>
          <w:lang w:val="en-US" w:eastAsia="zh-CN"/>
        </w:rPr>
        <w:t>4064.47</w:t>
      </w:r>
      <w:r>
        <w:rPr>
          <w:rFonts w:hint="eastAsia" w:ascii="仿宋_GB2312" w:eastAsia="仿宋_GB2312"/>
          <w:sz w:val="28"/>
          <w:szCs w:val="28"/>
          <w:highlight w:val="none"/>
        </w:rPr>
        <w:t>万元，主要用于以下方面（按大类）：社会保障就业支出</w:t>
      </w:r>
      <w:r>
        <w:rPr>
          <w:rFonts w:hint="eastAsia" w:ascii="仿宋_GB2312" w:eastAsia="仿宋_GB2312"/>
          <w:sz w:val="28"/>
          <w:szCs w:val="28"/>
          <w:highlight w:val="none"/>
          <w:lang w:val="en-US" w:eastAsia="zh-CN"/>
        </w:rPr>
        <w:t>350.36</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8.62</w:t>
      </w:r>
      <w:r>
        <w:rPr>
          <w:rFonts w:hint="eastAsia" w:ascii="仿宋_GB2312" w:eastAsia="仿宋_GB2312"/>
          <w:sz w:val="28"/>
          <w:szCs w:val="28"/>
          <w:highlight w:val="none"/>
        </w:rPr>
        <w:t>%；卫生健康支出</w:t>
      </w:r>
      <w:r>
        <w:rPr>
          <w:rFonts w:hint="eastAsia" w:ascii="仿宋_GB2312" w:eastAsia="仿宋_GB2312"/>
          <w:sz w:val="28"/>
          <w:szCs w:val="28"/>
          <w:highlight w:val="none"/>
          <w:lang w:val="en-US" w:eastAsia="zh-CN"/>
        </w:rPr>
        <w:t>3424.89</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84.26</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；住房保障支出</w:t>
      </w:r>
      <w:r>
        <w:rPr>
          <w:rFonts w:hint="eastAsia" w:ascii="仿宋_GB2312" w:eastAsia="仿宋_GB2312"/>
          <w:sz w:val="28"/>
          <w:szCs w:val="28"/>
          <w:highlight w:val="none"/>
          <w:lang w:val="en-US" w:eastAsia="zh-CN"/>
        </w:rPr>
        <w:t>289.21万元，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7.12%。</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1.“社会保障和就业支出”202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350.36</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val="en-US" w:eastAsia="zh-CN"/>
        </w:rPr>
        <w:t>减少24.13</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减幅6.44</w:t>
      </w:r>
      <w:r>
        <w:rPr>
          <w:rFonts w:hint="eastAsia" w:ascii="仿宋_GB2312" w:eastAsia="仿宋_GB2312"/>
          <w:sz w:val="28"/>
          <w:szCs w:val="28"/>
          <w:highlight w:val="none"/>
        </w:rPr>
        <w:t>%，</w:t>
      </w:r>
    </w:p>
    <w:p>
      <w:pPr>
        <w:autoSpaceDE w:val="0"/>
        <w:autoSpaceDN w:val="0"/>
        <w:adjustRightInd w:val="0"/>
        <w:spacing w:line="580" w:lineRule="exact"/>
        <w:jc w:val="left"/>
        <w:rPr>
          <w:rFonts w:hint="eastAsia" w:ascii="仿宋_GB2312" w:eastAsia="仿宋_GB2312"/>
          <w:sz w:val="28"/>
          <w:szCs w:val="28"/>
          <w:highlight w:val="none"/>
        </w:rPr>
      </w:pPr>
      <w:r>
        <w:rPr>
          <w:rFonts w:hint="eastAsia" w:ascii="仿宋_GB2312" w:eastAsia="仿宋_GB2312"/>
          <w:sz w:val="28"/>
          <w:szCs w:val="28"/>
          <w:highlight w:val="none"/>
        </w:rPr>
        <w:t>其中：</w:t>
      </w:r>
    </w:p>
    <w:p>
      <w:pPr>
        <w:autoSpaceDE w:val="0"/>
        <w:autoSpaceDN w:val="0"/>
        <w:adjustRightInd w:val="0"/>
        <w:spacing w:line="580" w:lineRule="exact"/>
        <w:ind w:firstLine="560" w:firstLineChars="200"/>
        <w:jc w:val="left"/>
        <w:rPr>
          <w:rFonts w:hint="eastAsia" w:ascii="仿宋_GB2312" w:eastAsia="仿宋_GB2312"/>
          <w:sz w:val="28"/>
          <w:szCs w:val="28"/>
          <w:highlight w:val="none"/>
          <w:lang w:val="en-US" w:eastAsia="zh-CN"/>
        </w:rPr>
      </w:pPr>
      <w:r>
        <w:rPr>
          <w:rFonts w:hint="eastAsia" w:ascii="仿宋_GB2312" w:eastAsia="仿宋_GB2312"/>
          <w:sz w:val="28"/>
          <w:szCs w:val="28"/>
          <w:highlight w:val="none"/>
        </w:rPr>
        <w:t>行政事业单位养老支出</w:t>
      </w:r>
      <w:r>
        <w:rPr>
          <w:rFonts w:hint="eastAsia" w:ascii="仿宋_GB2312" w:eastAsia="仿宋_GB2312"/>
          <w:sz w:val="28"/>
          <w:szCs w:val="28"/>
          <w:highlight w:val="none"/>
          <w:lang w:val="en-US" w:eastAsia="zh-CN"/>
        </w:rPr>
        <w:t>350.36万元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val="en-US" w:eastAsia="zh-CN"/>
        </w:rPr>
        <w:t>减少24.13</w:t>
      </w:r>
      <w:r>
        <w:rPr>
          <w:rFonts w:hint="eastAsia" w:ascii="仿宋_GB2312" w:eastAsia="仿宋_GB2312"/>
          <w:sz w:val="28"/>
          <w:szCs w:val="28"/>
          <w:highlight w:val="none"/>
        </w:rPr>
        <w:t>万元，</w:t>
      </w:r>
      <w:r>
        <w:rPr>
          <w:rFonts w:hint="eastAsia" w:ascii="仿宋_GB2312" w:eastAsia="仿宋_GB2312"/>
          <w:sz w:val="28"/>
          <w:szCs w:val="28"/>
          <w:highlight w:val="none"/>
          <w:lang w:val="en-US" w:eastAsia="zh-CN"/>
        </w:rPr>
        <w:t>减幅6.44</w:t>
      </w:r>
      <w:r>
        <w:rPr>
          <w:rFonts w:hint="eastAsia" w:ascii="仿宋_GB2312" w:eastAsia="仿宋_GB2312"/>
          <w:sz w:val="28"/>
          <w:szCs w:val="28"/>
          <w:highlight w:val="none"/>
        </w:rPr>
        <w:t>%，主要原因是：</w:t>
      </w:r>
      <w:r>
        <w:rPr>
          <w:rFonts w:hint="eastAsia" w:ascii="仿宋_GB2312" w:eastAsia="仿宋_GB2312"/>
          <w:sz w:val="28"/>
          <w:szCs w:val="28"/>
          <w:highlight w:val="none"/>
          <w:lang w:val="en-US" w:eastAsia="zh-CN"/>
        </w:rPr>
        <w:t>编内职工人员调出。</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2.“卫生健康支出”202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3424.89</w:t>
      </w:r>
      <w:r>
        <w:rPr>
          <w:rFonts w:hint="eastAsia" w:ascii="仿宋_GB2312" w:eastAsia="仿宋_GB2312"/>
          <w:sz w:val="28"/>
          <w:szCs w:val="28"/>
          <w:highlight w:val="none"/>
        </w:rPr>
        <w:t>万元，</w:t>
      </w:r>
      <w:r>
        <w:rPr>
          <w:rFonts w:hint="eastAsia" w:ascii="仿宋_GB2312" w:eastAsia="仿宋_GB2312"/>
          <w:sz w:val="28"/>
          <w:szCs w:val="28"/>
          <w:highlight w:val="none"/>
        </w:rPr>
        <w:t>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增加</w:t>
      </w:r>
      <w:r>
        <w:rPr>
          <w:rFonts w:hint="eastAsia" w:ascii="仿宋_GB2312" w:eastAsia="仿宋_GB2312"/>
          <w:color w:val="000000"/>
          <w:sz w:val="28"/>
          <w:szCs w:val="28"/>
          <w:highlight w:val="none"/>
          <w:lang w:val="en-US" w:eastAsia="zh-CN"/>
        </w:rPr>
        <w:t>140.05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4.26</w:t>
      </w:r>
      <w:r>
        <w:rPr>
          <w:rFonts w:hint="eastAsia" w:ascii="仿宋_GB2312" w:eastAsia="仿宋_GB2312"/>
          <w:sz w:val="28"/>
          <w:szCs w:val="28"/>
          <w:highlight w:val="none"/>
        </w:rPr>
        <w:t>%。其中:</w:t>
      </w:r>
    </w:p>
    <w:p>
      <w:pPr>
        <w:ind w:firstLine="560" w:firstLineChars="200"/>
        <w:rPr>
          <w:rFonts w:hint="eastAsia" w:ascii="仿宋_GB2312" w:eastAsia="仿宋_GB2312" w:cs="Times New Roman"/>
          <w:sz w:val="28"/>
          <w:szCs w:val="28"/>
          <w:highlight w:val="none"/>
          <w:lang w:val="en-US" w:eastAsia="zh-CN"/>
        </w:rPr>
      </w:pPr>
      <w:r>
        <w:rPr>
          <w:rFonts w:ascii="仿宋_GB2312" w:eastAsia="仿宋_GB2312"/>
          <w:sz w:val="28"/>
          <w:szCs w:val="28"/>
          <w:highlight w:val="none"/>
        </w:rPr>
        <w:t>“</w:t>
      </w:r>
      <w:r>
        <w:rPr>
          <w:rFonts w:hint="eastAsia" w:ascii="仿宋_GB2312" w:eastAsia="仿宋_GB2312"/>
          <w:sz w:val="28"/>
          <w:szCs w:val="28"/>
          <w:highlight w:val="none"/>
        </w:rPr>
        <w:t>基层医疗卫生机构支出</w:t>
      </w:r>
      <w:r>
        <w:rPr>
          <w:rFonts w:ascii="仿宋_GB2312" w:eastAsia="仿宋_GB2312"/>
          <w:sz w:val="28"/>
          <w:szCs w:val="28"/>
          <w:highlight w:val="none"/>
        </w:rPr>
        <w:t>”</w:t>
      </w:r>
      <w:r>
        <w:rPr>
          <w:rFonts w:hint="eastAsia" w:ascii="仿宋_GB2312" w:eastAsia="仿宋_GB2312"/>
          <w:sz w:val="28"/>
          <w:szCs w:val="28"/>
          <w:highlight w:val="none"/>
          <w:lang w:val="en-US" w:eastAsia="zh-CN"/>
        </w:rPr>
        <w:t>1619.27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年年初预算增加</w:t>
      </w:r>
      <w:r>
        <w:rPr>
          <w:rFonts w:hint="eastAsia" w:ascii="仿宋_GB2312" w:eastAsia="仿宋_GB2312"/>
          <w:sz w:val="28"/>
          <w:szCs w:val="28"/>
          <w:highlight w:val="none"/>
          <w:lang w:val="en-US" w:eastAsia="zh-CN"/>
        </w:rPr>
        <w:t>183.98</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12.82</w:t>
      </w:r>
      <w:r>
        <w:rPr>
          <w:rFonts w:hint="eastAsia" w:ascii="仿宋_GB2312" w:eastAsia="仿宋_GB2312"/>
          <w:sz w:val="28"/>
          <w:szCs w:val="28"/>
          <w:highlight w:val="none"/>
        </w:rPr>
        <w:t>%，主要原因：专项支出部分有</w:t>
      </w:r>
      <w:r>
        <w:rPr>
          <w:rFonts w:hint="eastAsia" w:ascii="仿宋_GB2312" w:eastAsia="仿宋_GB2312"/>
          <w:sz w:val="28"/>
          <w:szCs w:val="28"/>
          <w:highlight w:val="none"/>
          <w:lang w:eastAsia="zh-CN"/>
        </w:rPr>
        <w:t>基层人才能力提升</w:t>
      </w:r>
      <w:r>
        <w:rPr>
          <w:rFonts w:hint="eastAsia" w:ascii="仿宋_GB2312" w:eastAsia="仿宋_GB2312"/>
          <w:sz w:val="28"/>
          <w:szCs w:val="28"/>
          <w:highlight w:val="none"/>
        </w:rPr>
        <w:t>培训经费</w:t>
      </w:r>
      <w:r>
        <w:rPr>
          <w:rFonts w:hint="eastAsia" w:ascii="仿宋_GB2312" w:eastAsia="仿宋_GB2312"/>
          <w:sz w:val="28"/>
          <w:szCs w:val="28"/>
          <w:highlight w:val="none"/>
          <w:lang w:val="en-US" w:eastAsia="zh-CN"/>
        </w:rPr>
        <w:t>0.36</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住培经费</w:t>
      </w:r>
      <w:r>
        <w:rPr>
          <w:rFonts w:hint="eastAsia" w:ascii="仿宋_GB2312" w:eastAsia="仿宋_GB2312"/>
          <w:sz w:val="28"/>
          <w:szCs w:val="28"/>
          <w:highlight w:val="none"/>
          <w:lang w:val="en-US" w:eastAsia="zh-CN"/>
        </w:rPr>
        <w:t>1.1万元、住院医师就业单位补助经费3万元、</w:t>
      </w:r>
      <w:r>
        <w:rPr>
          <w:rFonts w:hint="eastAsia" w:ascii="仿宋_GB2312" w:eastAsia="仿宋_GB2312"/>
          <w:sz w:val="28"/>
          <w:szCs w:val="28"/>
          <w:highlight w:val="none"/>
        </w:rPr>
        <w:t>孕产期心理保健工作经费</w:t>
      </w:r>
      <w:r>
        <w:rPr>
          <w:rFonts w:hint="eastAsia" w:ascii="仿宋_GB2312" w:eastAsia="仿宋_GB2312"/>
          <w:sz w:val="28"/>
          <w:szCs w:val="28"/>
          <w:highlight w:val="none"/>
          <w:lang w:val="en-US" w:eastAsia="zh-CN"/>
        </w:rPr>
        <w:t>0.08</w:t>
      </w:r>
      <w:r>
        <w:rPr>
          <w:rFonts w:hint="eastAsia" w:ascii="仿宋_GB2312" w:eastAsia="仿宋_GB2312"/>
          <w:sz w:val="28"/>
          <w:szCs w:val="28"/>
          <w:highlight w:val="none"/>
        </w:rPr>
        <w:t>万元、窝沟封闭经费</w:t>
      </w:r>
      <w:r>
        <w:rPr>
          <w:rFonts w:hint="eastAsia" w:ascii="仿宋_GB2312" w:eastAsia="仿宋_GB2312"/>
          <w:sz w:val="28"/>
          <w:szCs w:val="28"/>
          <w:highlight w:val="none"/>
          <w:lang w:val="en-US" w:eastAsia="zh-CN"/>
        </w:rPr>
        <w:t>0.33</w:t>
      </w:r>
      <w:r>
        <w:rPr>
          <w:rFonts w:hint="eastAsia" w:ascii="仿宋_GB2312" w:eastAsia="仿宋_GB2312"/>
          <w:sz w:val="28"/>
          <w:szCs w:val="28"/>
          <w:highlight w:val="none"/>
        </w:rPr>
        <w:t>元、氟化泡沫经费</w:t>
      </w:r>
      <w:r>
        <w:rPr>
          <w:rFonts w:hint="eastAsia" w:ascii="仿宋_GB2312" w:eastAsia="仿宋_GB2312"/>
          <w:sz w:val="28"/>
          <w:szCs w:val="28"/>
          <w:highlight w:val="none"/>
          <w:lang w:val="en-US" w:eastAsia="zh-CN"/>
        </w:rPr>
        <w:t>1.08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0-6岁儿童残筛项目经费0.18万元、2024年卫生院物业管理-保洁外包服务60万元、集中采购结余留用款65.44万元等、</w:t>
      </w:r>
      <w:r>
        <w:rPr>
          <w:rFonts w:hint="eastAsia" w:ascii="仿宋_GB2312" w:hAnsi="Times New Roman" w:eastAsia="仿宋_GB2312" w:cs="Times New Roman"/>
          <w:sz w:val="28"/>
          <w:szCs w:val="28"/>
          <w:highlight w:val="none"/>
          <w:lang w:val="en-US" w:eastAsia="zh-CN"/>
        </w:rPr>
        <w:t>以上</w:t>
      </w:r>
      <w:r>
        <w:rPr>
          <w:rFonts w:hint="eastAsia" w:ascii="仿宋_GB2312" w:eastAsia="仿宋_GB2312" w:cs="Times New Roman"/>
          <w:sz w:val="28"/>
          <w:szCs w:val="28"/>
          <w:highlight w:val="none"/>
          <w:lang w:val="en-US" w:eastAsia="zh-CN"/>
        </w:rPr>
        <w:t>经费</w:t>
      </w:r>
      <w:r>
        <w:rPr>
          <w:rFonts w:hint="eastAsia" w:ascii="仿宋_GB2312" w:hAnsi="Times New Roman" w:eastAsia="仿宋_GB2312" w:cs="Times New Roman"/>
          <w:sz w:val="28"/>
          <w:szCs w:val="28"/>
          <w:highlight w:val="none"/>
          <w:lang w:val="en-US" w:eastAsia="zh-CN"/>
        </w:rPr>
        <w:t>均未计入202</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lang w:val="en-US" w:eastAsia="zh-CN"/>
        </w:rPr>
        <w:t>年年初预算内</w:t>
      </w:r>
      <w:r>
        <w:rPr>
          <w:rFonts w:hint="eastAsia" w:ascii="仿宋_GB2312" w:eastAsia="仿宋_GB2312" w:cs="Times New Roman"/>
          <w:sz w:val="28"/>
          <w:szCs w:val="28"/>
          <w:highlight w:val="none"/>
          <w:lang w:val="en-US" w:eastAsia="zh-CN"/>
        </w:rPr>
        <w:t>。</w:t>
      </w:r>
    </w:p>
    <w:p>
      <w:pPr>
        <w:ind w:firstLine="560" w:firstLineChars="200"/>
        <w:rPr>
          <w:rFonts w:hint="default" w:ascii="仿宋_GB2312" w:eastAsia="仿宋_GB2312" w:cs="Times New Roman"/>
          <w:sz w:val="28"/>
          <w:szCs w:val="28"/>
          <w:highlight w:val="none"/>
          <w:lang w:val="en-US" w:eastAsia="zh-CN"/>
        </w:rPr>
      </w:pPr>
    </w:p>
    <w:p>
      <w:pPr>
        <w:numPr>
          <w:ilvl w:val="0"/>
          <w:numId w:val="0"/>
        </w:numPr>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“公共卫生支出”</w:t>
      </w:r>
      <w:r>
        <w:rPr>
          <w:rFonts w:hint="eastAsia" w:ascii="仿宋_GB2312" w:eastAsia="仿宋_GB2312"/>
          <w:sz w:val="28"/>
          <w:szCs w:val="28"/>
          <w:highlight w:val="none"/>
          <w:lang w:val="en-US" w:eastAsia="zh-CN"/>
        </w:rPr>
        <w:t>1431.29</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年年初预算增加</w:t>
      </w:r>
      <w:r>
        <w:rPr>
          <w:rFonts w:hint="eastAsia" w:ascii="仿宋_GB2312" w:eastAsia="仿宋_GB2312"/>
          <w:color w:val="000000"/>
          <w:sz w:val="28"/>
          <w:szCs w:val="28"/>
          <w:highlight w:val="none"/>
          <w:lang w:val="en-US" w:eastAsia="zh-CN"/>
        </w:rPr>
        <w:t>213.42</w:t>
      </w:r>
      <w:r>
        <w:rPr>
          <w:rFonts w:hint="eastAsia" w:ascii="仿宋_GB2312" w:eastAsia="仿宋_GB2312"/>
          <w:color w:val="000000"/>
          <w:sz w:val="28"/>
          <w:szCs w:val="28"/>
          <w:highlight w:val="none"/>
        </w:rPr>
        <w:t>万元，</w:t>
      </w:r>
      <w:r>
        <w:rPr>
          <w:rFonts w:hint="eastAsia" w:ascii="仿宋_GB2312" w:eastAsia="仿宋_GB2312"/>
          <w:sz w:val="28"/>
          <w:szCs w:val="28"/>
          <w:highlight w:val="none"/>
        </w:rPr>
        <w:t>增长</w:t>
      </w:r>
      <w:r>
        <w:rPr>
          <w:rFonts w:hint="eastAsia" w:ascii="仿宋_GB2312" w:eastAsia="仿宋_GB2312"/>
          <w:sz w:val="28"/>
          <w:szCs w:val="28"/>
          <w:highlight w:val="none"/>
          <w:lang w:val="en-US" w:eastAsia="zh-CN"/>
        </w:rPr>
        <w:t>17.52</w:t>
      </w:r>
      <w:r>
        <w:rPr>
          <w:rFonts w:hint="eastAsia" w:ascii="仿宋_GB2312" w:eastAsia="仿宋_GB2312"/>
          <w:sz w:val="28"/>
          <w:szCs w:val="28"/>
          <w:highlight w:val="none"/>
        </w:rPr>
        <w:t>%，主要原因：卫生健康-2024年中央转移支付基本公共卫生服务补助资金（专项）</w:t>
      </w:r>
      <w:r>
        <w:rPr>
          <w:rFonts w:hint="eastAsia" w:ascii="仿宋_GB2312" w:eastAsia="仿宋_GB2312"/>
          <w:sz w:val="28"/>
          <w:szCs w:val="28"/>
          <w:highlight w:val="none"/>
          <w:lang w:val="en-US" w:eastAsia="zh-CN"/>
        </w:rPr>
        <w:t>6.98万元、卫生健康-中央转移支付基本公共卫生服务补助资金（专项）42.43万元、卫生健康-重大传染病防控经费（第二批）（专项）0.13万元、卫生健康-2024年院前急救保障经费（专项）83.83万元、卫生健康-过渡期前一线医务人员临时性工作补助（专项）1.4万元、卫生健康-市级基本公共卫生服务补助项目（专项）78.69万元、以上经费属于一体化专项拨付，均不在2024年预算范围内。</w:t>
      </w:r>
    </w:p>
    <w:p>
      <w:pPr>
        <w:numPr>
          <w:ilvl w:val="0"/>
          <w:numId w:val="0"/>
        </w:numPr>
        <w:ind w:firstLine="560" w:firstLineChars="20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4.中医药支出5.94万元，中医药支出为上级转移支付，不在2024年年初预算。</w:t>
      </w:r>
    </w:p>
    <w:p>
      <w:pPr>
        <w:rPr>
          <w:rFonts w:hint="eastAsia" w:ascii="仿宋_GB2312" w:eastAsia="仿宋_GB2312"/>
          <w:sz w:val="28"/>
          <w:szCs w:val="28"/>
          <w:highlight w:val="none"/>
          <w:lang w:val="en-US" w:eastAsia="zh-CN"/>
        </w:rPr>
      </w:pPr>
      <w:r>
        <w:rPr>
          <w:rFonts w:hint="eastAsia" w:ascii="仿宋_GB2312" w:eastAsia="仿宋_GB2312"/>
          <w:sz w:val="28"/>
          <w:szCs w:val="28"/>
          <w:highlight w:val="none"/>
        </w:rPr>
        <w:t xml:space="preserve">  </w:t>
      </w:r>
      <w:r>
        <w:rPr>
          <w:rFonts w:hint="eastAsia" w:ascii="仿宋_GB2312" w:eastAsia="仿宋_GB2312"/>
          <w:sz w:val="28"/>
          <w:szCs w:val="28"/>
          <w:highlight w:val="none"/>
          <w:lang w:val="en-US" w:eastAsia="zh-CN"/>
        </w:rPr>
        <w:t xml:space="preserve">  5.</w:t>
      </w:r>
      <w:r>
        <w:rPr>
          <w:rFonts w:hint="eastAsia" w:ascii="仿宋_GB2312" w:eastAsia="仿宋_GB2312"/>
          <w:sz w:val="28"/>
          <w:szCs w:val="28"/>
          <w:highlight w:val="none"/>
        </w:rPr>
        <w:t>“行政事业单位医疗支出”</w:t>
      </w:r>
      <w:r>
        <w:rPr>
          <w:rFonts w:hint="eastAsia" w:ascii="仿宋_GB2312" w:eastAsia="仿宋_GB2312"/>
          <w:sz w:val="28"/>
          <w:szCs w:val="28"/>
          <w:highlight w:val="none"/>
          <w:lang w:val="en-US" w:eastAsia="zh-CN"/>
        </w:rPr>
        <w:t>231.25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val="en-US" w:eastAsia="zh-CN"/>
        </w:rPr>
        <w:t>减少</w:t>
      </w:r>
      <w:r>
        <w:rPr>
          <w:rFonts w:hint="eastAsia" w:ascii="仿宋_GB2312" w:eastAsia="仿宋_GB2312" w:cs="Times New Roman"/>
          <w:sz w:val="28"/>
          <w:szCs w:val="28"/>
          <w:highlight w:val="none"/>
          <w:lang w:val="en-US" w:eastAsia="zh-CN"/>
        </w:rPr>
        <w:t>25.95</w:t>
      </w:r>
      <w:r>
        <w:rPr>
          <w:rFonts w:hint="eastAsia" w:ascii="仿宋_GB2312" w:hAnsi="Times New Roman" w:eastAsia="仿宋_GB2312" w:cs="Times New Roman"/>
          <w:sz w:val="28"/>
          <w:szCs w:val="28"/>
          <w:highlight w:val="none"/>
        </w:rPr>
        <w:t>万</w:t>
      </w:r>
      <w:r>
        <w:rPr>
          <w:rFonts w:hint="eastAsia" w:ascii="仿宋_GB2312" w:eastAsia="仿宋_GB2312"/>
          <w:sz w:val="28"/>
          <w:szCs w:val="28"/>
          <w:highlight w:val="none"/>
        </w:rPr>
        <w:t>元，</w:t>
      </w:r>
      <w:r>
        <w:rPr>
          <w:rFonts w:hint="eastAsia" w:ascii="仿宋_GB2312" w:eastAsia="仿宋_GB2312"/>
          <w:sz w:val="28"/>
          <w:szCs w:val="28"/>
          <w:highlight w:val="none"/>
          <w:lang w:val="en-US" w:eastAsia="zh-CN"/>
        </w:rPr>
        <w:t>减幅9.7</w:t>
      </w:r>
      <w:r>
        <w:rPr>
          <w:rFonts w:hint="eastAsia" w:ascii="仿宋_GB2312" w:eastAsia="仿宋_GB2312"/>
          <w:sz w:val="28"/>
          <w:szCs w:val="28"/>
          <w:highlight w:val="none"/>
        </w:rPr>
        <w:t>%，主要原因：</w:t>
      </w:r>
      <w:r>
        <w:rPr>
          <w:rFonts w:hint="eastAsia" w:ascii="仿宋_GB2312" w:eastAsia="仿宋_GB2312"/>
          <w:sz w:val="28"/>
          <w:szCs w:val="28"/>
          <w:highlight w:val="none"/>
          <w:lang w:val="en-US" w:eastAsia="zh-CN"/>
        </w:rPr>
        <w:t>编内人员调出。</w:t>
      </w:r>
    </w:p>
    <w:p>
      <w:pPr>
        <w:rPr>
          <w:rFonts w:hint="default" w:ascii="仿宋_GB2312" w:eastAsia="仿宋_GB2312"/>
          <w:sz w:val="28"/>
          <w:szCs w:val="28"/>
          <w:highlight w:val="none"/>
          <w:lang w:val="en-US"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6.</w:t>
      </w:r>
      <w:r>
        <w:rPr>
          <w:rFonts w:hint="eastAsia" w:ascii="仿宋_GB2312" w:eastAsia="仿宋_GB2312"/>
          <w:sz w:val="28"/>
          <w:szCs w:val="28"/>
          <w:highlight w:val="none"/>
        </w:rPr>
        <w:t>“其他卫生健康支出”</w:t>
      </w:r>
      <w:r>
        <w:rPr>
          <w:rFonts w:hint="eastAsia" w:ascii="仿宋_GB2312" w:eastAsia="仿宋_GB2312"/>
          <w:sz w:val="28"/>
          <w:szCs w:val="28"/>
          <w:highlight w:val="none"/>
          <w:lang w:val="en-US" w:eastAsia="zh-CN"/>
        </w:rPr>
        <w:t>137.15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年年初预算增加</w:t>
      </w:r>
      <w:r>
        <w:rPr>
          <w:rFonts w:hint="eastAsia" w:ascii="仿宋_GB2312" w:eastAsia="仿宋_GB2312"/>
          <w:sz w:val="28"/>
          <w:szCs w:val="28"/>
          <w:highlight w:val="none"/>
          <w:lang w:val="en-US" w:eastAsia="zh-CN"/>
        </w:rPr>
        <w:t>137.15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其中包括</w:t>
      </w:r>
      <w:r>
        <w:rPr>
          <w:rFonts w:hint="eastAsia" w:ascii="仿宋_GB2312" w:eastAsia="仿宋_GB2312"/>
          <w:sz w:val="28"/>
          <w:szCs w:val="28"/>
          <w:highlight w:val="none"/>
        </w:rPr>
        <w:t>：卫生健康-2024乡村医生岗位人员补助（专项）</w:t>
      </w:r>
      <w:r>
        <w:rPr>
          <w:rFonts w:hint="eastAsia" w:ascii="仿宋_GB2312" w:eastAsia="仿宋_GB2312"/>
          <w:sz w:val="28"/>
          <w:szCs w:val="28"/>
          <w:highlight w:val="none"/>
          <w:lang w:val="en-US" w:eastAsia="zh-CN"/>
        </w:rPr>
        <w:t>2.31万元</w:t>
      </w:r>
      <w:r>
        <w:rPr>
          <w:rFonts w:hint="eastAsia" w:ascii="仿宋_GB2312" w:eastAsia="仿宋_GB2312"/>
          <w:sz w:val="28"/>
          <w:szCs w:val="28"/>
          <w:highlight w:val="none"/>
          <w:lang w:eastAsia="zh-CN"/>
        </w:rPr>
        <w:t>、卫生健康-乡村医生岗位人员补助（专项）</w:t>
      </w:r>
      <w:r>
        <w:rPr>
          <w:rFonts w:hint="eastAsia" w:ascii="仿宋_GB2312" w:eastAsia="仿宋_GB2312"/>
          <w:sz w:val="28"/>
          <w:szCs w:val="28"/>
          <w:highlight w:val="none"/>
          <w:lang w:val="en-US" w:eastAsia="zh-CN"/>
        </w:rPr>
        <w:t>114.50万元、卫生健康-2024年大兴区从业人员免费健康检查工作经费（专项）20.31万元、</w:t>
      </w:r>
      <w:r>
        <w:rPr>
          <w:rFonts w:hint="eastAsia" w:ascii="仿宋_GB2312" w:eastAsia="仿宋_GB2312"/>
          <w:sz w:val="28"/>
          <w:szCs w:val="28"/>
          <w:highlight w:val="none"/>
          <w:lang w:eastAsia="zh-CN"/>
        </w:rPr>
        <w:t>卫生健康-第二批中医专家学术经验继承工作室资金（专项）</w:t>
      </w:r>
      <w:r>
        <w:rPr>
          <w:rFonts w:hint="eastAsia" w:ascii="仿宋_GB2312" w:eastAsia="仿宋_GB2312"/>
          <w:sz w:val="28"/>
          <w:szCs w:val="28"/>
          <w:highlight w:val="none"/>
          <w:lang w:val="en-US" w:eastAsia="zh-CN"/>
        </w:rPr>
        <w:t>0.02万元，以上经费支出均不在2024年初预算范围内。</w:t>
      </w:r>
    </w:p>
    <w:p>
      <w:pPr>
        <w:spacing w:line="560" w:lineRule="exact"/>
        <w:ind w:firstLine="420" w:firstLineChars="150"/>
        <w:rPr>
          <w:rFonts w:ascii="仿宋_GB2312" w:eastAsia="仿宋_GB2312"/>
          <w:sz w:val="28"/>
          <w:szCs w:val="28"/>
        </w:rPr>
      </w:pPr>
      <w:r>
        <w:rPr>
          <w:rFonts w:hint="eastAsia" w:ascii="黑体" w:eastAsia="黑体"/>
          <w:sz w:val="28"/>
          <w:szCs w:val="28"/>
        </w:rPr>
        <w:t>六、政府性基金预算财政拨款支出决算情况说明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numPr>
          <w:ilvl w:val="0"/>
          <w:numId w:val="0"/>
        </w:numPr>
        <w:spacing w:line="560" w:lineRule="exact"/>
        <w:ind w:firstLine="840" w:firstLineChars="300"/>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年无政府性基金预算财政拨款安排的支出</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 xml:space="preserve">  </w:t>
      </w: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年无政府性基金预算财政拨款安排的支出</w:t>
      </w:r>
      <w:r>
        <w:rPr>
          <w:rFonts w:hint="eastAsia" w:ascii="仿宋_GB2312" w:eastAsia="仿宋_GB2312"/>
          <w:sz w:val="28"/>
          <w:szCs w:val="28"/>
          <w:lang w:eastAsia="zh-CN"/>
        </w:rPr>
        <w:t>。</w:t>
      </w:r>
    </w:p>
    <w:p>
      <w:pPr>
        <w:tabs>
          <w:tab w:val="center" w:pos="6979"/>
        </w:tabs>
        <w:spacing w:line="580" w:lineRule="exact"/>
        <w:ind w:firstLine="548" w:firstLineChars="196"/>
        <w:rPr>
          <w:rFonts w:hint="eastAsia" w:ascii="黑体" w:eastAsia="黑体"/>
          <w:sz w:val="28"/>
          <w:szCs w:val="28"/>
        </w:rPr>
      </w:pPr>
      <w:r>
        <w:rPr>
          <w:rFonts w:hint="eastAsia" w:ascii="黑体" w:eastAsia="黑体"/>
          <w:sz w:val="28"/>
          <w:szCs w:val="28"/>
        </w:rPr>
        <w:t>七、国有资本经营预算财政拨款收支情况说明</w:t>
      </w:r>
    </w:p>
    <w:p>
      <w:pPr>
        <w:numPr>
          <w:ilvl w:val="0"/>
          <w:numId w:val="0"/>
        </w:numPr>
        <w:tabs>
          <w:tab w:val="center" w:pos="6979"/>
        </w:tabs>
        <w:spacing w:line="580" w:lineRule="exact"/>
        <w:ind w:firstLine="840" w:firstLineChars="300"/>
        <w:rPr>
          <w:rFonts w:hint="eastAsia" w:ascii="仿宋_GB2312" w:eastAsia="仿宋_GB2312"/>
          <w:sz w:val="28"/>
          <w:szCs w:val="28"/>
          <w:lang w:eastAsia="zh-CN"/>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r>
        <w:rPr>
          <w:rFonts w:hint="eastAsia" w:ascii="仿宋_GB2312" w:eastAsia="仿宋_GB2312"/>
          <w:sz w:val="28"/>
          <w:szCs w:val="28"/>
          <w:lang w:eastAsia="zh-CN"/>
        </w:rPr>
        <w:t>。</w:t>
      </w:r>
    </w:p>
    <w:p>
      <w:pPr>
        <w:ind w:firstLine="537" w:firstLineChars="192"/>
        <w:rPr>
          <w:rFonts w:hint="eastAsia" w:ascii="仿宋_GB2312" w:eastAsia="仿宋_GB2312"/>
          <w:sz w:val="28"/>
          <w:szCs w:val="28"/>
        </w:rPr>
      </w:pPr>
      <w:r>
        <w:rPr>
          <w:rFonts w:hint="eastAsia" w:ascii="黑体" w:eastAsia="黑体"/>
          <w:sz w:val="28"/>
          <w:szCs w:val="28"/>
        </w:rPr>
        <w:t>八、财政拨款基本支出决算情况说明</w:t>
      </w:r>
    </w:p>
    <w:p>
      <w:pPr>
        <w:numPr>
          <w:ilvl w:val="0"/>
          <w:numId w:val="0"/>
        </w:numPr>
        <w:tabs>
          <w:tab w:val="center" w:pos="6979"/>
        </w:tabs>
        <w:spacing w:line="580" w:lineRule="exact"/>
        <w:ind w:leftChars="196" w:firstLine="560" w:firstLineChars="200"/>
        <w:rPr>
          <w:rFonts w:hint="eastAsia" w:ascii="宋体" w:hAnsi="宋体"/>
          <w:b/>
          <w:spacing w:val="40"/>
          <w:sz w:val="32"/>
          <w:szCs w:val="32"/>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年使用一般公共预算财政拨款安排基本支出</w:t>
      </w:r>
      <w:r>
        <w:rPr>
          <w:rFonts w:hint="eastAsia" w:ascii="仿宋_GB2312" w:eastAsia="仿宋_GB2312"/>
          <w:sz w:val="28"/>
          <w:szCs w:val="28"/>
          <w:lang w:val="en-US" w:eastAsia="zh-CN"/>
        </w:rPr>
        <w:t>1918.93</w:t>
      </w:r>
      <w:r>
        <w:rPr>
          <w:rFonts w:hint="eastAsia" w:ascii="仿宋_GB2312" w:eastAsia="仿宋_GB2312"/>
          <w:sz w:val="28"/>
          <w:szCs w:val="28"/>
        </w:rPr>
        <w:t>万元，其中：（1）工资福利支出</w:t>
      </w:r>
      <w:r>
        <w:rPr>
          <w:rFonts w:hint="eastAsia" w:ascii="仿宋_GB2312" w:eastAsia="仿宋_GB2312"/>
          <w:sz w:val="28"/>
          <w:szCs w:val="28"/>
          <w:lang w:val="en-US" w:eastAsia="zh-CN"/>
        </w:rPr>
        <w:t>1865.76</w:t>
      </w:r>
      <w:r>
        <w:rPr>
          <w:rFonts w:hint="eastAsia" w:ascii="仿宋_GB2312" w:eastAsia="仿宋_GB2312"/>
          <w:sz w:val="28"/>
          <w:szCs w:val="28"/>
        </w:rPr>
        <w:t>万元包括基本工资：</w:t>
      </w:r>
      <w:r>
        <w:rPr>
          <w:rFonts w:hint="eastAsia" w:ascii="仿宋_GB2312" w:eastAsia="仿宋_GB2312"/>
          <w:sz w:val="28"/>
          <w:szCs w:val="28"/>
          <w:lang w:val="en-US" w:eastAsia="zh-CN"/>
        </w:rPr>
        <w:t>98.66</w:t>
      </w:r>
      <w:r>
        <w:rPr>
          <w:rFonts w:hint="eastAsia" w:ascii="仿宋_GB2312" w:eastAsia="仿宋_GB2312"/>
          <w:sz w:val="28"/>
          <w:szCs w:val="28"/>
        </w:rPr>
        <w:t>万元</w:t>
      </w:r>
      <w:r>
        <w:rPr>
          <w:rFonts w:ascii="仿宋_GB2312" w:eastAsia="仿宋_GB2312"/>
          <w:sz w:val="28"/>
          <w:szCs w:val="28"/>
        </w:rPr>
        <w:t>、津贴补贴</w:t>
      </w:r>
      <w:r>
        <w:rPr>
          <w:rFonts w:hint="eastAsia" w:ascii="仿宋_GB2312" w:eastAsia="仿宋_GB2312"/>
          <w:sz w:val="28"/>
          <w:szCs w:val="28"/>
          <w:lang w:val="en-US" w:eastAsia="zh-CN"/>
        </w:rPr>
        <w:t>333.79</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绩效工资</w:t>
      </w:r>
      <w:r>
        <w:rPr>
          <w:rFonts w:hint="eastAsia" w:ascii="仿宋_GB2312" w:eastAsia="仿宋_GB2312"/>
          <w:sz w:val="28"/>
          <w:szCs w:val="28"/>
          <w:lang w:val="en-US" w:eastAsia="zh-CN"/>
        </w:rPr>
        <w:t>700.37</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机关事业单位基本养老保险缴费</w:t>
      </w:r>
      <w:r>
        <w:rPr>
          <w:rFonts w:hint="eastAsia" w:ascii="仿宋_GB2312" w:eastAsia="仿宋_GB2312"/>
          <w:sz w:val="28"/>
          <w:szCs w:val="28"/>
          <w:lang w:val="en-US" w:eastAsia="zh-CN"/>
        </w:rPr>
        <w:t>193.99</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职业年金缴费</w:t>
      </w:r>
      <w:r>
        <w:rPr>
          <w:rFonts w:hint="eastAsia" w:ascii="仿宋_GB2312" w:eastAsia="仿宋_GB2312"/>
          <w:sz w:val="28"/>
          <w:szCs w:val="28"/>
          <w:lang w:val="en-US" w:eastAsia="zh-CN"/>
        </w:rPr>
        <w:t>102.74</w:t>
      </w:r>
      <w:r>
        <w:rPr>
          <w:rFonts w:hint="eastAsia" w:ascii="仿宋_GB2312" w:eastAsia="仿宋_GB2312"/>
          <w:sz w:val="28"/>
          <w:szCs w:val="28"/>
        </w:rPr>
        <w:t>万元、职工基本医疗保险缴费</w:t>
      </w:r>
      <w:r>
        <w:rPr>
          <w:rFonts w:hint="eastAsia" w:ascii="仿宋_GB2312" w:eastAsia="仿宋_GB2312"/>
          <w:sz w:val="28"/>
          <w:szCs w:val="28"/>
          <w:lang w:val="en-US" w:eastAsia="zh-CN"/>
        </w:rPr>
        <w:t>173.28</w:t>
      </w:r>
      <w:r>
        <w:rPr>
          <w:rFonts w:hint="eastAsia" w:ascii="仿宋_GB2312" w:eastAsia="仿宋_GB2312"/>
          <w:sz w:val="28"/>
          <w:szCs w:val="28"/>
        </w:rPr>
        <w:t>万元、公务员医疗补助缴费</w:t>
      </w:r>
      <w:r>
        <w:rPr>
          <w:rFonts w:hint="eastAsia" w:ascii="仿宋_GB2312" w:eastAsia="仿宋_GB2312"/>
          <w:sz w:val="28"/>
          <w:szCs w:val="28"/>
          <w:lang w:val="en-US" w:eastAsia="zh-CN"/>
        </w:rPr>
        <w:t>57.97</w:t>
      </w:r>
      <w:r>
        <w:rPr>
          <w:rFonts w:hint="eastAsia" w:ascii="仿宋_GB2312" w:eastAsia="仿宋_GB2312"/>
          <w:sz w:val="28"/>
          <w:szCs w:val="28"/>
        </w:rPr>
        <w:t>万元、其他社会保障缴费</w:t>
      </w:r>
      <w:r>
        <w:rPr>
          <w:rFonts w:hint="eastAsia" w:ascii="仿宋_GB2312" w:eastAsia="仿宋_GB2312"/>
          <w:sz w:val="28"/>
          <w:szCs w:val="28"/>
          <w:lang w:val="en-US" w:eastAsia="zh-CN"/>
        </w:rPr>
        <w:t>12.73</w:t>
      </w:r>
      <w:r>
        <w:rPr>
          <w:rFonts w:hint="eastAsia" w:ascii="仿宋_GB2312" w:eastAsia="仿宋_GB2312"/>
          <w:sz w:val="28"/>
          <w:szCs w:val="28"/>
        </w:rPr>
        <w:t>万元、住房公积金</w:t>
      </w:r>
      <w:r>
        <w:rPr>
          <w:rFonts w:hint="eastAsia" w:ascii="仿宋_GB2312" w:eastAsia="仿宋_GB2312"/>
          <w:sz w:val="28"/>
          <w:szCs w:val="28"/>
          <w:lang w:val="en-US" w:eastAsia="zh-CN"/>
        </w:rPr>
        <w:t>192.21</w:t>
      </w:r>
      <w:r>
        <w:rPr>
          <w:rFonts w:hint="eastAsia" w:ascii="仿宋_GB2312" w:eastAsia="仿宋_GB2312"/>
          <w:sz w:val="28"/>
          <w:szCs w:val="28"/>
        </w:rPr>
        <w:t>万元；（2）商品和服务支出1.</w:t>
      </w:r>
      <w:r>
        <w:rPr>
          <w:rFonts w:hint="eastAsia" w:ascii="仿宋_GB2312" w:eastAsia="仿宋_GB2312"/>
          <w:sz w:val="28"/>
          <w:szCs w:val="28"/>
          <w:lang w:val="en-US" w:eastAsia="zh-CN"/>
        </w:rPr>
        <w:t>8</w:t>
      </w:r>
      <w:r>
        <w:rPr>
          <w:rFonts w:hint="eastAsia" w:ascii="仿宋_GB2312" w:eastAsia="仿宋_GB2312"/>
          <w:sz w:val="28"/>
          <w:szCs w:val="28"/>
        </w:rPr>
        <w:t>万元包括</w:t>
      </w:r>
      <w:r>
        <w:rPr>
          <w:rFonts w:hint="eastAsia" w:ascii="仿宋_GB2312" w:eastAsia="仿宋_GB2312"/>
          <w:sz w:val="28"/>
          <w:szCs w:val="28"/>
          <w:lang w:eastAsia="zh-CN"/>
        </w:rPr>
        <w:t>其他商品和服务支出</w:t>
      </w:r>
      <w:r>
        <w:rPr>
          <w:rFonts w:hint="eastAsia" w:ascii="仿宋_GB2312" w:eastAsia="仿宋_GB2312"/>
          <w:sz w:val="28"/>
          <w:szCs w:val="28"/>
          <w:lang w:val="en-US" w:eastAsia="zh-CN"/>
        </w:rPr>
        <w:t>1.8</w:t>
      </w:r>
      <w:r>
        <w:rPr>
          <w:rFonts w:hint="eastAsia" w:ascii="仿宋_GB2312" w:eastAsia="仿宋_GB2312"/>
          <w:sz w:val="28"/>
          <w:szCs w:val="28"/>
        </w:rPr>
        <w:t>万元；（3）对个人和家庭补助支出</w:t>
      </w:r>
      <w:r>
        <w:rPr>
          <w:rFonts w:hint="eastAsia" w:ascii="仿宋_GB2312" w:eastAsia="仿宋_GB2312"/>
          <w:sz w:val="28"/>
          <w:szCs w:val="28"/>
          <w:lang w:val="en-US" w:eastAsia="zh-CN"/>
        </w:rPr>
        <w:t>51.37</w:t>
      </w:r>
      <w:r>
        <w:rPr>
          <w:rFonts w:hint="eastAsia" w:ascii="仿宋_GB2312" w:eastAsia="仿宋_GB2312"/>
          <w:sz w:val="28"/>
          <w:szCs w:val="28"/>
        </w:rPr>
        <w:t>万元包括退休费</w:t>
      </w:r>
      <w:r>
        <w:rPr>
          <w:rFonts w:hint="eastAsia" w:ascii="仿宋_GB2312" w:eastAsia="仿宋_GB2312"/>
          <w:sz w:val="28"/>
          <w:szCs w:val="28"/>
          <w:lang w:val="en-US" w:eastAsia="zh-CN"/>
        </w:rPr>
        <w:t>18.74</w:t>
      </w:r>
      <w:r>
        <w:rPr>
          <w:rFonts w:hint="eastAsia" w:ascii="仿宋_GB2312" w:eastAsia="仿宋_GB2312"/>
          <w:sz w:val="28"/>
          <w:szCs w:val="28"/>
        </w:rPr>
        <w:t>万元、</w:t>
      </w:r>
      <w:r>
        <w:rPr>
          <w:rFonts w:hint="eastAsia" w:ascii="仿宋_GB2312" w:eastAsia="仿宋_GB2312"/>
          <w:sz w:val="28"/>
          <w:szCs w:val="28"/>
          <w:lang w:eastAsia="zh-CN"/>
        </w:rPr>
        <w:t>抚恤金</w:t>
      </w:r>
      <w:r>
        <w:rPr>
          <w:rFonts w:hint="eastAsia" w:ascii="仿宋_GB2312" w:eastAsia="仿宋_GB2312"/>
          <w:sz w:val="28"/>
          <w:szCs w:val="28"/>
          <w:lang w:val="en-US" w:eastAsia="zh-CN"/>
        </w:rPr>
        <w:t>32.59万元、</w:t>
      </w:r>
      <w:r>
        <w:rPr>
          <w:rFonts w:hint="eastAsia" w:ascii="仿宋_GB2312" w:eastAsia="仿宋_GB2312"/>
          <w:sz w:val="28"/>
          <w:szCs w:val="28"/>
          <w:lang w:eastAsia="zh-CN"/>
        </w:rPr>
        <w:t>奖励金</w:t>
      </w:r>
      <w:r>
        <w:rPr>
          <w:rFonts w:hint="eastAsia" w:ascii="仿宋_GB2312" w:eastAsia="仿宋_GB2312"/>
          <w:sz w:val="28"/>
          <w:szCs w:val="28"/>
        </w:rPr>
        <w:t>0.0</w:t>
      </w:r>
      <w:r>
        <w:rPr>
          <w:rFonts w:hint="eastAsia" w:ascii="仿宋_GB2312" w:eastAsia="仿宋_GB2312"/>
          <w:sz w:val="28"/>
          <w:szCs w:val="28"/>
          <w:lang w:val="en-US" w:eastAsia="zh-CN"/>
        </w:rPr>
        <w:t>42</w:t>
      </w:r>
      <w:r>
        <w:rPr>
          <w:rFonts w:hint="eastAsia" w:ascii="仿宋_GB2312" w:eastAsia="仿宋_GB2312"/>
          <w:sz w:val="28"/>
          <w:szCs w:val="28"/>
        </w:rPr>
        <w:t>万元。</w:t>
      </w:r>
    </w:p>
    <w:p>
      <w:pPr>
        <w:ind w:firstLine="537" w:firstLineChars="192"/>
        <w:rPr>
          <w:rFonts w:hint="eastAsia" w:ascii="仿宋_GB2312" w:eastAsia="仿宋_GB2312"/>
          <w:sz w:val="28"/>
          <w:szCs w:val="28"/>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center"/>
        <w:rPr>
          <w:rFonts w:hint="eastAsia" w:ascii="宋体" w:hAnsi="宋体" w:cs="宋体"/>
          <w:b/>
          <w:bCs/>
          <w:spacing w:val="40"/>
          <w:kern w:val="0"/>
          <w:sz w:val="32"/>
          <w:szCs w:val="32"/>
        </w:rPr>
      </w:pPr>
    </w:p>
    <w:p>
      <w:pPr>
        <w:tabs>
          <w:tab w:val="center" w:pos="6979"/>
        </w:tabs>
        <w:jc w:val="both"/>
        <w:rPr>
          <w:rFonts w:hint="eastAsia" w:ascii="宋体" w:hAnsi="宋体" w:cs="宋体"/>
          <w:b/>
          <w:bCs/>
          <w:spacing w:val="40"/>
          <w:kern w:val="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cs="宋体"/>
          <w:b/>
          <w:bCs/>
          <w:spacing w:val="40"/>
          <w:kern w:val="0"/>
          <w:sz w:val="32"/>
          <w:szCs w:val="32"/>
          <w:lang w:val="en-US" w:eastAsia="zh-CN"/>
        </w:rPr>
        <w:t xml:space="preserve"> </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pPr>
        <w:tabs>
          <w:tab w:val="center" w:pos="6979"/>
        </w:tabs>
        <w:ind w:firstLine="560" w:firstLineChars="200"/>
        <w:jc w:val="left"/>
        <w:rPr>
          <w:rFonts w:hint="eastAsia" w:ascii="宋体" w:hAnsi="宋体" w:cs="宋体"/>
          <w:b/>
          <w:color w:val="FF0000"/>
          <w:spacing w:val="40"/>
          <w:kern w:val="0"/>
          <w:sz w:val="32"/>
          <w:szCs w:val="32"/>
        </w:rPr>
      </w:pPr>
      <w:r>
        <w:rPr>
          <w:rFonts w:hint="eastAsia" w:ascii="黑体" w:eastAsia="黑体"/>
          <w:sz w:val="28"/>
          <w:szCs w:val="28"/>
        </w:rPr>
        <w:t>一、“三公”经费财政拨款决算情况</w:t>
      </w:r>
    </w:p>
    <w:p>
      <w:pPr>
        <w:numPr>
          <w:ilvl w:val="0"/>
          <w:numId w:val="0"/>
        </w:numPr>
        <w:tabs>
          <w:tab w:val="center" w:pos="6979"/>
        </w:tabs>
        <w:ind w:firstLine="840" w:firstLineChars="300"/>
        <w:jc w:val="left"/>
        <w:rPr>
          <w:rFonts w:hint="eastAsia" w:ascii="宋体" w:hAnsi="宋体" w:eastAsia="仿宋_GB2312" w:cs="宋体"/>
          <w:b/>
          <w:color w:val="FF0000"/>
          <w:spacing w:val="40"/>
          <w:kern w:val="0"/>
          <w:sz w:val="32"/>
          <w:szCs w:val="32"/>
          <w:lang w:eastAsia="zh-CN"/>
        </w:rPr>
      </w:pPr>
      <w:r>
        <w:rPr>
          <w:rFonts w:hint="eastAsia" w:ascii="仿宋_GB2312" w:eastAsia="仿宋_GB2312"/>
          <w:sz w:val="28"/>
          <w:szCs w:val="28"/>
          <w:lang w:eastAsia="zh-CN"/>
        </w:rPr>
        <w:t>本单位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年度“三公”经费</w:t>
      </w:r>
      <w:r>
        <w:rPr>
          <w:rFonts w:hint="eastAsia" w:ascii="仿宋_GB2312" w:eastAsia="仿宋_GB2312"/>
          <w:sz w:val="28"/>
          <w:szCs w:val="28"/>
          <w:lang w:eastAsia="zh-CN"/>
        </w:rPr>
        <w:t>为零。</w:t>
      </w:r>
    </w:p>
    <w:p>
      <w:pPr>
        <w:numPr>
          <w:ilvl w:val="0"/>
          <w:numId w:val="0"/>
        </w:num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pPr>
        <w:numPr>
          <w:ilvl w:val="0"/>
          <w:numId w:val="2"/>
        </w:numPr>
        <w:spacing w:line="560" w:lineRule="exact"/>
        <w:ind w:left="600" w:leftChars="0"/>
        <w:rPr>
          <w:rFonts w:hint="eastAsia" w:ascii="黑体" w:eastAsia="黑体"/>
          <w:sz w:val="28"/>
          <w:szCs w:val="28"/>
        </w:rPr>
      </w:pPr>
      <w:r>
        <w:rPr>
          <w:rFonts w:hint="eastAsia" w:ascii="黑体" w:eastAsia="黑体"/>
          <w:sz w:val="28"/>
          <w:szCs w:val="28"/>
        </w:rPr>
        <w:t>机关运行经费支出情况</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本单位不在机关运行经费统计范围之内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highlight w:val="none"/>
        </w:rPr>
      </w:pPr>
      <w:r>
        <w:rPr>
          <w:rFonts w:hint="eastAsia" w:ascii="黑体" w:eastAsia="黑体"/>
          <w:sz w:val="28"/>
          <w:szCs w:val="28"/>
          <w:highlight w:val="none"/>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hint="eastAsia" w:ascii="仿宋_GB2312" w:eastAsia="仿宋_GB2312"/>
          <w:sz w:val="28"/>
          <w:szCs w:val="28"/>
          <w:lang w:val="en-US" w:eastAsia="zh-CN"/>
        </w:rPr>
        <w:t>597.03</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597.03</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hint="eastAsia" w:ascii="仿宋_GB2312" w:eastAsia="仿宋_GB2312"/>
          <w:sz w:val="28"/>
          <w:szCs w:val="28"/>
          <w:lang w:val="en-US" w:eastAsia="zh-CN"/>
        </w:rPr>
        <w:t>597.03</w:t>
      </w:r>
      <w:r>
        <w:rPr>
          <w:rFonts w:hint="eastAsia" w:ascii="仿宋_GB2312" w:eastAsia="仿宋_GB2312"/>
          <w:sz w:val="28"/>
          <w:szCs w:val="28"/>
        </w:rPr>
        <w:t>万元，占政府采购支出总额的</w:t>
      </w:r>
      <w:r>
        <w:rPr>
          <w:rFonts w:hint="eastAsia" w:ascii="仿宋_GB2312" w:eastAsia="仿宋_GB2312"/>
          <w:sz w:val="28"/>
          <w:szCs w:val="28"/>
          <w:lang w:val="en-US" w:eastAsia="zh-CN"/>
        </w:rPr>
        <w:t>100</w:t>
      </w:r>
      <w:r>
        <w:rPr>
          <w:rFonts w:hint="eastAsia" w:ascii="仿宋_GB2312" w:eastAsia="仿宋_GB2312"/>
          <w:sz w:val="28"/>
          <w:szCs w:val="28"/>
        </w:rPr>
        <w:t>%，其中：授予小微企业合同金额</w:t>
      </w:r>
      <w:r>
        <w:rPr>
          <w:rFonts w:hint="eastAsia" w:ascii="仿宋_GB2312" w:eastAsia="仿宋_GB2312"/>
          <w:sz w:val="28"/>
          <w:szCs w:val="28"/>
          <w:highlight w:val="none"/>
          <w:lang w:val="en-US" w:eastAsia="zh-CN"/>
        </w:rPr>
        <w:t>597.03</w:t>
      </w:r>
      <w:r>
        <w:rPr>
          <w:rFonts w:hint="eastAsia" w:ascii="仿宋_GB2312" w:eastAsia="仿宋_GB2312"/>
          <w:sz w:val="28"/>
          <w:szCs w:val="28"/>
          <w:highlight w:val="none"/>
        </w:rPr>
        <w:t>万元，占政府采购支出</w:t>
      </w:r>
      <w:r>
        <w:rPr>
          <w:rFonts w:hint="eastAsia" w:ascii="仿宋_GB2312" w:eastAsia="仿宋_GB2312"/>
          <w:sz w:val="28"/>
          <w:szCs w:val="28"/>
        </w:rPr>
        <w:t>总额的</w:t>
      </w:r>
      <w:r>
        <w:rPr>
          <w:rFonts w:hint="eastAsia" w:ascii="仿宋_GB2312" w:eastAsia="仿宋_GB2312"/>
          <w:sz w:val="28"/>
          <w:szCs w:val="28"/>
          <w:lang w:val="en-US" w:eastAsia="zh-CN"/>
        </w:rPr>
        <w:t>100</w:t>
      </w:r>
      <w:r>
        <w:rPr>
          <w:rFonts w:hint="eastAsia" w:ascii="仿宋_GB2312" w:eastAsia="仿宋_GB2312"/>
          <w:sz w:val="28"/>
          <w:szCs w:val="28"/>
        </w:rPr>
        <w:t>%。</w:t>
      </w:r>
    </w:p>
    <w:p>
      <w:pPr>
        <w:ind w:firstLine="560" w:firstLineChars="200"/>
        <w:rPr>
          <w:rFonts w:hint="eastAsia" w:ascii="黑体" w:eastAsia="黑体"/>
          <w:sz w:val="28"/>
          <w:szCs w:val="28"/>
        </w:rPr>
      </w:pPr>
      <w:r>
        <w:rPr>
          <w:rFonts w:hint="eastAsia" w:ascii="黑体" w:eastAsia="黑体"/>
          <w:sz w:val="28"/>
          <w:szCs w:val="28"/>
        </w:rPr>
        <w:t>四、国有资产占用情况</w:t>
      </w:r>
    </w:p>
    <w:p>
      <w:pPr>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年度新购置车辆</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万元；新购置单位价值100万元以上的设备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台，共计</w:t>
      </w:r>
      <w:r>
        <w:rPr>
          <w:rFonts w:hint="eastAsia" w:ascii="仿宋_GB2312" w:eastAsia="仿宋_GB2312"/>
          <w:sz w:val="28"/>
          <w:szCs w:val="28"/>
          <w:lang w:val="en-US" w:eastAsia="zh-CN"/>
        </w:rPr>
        <w:t>0</w:t>
      </w:r>
      <w:r>
        <w:rPr>
          <w:rFonts w:hint="eastAsia" w:ascii="仿宋_GB2312" w:eastAsia="仿宋_GB2312"/>
          <w:sz w:val="28"/>
          <w:szCs w:val="28"/>
        </w:rPr>
        <w:t>万元。截至202</w:t>
      </w:r>
      <w:r>
        <w:rPr>
          <w:rFonts w:hint="eastAsia" w:ascii="仿宋_GB2312" w:eastAsia="仿宋_GB2312"/>
          <w:sz w:val="28"/>
          <w:szCs w:val="28"/>
          <w:lang w:val="en-US" w:eastAsia="zh-CN"/>
        </w:rPr>
        <w:t>4</w:t>
      </w:r>
      <w:r>
        <w:rPr>
          <w:rFonts w:hint="eastAsia" w:ascii="仿宋_GB2312" w:eastAsia="仿宋_GB2312"/>
          <w:sz w:val="28"/>
          <w:szCs w:val="28"/>
        </w:rPr>
        <w:t>年底，本单位固定资产总额</w:t>
      </w:r>
      <w:r>
        <w:rPr>
          <w:rFonts w:hint="eastAsia" w:ascii="仿宋_GB2312" w:eastAsia="仿宋_GB2312"/>
          <w:sz w:val="28"/>
          <w:szCs w:val="28"/>
          <w:lang w:val="en-US" w:eastAsia="zh-CN"/>
        </w:rPr>
        <w:t>5684.19</w:t>
      </w:r>
      <w:r>
        <w:rPr>
          <w:rFonts w:hint="eastAsia" w:ascii="仿宋_GB2312" w:eastAsia="仿宋_GB2312"/>
          <w:sz w:val="28"/>
          <w:szCs w:val="28"/>
        </w:rPr>
        <w:t>万元，其中车辆</w:t>
      </w:r>
      <w:r>
        <w:rPr>
          <w:rFonts w:hint="eastAsia" w:ascii="仿宋_GB2312" w:eastAsia="仿宋_GB2312"/>
          <w:sz w:val="28"/>
          <w:szCs w:val="28"/>
          <w:lang w:val="en-US" w:eastAsia="zh-CN"/>
        </w:rPr>
        <w:t>6</w:t>
      </w:r>
      <w:r>
        <w:rPr>
          <w:rFonts w:hint="eastAsia" w:ascii="仿宋_GB2312" w:eastAsia="仿宋_GB2312"/>
          <w:sz w:val="28"/>
          <w:szCs w:val="28"/>
        </w:rPr>
        <w:t>台，共计</w:t>
      </w:r>
      <w:r>
        <w:rPr>
          <w:rFonts w:hint="eastAsia" w:ascii="仿宋_GB2312" w:eastAsia="仿宋_GB2312"/>
          <w:sz w:val="28"/>
          <w:szCs w:val="28"/>
          <w:lang w:val="en-US" w:eastAsia="zh-CN"/>
        </w:rPr>
        <w:t>147.07</w:t>
      </w:r>
      <w:r>
        <w:rPr>
          <w:rFonts w:hint="eastAsia" w:ascii="仿宋_GB2312" w:eastAsia="仿宋_GB2312"/>
          <w:sz w:val="28"/>
          <w:szCs w:val="28"/>
        </w:rPr>
        <w:t>万元；单位价值100万元以上的设备</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w:t>
      </w:r>
    </w:p>
    <w:p>
      <w:pPr>
        <w:ind w:firstLine="560" w:firstLineChars="200"/>
        <w:rPr>
          <w:rFonts w:hint="eastAsia" w:ascii="仿宋_GB2312" w:eastAsia="仿宋_GB2312"/>
          <w:sz w:val="28"/>
          <w:szCs w:val="28"/>
          <w:highlight w:val="none"/>
        </w:rPr>
      </w:pPr>
      <w:r>
        <w:rPr>
          <w:rFonts w:hint="eastAsia" w:ascii="黑体" w:eastAsia="黑体"/>
          <w:sz w:val="28"/>
          <w:szCs w:val="28"/>
          <w:highlight w:val="none"/>
        </w:rPr>
        <w:t>五</w:t>
      </w:r>
      <w:r>
        <w:rPr>
          <w:rFonts w:ascii="黑体" w:eastAsia="黑体"/>
          <w:sz w:val="28"/>
          <w:szCs w:val="28"/>
          <w:highlight w:val="none"/>
        </w:rPr>
        <w:t>、</w:t>
      </w:r>
      <w:r>
        <w:rPr>
          <w:rFonts w:hint="eastAsia" w:ascii="黑体" w:eastAsia="黑体"/>
          <w:sz w:val="28"/>
          <w:szCs w:val="28"/>
          <w:highlight w:val="none"/>
        </w:rPr>
        <w:t>绩效评价结果情况</w:t>
      </w:r>
    </w:p>
    <w:p>
      <w:pPr>
        <w:spacing w:line="560" w:lineRule="exact"/>
        <w:ind w:firstLine="560" w:firstLineChars="200"/>
        <w:rPr>
          <w:rFonts w:hint="eastAsia" w:ascii="黑体" w:eastAsia="黑体"/>
          <w:sz w:val="28"/>
          <w:szCs w:val="28"/>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年本单位纳入绩效评价项目</w:t>
      </w:r>
      <w:r>
        <w:rPr>
          <w:rFonts w:hint="eastAsia" w:ascii="仿宋_GB2312" w:eastAsia="仿宋_GB2312"/>
          <w:sz w:val="28"/>
          <w:szCs w:val="28"/>
          <w:highlight w:val="none"/>
          <w:lang w:val="en-US" w:eastAsia="zh-CN"/>
        </w:rPr>
        <w:t>28</w:t>
      </w:r>
      <w:r>
        <w:rPr>
          <w:rFonts w:hint="eastAsia" w:ascii="仿宋_GB2312" w:eastAsia="仿宋_GB2312"/>
          <w:sz w:val="28"/>
          <w:szCs w:val="28"/>
          <w:highlight w:val="none"/>
        </w:rPr>
        <w:t>个，涉及一般预算财政拨款</w:t>
      </w:r>
      <w:r>
        <w:rPr>
          <w:rFonts w:hint="eastAsia" w:ascii="仿宋_GB2312" w:eastAsia="仿宋_GB2312"/>
          <w:sz w:val="28"/>
          <w:szCs w:val="28"/>
          <w:highlight w:val="none"/>
          <w:lang w:val="en-US" w:eastAsia="zh-CN"/>
        </w:rPr>
        <w:t>2266.59</w:t>
      </w:r>
      <w:r>
        <w:rPr>
          <w:rFonts w:hint="eastAsia" w:ascii="仿宋_GB2312" w:eastAsia="仿宋_GB2312"/>
          <w:sz w:val="28"/>
          <w:szCs w:val="28"/>
          <w:highlight w:val="none"/>
        </w:rPr>
        <w:t>万元，</w:t>
      </w:r>
      <w:r>
        <w:rPr>
          <w:rFonts w:hint="eastAsia" w:ascii="仿宋_GB2312" w:hAnsi="仿宋_GB2312" w:eastAsia="仿宋_GB2312" w:cs="仿宋_GB2312"/>
          <w:sz w:val="28"/>
          <w:szCs w:val="28"/>
          <w:highlight w:val="none"/>
        </w:rPr>
        <w:t>评价得分在90分</w:t>
      </w:r>
      <w:r>
        <w:rPr>
          <w:rFonts w:hint="eastAsia" w:ascii="仿宋_GB2312" w:hAnsi="仿宋_GB2312" w:eastAsia="仿宋_GB2312" w:cs="仿宋_GB2312"/>
          <w:sz w:val="28"/>
          <w:szCs w:val="28"/>
          <w:highlight w:val="none"/>
          <w:lang w:eastAsia="zh-CN"/>
        </w:rPr>
        <w:t>以上的</w:t>
      </w:r>
      <w:r>
        <w:rPr>
          <w:rFonts w:hint="eastAsia" w:ascii="仿宋_GB2312" w:hAnsi="仿宋_GB2312" w:eastAsia="仿宋_GB2312" w:cs="仿宋_GB2312"/>
          <w:sz w:val="28"/>
          <w:szCs w:val="28"/>
          <w:highlight w:val="none"/>
          <w:lang w:val="en-US" w:eastAsia="zh-CN"/>
        </w:rPr>
        <w:t>28</w:t>
      </w:r>
      <w:r>
        <w:rPr>
          <w:rFonts w:hint="eastAsia" w:ascii="仿宋_GB2312" w:hAnsi="仿宋_GB2312" w:eastAsia="仿宋_GB2312" w:cs="仿宋_GB2312"/>
          <w:sz w:val="28"/>
          <w:szCs w:val="28"/>
          <w:highlight w:val="none"/>
        </w:rPr>
        <w:t>个。</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六</w:t>
      </w:r>
      <w:r>
        <w:rPr>
          <w:rFonts w:ascii="黑体" w:eastAsia="黑体"/>
          <w:sz w:val="28"/>
          <w:szCs w:val="28"/>
        </w:rPr>
        <w:t>、</w:t>
      </w:r>
      <w:r>
        <w:rPr>
          <w:rFonts w:hint="eastAsia" w:ascii="黑体" w:eastAsia="黑体"/>
          <w:sz w:val="28"/>
          <w:szCs w:val="28"/>
        </w:rPr>
        <w:t>重点行政事业性收费情况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w:t>
      </w:r>
      <w:r>
        <w:rPr>
          <w:rFonts w:hint="eastAsia" w:ascii="仿宋_GB2312" w:eastAsia="仿宋_GB2312"/>
          <w:sz w:val="28"/>
          <w:szCs w:val="28"/>
          <w:lang w:eastAsia="zh-CN"/>
        </w:rPr>
        <w:t>度</w:t>
      </w: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无重点行政事业性收费情况。</w:t>
      </w:r>
    </w:p>
    <w:p>
      <w:pPr>
        <w:spacing w:line="560" w:lineRule="exact"/>
        <w:ind w:firstLine="560" w:firstLineChars="200"/>
        <w:rPr>
          <w:rFonts w:hint="eastAsia" w:ascii="仿宋_GB2312" w:eastAsia="仿宋_GB2312"/>
          <w:sz w:val="28"/>
          <w:szCs w:val="28"/>
        </w:rPr>
      </w:pPr>
      <w:r>
        <w:rPr>
          <w:rFonts w:hint="eastAsia" w:ascii="黑体" w:eastAsia="黑体"/>
          <w:sz w:val="28"/>
          <w:szCs w:val="28"/>
        </w:rPr>
        <w:t>七</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年度政府购买服务</w:t>
      </w:r>
      <w:r>
        <w:rPr>
          <w:rFonts w:ascii="仿宋_GB2312" w:eastAsia="仿宋_GB2312"/>
          <w:sz w:val="28"/>
          <w:szCs w:val="28"/>
        </w:rPr>
        <w:t>决算</w:t>
      </w:r>
      <w:r>
        <w:rPr>
          <w:rFonts w:hint="eastAsia" w:ascii="仿宋_GB2312" w:eastAsia="仿宋_GB2312"/>
          <w:sz w:val="28"/>
          <w:szCs w:val="28"/>
        </w:rPr>
        <w:t>项目共计</w:t>
      </w:r>
      <w:r>
        <w:rPr>
          <w:rFonts w:hint="eastAsia" w:ascii="仿宋_GB2312" w:eastAsia="仿宋_GB2312"/>
          <w:sz w:val="28"/>
          <w:szCs w:val="28"/>
          <w:lang w:val="en-US" w:eastAsia="zh-CN"/>
        </w:rPr>
        <w:t>0</w:t>
      </w:r>
      <w:r>
        <w:rPr>
          <w:rFonts w:hint="eastAsia" w:ascii="仿宋_GB2312" w:eastAsia="仿宋_GB2312"/>
          <w:sz w:val="28"/>
          <w:szCs w:val="28"/>
        </w:rPr>
        <w:t>项，金额</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60" w:firstLineChars="200"/>
        <w:rPr>
          <w:rFonts w:hint="eastAsia" w:ascii="仿宋_GB2312" w:eastAsia="仿宋_GB2312"/>
          <w:sz w:val="28"/>
          <w:szCs w:val="28"/>
        </w:rPr>
      </w:pPr>
      <w:r>
        <w:rPr>
          <w:rFonts w:hint="eastAsia" w:ascii="黑体" w:eastAsia="黑体"/>
          <w:sz w:val="28"/>
          <w:szCs w:val="28"/>
        </w:rPr>
        <w:t>八、</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highlight w:val="none"/>
          <w:lang w:val="en-US" w:eastAsia="zh-CN"/>
        </w:rPr>
      </w:pPr>
      <w:bookmarkStart w:id="0" w:name="_GoBack"/>
      <w:r>
        <w:rPr>
          <w:rFonts w:hint="eastAsia" w:ascii="仿宋_GB2312" w:eastAsia="仿宋_GB2312"/>
          <w:sz w:val="28"/>
          <w:szCs w:val="28"/>
          <w:highlight w:val="none"/>
          <w:lang w:val="en-US" w:eastAsia="zh-CN"/>
        </w:rPr>
        <w:t>7.</w:t>
      </w:r>
      <w:r>
        <w:rPr>
          <w:rFonts w:hint="eastAsia" w:ascii="仿宋_GB2312" w:eastAsia="仿宋_GB2312"/>
          <w:sz w:val="28"/>
          <w:szCs w:val="28"/>
          <w:highlight w:val="none"/>
          <w:lang w:eastAsia="zh-CN"/>
        </w:rPr>
        <w:t>支</w:t>
      </w:r>
      <w:r>
        <w:rPr>
          <w:rFonts w:hint="eastAsia" w:ascii="仿宋_GB2312" w:eastAsia="仿宋_GB2312"/>
          <w:sz w:val="28"/>
          <w:szCs w:val="28"/>
          <w:highlight w:val="none"/>
        </w:rPr>
        <w:t>出功能分类</w:t>
      </w:r>
      <w:r>
        <w:rPr>
          <w:rFonts w:hint="eastAsia" w:ascii="仿宋_GB2312" w:eastAsia="仿宋_GB2312"/>
          <w:b w:val="0"/>
          <w:bCs/>
          <w:sz w:val="28"/>
          <w:szCs w:val="28"/>
          <w:highlight w:val="none"/>
        </w:rPr>
        <w:t>项级</w:t>
      </w:r>
      <w:r>
        <w:rPr>
          <w:rFonts w:hint="eastAsia" w:ascii="仿宋_GB2312" w:eastAsia="仿宋_GB2312"/>
          <w:sz w:val="28"/>
          <w:szCs w:val="28"/>
          <w:highlight w:val="none"/>
        </w:rPr>
        <w:t>科目名词解释：</w:t>
      </w:r>
    </w:p>
    <w:p>
      <w:pPr>
        <w:ind w:firstLine="420" w:firstLineChars="150"/>
        <w:rPr>
          <w:rFonts w:hint="eastAsia" w:ascii="仿宋_GB2312" w:hAnsi="Times New Roman" w:eastAsia="仿宋_GB2312" w:cs="Times New Roman"/>
          <w:sz w:val="28"/>
          <w:szCs w:val="28"/>
          <w:highlight w:val="none"/>
        </w:rPr>
      </w:pPr>
      <w:r>
        <w:rPr>
          <w:rFonts w:hint="eastAsia" w:ascii="仿宋_GB2312" w:eastAsia="仿宋_GB2312"/>
          <w:sz w:val="28"/>
          <w:szCs w:val="28"/>
          <w:highlight w:val="none"/>
          <w:lang w:val="en-US" w:eastAsia="zh-CN"/>
        </w:rPr>
        <w:t>（1）</w:t>
      </w:r>
      <w:r>
        <w:rPr>
          <w:rFonts w:hint="eastAsia" w:ascii="仿宋_GB2312" w:eastAsia="仿宋_GB2312"/>
          <w:sz w:val="28"/>
          <w:szCs w:val="28"/>
          <w:highlight w:val="none"/>
        </w:rPr>
        <w:t>社会保障和就业支出（类）行政事业单位养老支出（款）</w:t>
      </w:r>
      <w:r>
        <w:rPr>
          <w:rFonts w:hint="eastAsia" w:ascii="仿宋_GB2312" w:eastAsia="仿宋_GB2312"/>
          <w:sz w:val="28"/>
          <w:szCs w:val="28"/>
          <w:highlight w:val="none"/>
          <w:lang w:eastAsia="zh-CN"/>
        </w:rPr>
        <w:t>事业</w:t>
      </w:r>
      <w:r>
        <w:rPr>
          <w:rFonts w:hint="eastAsia" w:ascii="仿宋_GB2312" w:eastAsia="仿宋_GB2312"/>
          <w:sz w:val="28"/>
          <w:szCs w:val="28"/>
          <w:highlight w:val="none"/>
        </w:rPr>
        <w:t>单位离退休（项）：反映事业单位开支的离退</w:t>
      </w:r>
      <w:r>
        <w:rPr>
          <w:rFonts w:hint="eastAsia" w:ascii="仿宋_GB2312" w:hAnsi="Times New Roman" w:eastAsia="仿宋_GB2312" w:cs="Times New Roman"/>
          <w:sz w:val="28"/>
          <w:szCs w:val="28"/>
          <w:highlight w:val="none"/>
        </w:rPr>
        <w:t>休经费。</w:t>
      </w:r>
    </w:p>
    <w:p>
      <w:pPr>
        <w:ind w:firstLine="420" w:firstLineChars="150"/>
        <w:rPr>
          <w:rFonts w:hint="eastAsia" w:ascii="仿宋_GB2312" w:eastAsia="仿宋_GB2312"/>
          <w:sz w:val="28"/>
          <w:szCs w:val="28"/>
          <w:highlight w:val="none"/>
          <w:lang w:eastAsia="zh-CN"/>
        </w:rPr>
      </w:pPr>
      <w:r>
        <w:rPr>
          <w:rFonts w:hint="eastAsia" w:ascii="仿宋_GB2312" w:hAnsi="Times New Roman" w:eastAsia="仿宋_GB2312" w:cs="Times New Roman"/>
          <w:sz w:val="28"/>
          <w:szCs w:val="28"/>
          <w:highlight w:val="none"/>
          <w:lang w:val="en-US" w:eastAsia="zh-CN"/>
        </w:rPr>
        <w:t>（2）</w:t>
      </w:r>
      <w:r>
        <w:rPr>
          <w:rFonts w:hint="eastAsia" w:ascii="仿宋_GB2312" w:eastAsia="仿宋_GB2312"/>
          <w:sz w:val="28"/>
          <w:szCs w:val="28"/>
          <w:highlight w:val="none"/>
        </w:rPr>
        <w:t>社会保障和就业支出（类）行政事业单位养老支出（款）</w:t>
      </w:r>
      <w:r>
        <w:rPr>
          <w:rFonts w:hint="eastAsia" w:ascii="仿宋_GB2312" w:eastAsia="仿宋_GB2312"/>
          <w:sz w:val="28"/>
          <w:szCs w:val="28"/>
          <w:highlight w:val="none"/>
          <w:lang w:eastAsia="zh-CN"/>
        </w:rPr>
        <w:t>机关事业单位基本养老保险缴费支出</w:t>
      </w:r>
      <w:r>
        <w:rPr>
          <w:rFonts w:hint="eastAsia" w:ascii="仿宋_GB2312" w:eastAsia="仿宋_GB2312"/>
          <w:sz w:val="28"/>
          <w:szCs w:val="28"/>
          <w:highlight w:val="none"/>
        </w:rPr>
        <w:t>（项）：反映</w:t>
      </w:r>
      <w:r>
        <w:rPr>
          <w:rFonts w:hint="eastAsia" w:ascii="仿宋_GB2312" w:eastAsia="仿宋_GB2312"/>
          <w:sz w:val="28"/>
          <w:szCs w:val="28"/>
          <w:highlight w:val="none"/>
          <w:lang w:eastAsia="zh-CN"/>
        </w:rPr>
        <w:t>机关</w:t>
      </w:r>
      <w:r>
        <w:rPr>
          <w:rFonts w:hint="eastAsia" w:ascii="仿宋_GB2312" w:eastAsia="仿宋_GB2312"/>
          <w:sz w:val="28"/>
          <w:szCs w:val="28"/>
          <w:highlight w:val="none"/>
        </w:rPr>
        <w:t>事业单位</w:t>
      </w:r>
      <w:r>
        <w:rPr>
          <w:rFonts w:hint="eastAsia" w:ascii="仿宋_GB2312" w:eastAsia="仿宋_GB2312"/>
          <w:sz w:val="28"/>
          <w:szCs w:val="28"/>
          <w:highlight w:val="none"/>
          <w:lang w:eastAsia="zh-CN"/>
        </w:rPr>
        <w:t>实施养老保险制度由单位缴纳的基本养老保险费支出。</w:t>
      </w:r>
    </w:p>
    <w:p>
      <w:pPr>
        <w:ind w:firstLine="420" w:firstLineChars="150"/>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kern w:val="2"/>
          <w:sz w:val="28"/>
          <w:szCs w:val="28"/>
          <w:highlight w:val="none"/>
          <w:lang w:val="en-US" w:eastAsia="zh-CN" w:bidi="ar-SA"/>
        </w:rPr>
        <w:t>（3）</w:t>
      </w:r>
      <w:r>
        <w:rPr>
          <w:rFonts w:hint="eastAsia" w:ascii="仿宋_GB2312" w:eastAsia="仿宋_GB2312"/>
          <w:sz w:val="28"/>
          <w:szCs w:val="28"/>
          <w:highlight w:val="none"/>
        </w:rPr>
        <w:t>社会保障和就业支出（类）行政事业单位养老支出（款）</w:t>
      </w:r>
      <w:r>
        <w:rPr>
          <w:rFonts w:hint="eastAsia" w:ascii="仿宋_GB2312" w:eastAsia="仿宋_GB2312"/>
          <w:sz w:val="28"/>
          <w:szCs w:val="28"/>
          <w:highlight w:val="none"/>
          <w:lang w:eastAsia="zh-CN"/>
        </w:rPr>
        <w:t>机关事业单位职业年金缴费支出</w:t>
      </w:r>
      <w:r>
        <w:rPr>
          <w:rFonts w:hint="eastAsia" w:ascii="仿宋_GB2312" w:eastAsia="仿宋_GB2312"/>
          <w:sz w:val="28"/>
          <w:szCs w:val="28"/>
          <w:highlight w:val="none"/>
        </w:rPr>
        <w:t>（项）：反映</w:t>
      </w:r>
      <w:r>
        <w:rPr>
          <w:rFonts w:hint="eastAsia" w:ascii="仿宋_GB2312" w:eastAsia="仿宋_GB2312"/>
          <w:sz w:val="28"/>
          <w:szCs w:val="28"/>
          <w:highlight w:val="none"/>
          <w:lang w:eastAsia="zh-CN"/>
        </w:rPr>
        <w:t>机关</w:t>
      </w:r>
      <w:r>
        <w:rPr>
          <w:rFonts w:hint="eastAsia" w:ascii="仿宋_GB2312" w:eastAsia="仿宋_GB2312"/>
          <w:sz w:val="28"/>
          <w:szCs w:val="28"/>
          <w:highlight w:val="none"/>
        </w:rPr>
        <w:t>事业</w:t>
      </w:r>
      <w:r>
        <w:rPr>
          <w:rFonts w:hint="eastAsia" w:ascii="仿宋_GB2312" w:hAnsi="Times New Roman" w:eastAsia="仿宋_GB2312" w:cs="Times New Roman"/>
          <w:sz w:val="28"/>
          <w:szCs w:val="28"/>
          <w:highlight w:val="none"/>
        </w:rPr>
        <w:t>单位</w:t>
      </w:r>
      <w:r>
        <w:rPr>
          <w:rFonts w:hint="eastAsia" w:ascii="仿宋_GB2312" w:hAnsi="Times New Roman" w:eastAsia="仿宋_GB2312" w:cs="Times New Roman"/>
          <w:sz w:val="28"/>
          <w:szCs w:val="28"/>
          <w:highlight w:val="none"/>
          <w:lang w:eastAsia="zh-CN"/>
        </w:rPr>
        <w:t>实施养老保险制度由单位实际缴纳的职业年金支出。</w:t>
      </w:r>
    </w:p>
    <w:p>
      <w:pPr>
        <w:ind w:firstLine="420" w:firstLineChars="15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（4）社会保障和就业支出（类）行政事业单位养老支出（款）其他行政事业单位养老支出（项）：反映除上述项目以外其他用于行政事业单位养老方面的支出。</w:t>
      </w:r>
    </w:p>
    <w:p>
      <w:pPr>
        <w:ind w:firstLine="420" w:firstLineChars="15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（5）卫生健康支出（类）基层医疗卫生机构（款）乡镇卫生院（项）：反映用于乡镇卫生院的支出。</w:t>
      </w:r>
    </w:p>
    <w:p>
      <w:pPr>
        <w:ind w:firstLine="420" w:firstLineChars="150"/>
        <w:rPr>
          <w:rFonts w:hint="default"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（6）卫生健康支出（类）基层医疗卫生机构（款）其他基层医疗卫生机构支出（项）：反映除上述项目以外的其他用于基层医疗卫生机构的支出。</w:t>
      </w:r>
    </w:p>
    <w:p>
      <w:pPr>
        <w:ind w:firstLine="420" w:firstLineChars="15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（7）卫生健康支出（类）公共卫生（款）基本公共卫生服务（项）：反映基本公共卫生服务的支出。</w:t>
      </w:r>
    </w:p>
    <w:p>
      <w:pPr>
        <w:ind w:firstLine="420" w:firstLineChars="15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（8）卫生健康支出（类）公共卫生（款）重大公共卫生服务（项）：反映重大疾病、重大传染病预防控制等重大公共服务项目支出。</w:t>
      </w:r>
    </w:p>
    <w:p>
      <w:pPr>
        <w:ind w:firstLine="420" w:firstLineChars="150"/>
        <w:rPr>
          <w:rFonts w:hint="default"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（9）卫生健康支出（类）公共卫生（款）突发公共卫生事件应急处理（项）：反映用于突发公共卫生事件应急处置方面的支出。</w:t>
      </w:r>
    </w:p>
    <w:p>
      <w:pPr>
        <w:ind w:firstLine="420" w:firstLineChars="150"/>
        <w:rPr>
          <w:rFonts w:hint="eastAsia" w:ascii="仿宋_GB2312" w:eastAsia="仿宋_GB2312"/>
          <w:sz w:val="28"/>
          <w:szCs w:val="28"/>
          <w:highlight w:val="none"/>
          <w:lang w:val="en-US" w:eastAsia="zh-CN"/>
        </w:rPr>
      </w:pPr>
      <w:r>
        <w:rPr>
          <w:rFonts w:hint="eastAsia" w:ascii="仿宋_GB2312" w:eastAsia="仿宋_GB2312"/>
          <w:sz w:val="28"/>
          <w:szCs w:val="28"/>
          <w:highlight w:val="none"/>
          <w:lang w:val="en-US" w:eastAsia="zh-CN"/>
        </w:rPr>
        <w:t>（10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hAnsi="Times New Roman" w:eastAsia="仿宋_GB2312" w:cs="Times New Roman"/>
          <w:sz w:val="28"/>
          <w:szCs w:val="28"/>
          <w:highlight w:val="none"/>
          <w:lang w:val="en-US" w:eastAsia="zh-CN"/>
        </w:rPr>
      </w:pPr>
      <w:r>
        <w:rPr>
          <w:rFonts w:hint="eastAsia" w:ascii="仿宋_GB2312" w:eastAsia="仿宋_GB2312"/>
          <w:sz w:val="28"/>
          <w:szCs w:val="28"/>
          <w:highlight w:val="none"/>
          <w:lang w:val="en-US" w:eastAsia="zh-CN"/>
        </w:rPr>
        <w:t>（11)卫生健康支出（类）行政事业单位医疗（款）公务员医疗补助（项）：反映财政部门安排的公务员医疗补助</w:t>
      </w:r>
      <w:r>
        <w:rPr>
          <w:rFonts w:hint="eastAsia" w:ascii="仿宋_GB2312" w:hAnsi="Times New Roman" w:eastAsia="仿宋_GB2312" w:cs="Times New Roman"/>
          <w:sz w:val="28"/>
          <w:szCs w:val="28"/>
          <w:highlight w:val="none"/>
          <w:lang w:val="en-US" w:eastAsia="zh-CN"/>
        </w:rPr>
        <w:t>经费。</w:t>
      </w:r>
    </w:p>
    <w:p>
      <w:pPr>
        <w:ind w:firstLine="420" w:firstLineChars="150"/>
        <w:rPr>
          <w:rFonts w:hint="default"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（12）卫生健康支出（类）中医药（款）中医（民族医）药专项（项）：反映中医（民族医）药方面的专项的支出。</w:t>
      </w:r>
    </w:p>
    <w:p>
      <w:pPr>
        <w:ind w:firstLine="420" w:firstLineChars="15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（13）卫生健康支出（类）其他卫生健康支出（款）其他卫生健康支出（项）：反映除上述项目以外的其他用于卫生健康方面的支出。</w:t>
      </w:r>
    </w:p>
    <w:p>
      <w:pPr>
        <w:ind w:firstLine="420" w:firstLineChars="15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（14）住房保障支出（类）住房改革支出（款）住房公积金（项）：反映行政事业单位按人力资源和社会保障部、财政部规定的基本工资和津贴补贴以及规定比例为职工缴纳的住房公积金。</w:t>
      </w:r>
    </w:p>
    <w:p>
      <w:pPr>
        <w:ind w:firstLine="420" w:firstLineChars="150"/>
        <w:rPr>
          <w:rFonts w:hint="default"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（15）住房保障支出（类）住房改革支出（款）购房补贴（项）：反映按房改政策规定，行政事业单位向符合条件职工（含退休人员）、军队（含武警）向转役复员离退休人员发放的用于购买住房的补贴。</w:t>
      </w:r>
    </w:p>
    <w:p>
      <w:pPr>
        <w:pStyle w:val="2"/>
        <w:ind w:firstLine="560" w:firstLineChars="200"/>
        <w:rPr>
          <w:rFonts w:hint="eastAsia" w:ascii="仿宋_GB2312" w:eastAsia="仿宋_GB2312"/>
          <w:sz w:val="28"/>
          <w:szCs w:val="28"/>
          <w:highlight w:val="none"/>
          <w:lang w:val="en-US" w:eastAsia="zh-CN"/>
        </w:rPr>
      </w:pPr>
    </w:p>
    <w:bookmarkEnd w:id="0"/>
    <w:p>
      <w:pPr>
        <w:tabs>
          <w:tab w:val="center" w:pos="6979"/>
        </w:tabs>
        <w:spacing w:before="156" w:beforeLines="50" w:after="156" w:afterLines="50"/>
        <w:jc w:val="both"/>
        <w:rPr>
          <w:rFonts w:hint="eastAsia" w:ascii="宋体" w:hAnsi="宋体" w:eastAsia="宋体" w:cs="宋体"/>
          <w:b/>
          <w:bCs/>
          <w:spacing w:val="40"/>
          <w:kern w:val="0"/>
          <w:sz w:val="32"/>
          <w:szCs w:val="32"/>
          <w:highlight w:val="none"/>
        </w:rPr>
      </w:pPr>
    </w:p>
    <w:p>
      <w:pPr>
        <w:pStyle w:val="2"/>
        <w:rPr>
          <w:rFonts w:hint="eastAsia"/>
        </w:rPr>
      </w:pPr>
    </w:p>
    <w:p>
      <w:pPr>
        <w:tabs>
          <w:tab w:val="center" w:pos="6979"/>
        </w:tabs>
        <w:jc w:val="center"/>
        <w:rPr>
          <w:rFonts w:hint="eastAsia" w:ascii="宋体" w:hAnsi="宋体" w:eastAsia="宋体" w:cs="宋体"/>
          <w:b/>
          <w:bCs/>
          <w:spacing w:val="40"/>
          <w:kern w:val="0"/>
          <w:sz w:val="32"/>
          <w:szCs w:val="32"/>
          <w:highlight w:val="none"/>
        </w:rPr>
      </w:pPr>
    </w:p>
    <w:p>
      <w:pPr>
        <w:tabs>
          <w:tab w:val="center" w:pos="6979"/>
        </w:tabs>
        <w:ind w:firstLine="2800" w:firstLineChars="700"/>
        <w:jc w:val="both"/>
        <w:rPr>
          <w:rFonts w:hint="eastAsia" w:ascii="宋体" w:hAnsi="宋体" w:eastAsia="宋体" w:cs="宋体"/>
          <w:b/>
          <w:bCs/>
          <w:spacing w:val="40"/>
          <w:kern w:val="0"/>
          <w:sz w:val="32"/>
          <w:szCs w:val="32"/>
          <w:highlight w:val="none"/>
        </w:rPr>
      </w:pPr>
      <w:r>
        <w:rPr>
          <w:rFonts w:hint="eastAsia" w:ascii="宋体" w:hAnsi="宋体" w:eastAsia="宋体" w:cs="宋体"/>
          <w:b/>
          <w:bCs/>
          <w:spacing w:val="40"/>
          <w:kern w:val="0"/>
          <w:sz w:val="32"/>
          <w:szCs w:val="32"/>
          <w:highlight w:val="none"/>
        </w:rPr>
        <w:t>第四部分</w:t>
      </w:r>
      <w:r>
        <w:rPr>
          <w:rFonts w:hint="eastAsia" w:ascii="宋体" w:hAnsi="宋体" w:eastAsia="宋体" w:cs="宋体"/>
          <w:b/>
          <w:bCs/>
          <w:spacing w:val="40"/>
          <w:kern w:val="0"/>
          <w:sz w:val="32"/>
          <w:szCs w:val="32"/>
          <w:highlight w:val="none"/>
          <w:lang w:val="en-US" w:eastAsia="zh-CN"/>
        </w:rPr>
        <w:t xml:space="preserve"> </w:t>
      </w:r>
      <w:r>
        <w:rPr>
          <w:rFonts w:hint="eastAsia" w:ascii="宋体" w:hAnsi="宋体" w:eastAsia="宋体" w:cs="宋体"/>
          <w:b/>
          <w:bCs/>
          <w:spacing w:val="40"/>
          <w:kern w:val="0"/>
          <w:sz w:val="32"/>
          <w:szCs w:val="32"/>
          <w:highlight w:val="none"/>
        </w:rPr>
        <w:t>2024年度部门绩效评价情况</w:t>
      </w:r>
    </w:p>
    <w:p>
      <w:pPr>
        <w:spacing w:line="580" w:lineRule="exact"/>
        <w:ind w:firstLine="560" w:firstLineChars="200"/>
        <w:jc w:val="center"/>
        <w:rPr>
          <w:rFonts w:hint="eastAsia" w:ascii="黑体" w:eastAsia="黑体"/>
          <w:sz w:val="28"/>
          <w:szCs w:val="28"/>
          <w:highlight w:val="none"/>
        </w:rPr>
      </w:pPr>
    </w:p>
    <w:p>
      <w:pPr>
        <w:spacing w:line="560" w:lineRule="exact"/>
        <w:ind w:firstLine="560" w:firstLineChars="200"/>
        <w:rPr>
          <w:rFonts w:ascii="黑体" w:eastAsia="黑体"/>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年全年预算数</w:t>
      </w:r>
      <w:r>
        <w:rPr>
          <w:rFonts w:hint="eastAsia" w:ascii="仿宋_GB2312" w:eastAsia="仿宋_GB2312"/>
          <w:sz w:val="28"/>
          <w:szCs w:val="28"/>
          <w:lang w:val="en-US" w:eastAsia="zh-CN"/>
        </w:rPr>
        <w:t>2266.59</w:t>
      </w:r>
      <w:r>
        <w:rPr>
          <w:rFonts w:hint="eastAsia" w:ascii="仿宋_GB2312" w:eastAsia="仿宋_GB2312"/>
          <w:sz w:val="28"/>
          <w:szCs w:val="28"/>
        </w:rPr>
        <w:t>万元，其中，基本支出预算数</w:t>
      </w:r>
      <w:r>
        <w:rPr>
          <w:rFonts w:hint="eastAsia" w:ascii="仿宋_GB2312" w:eastAsia="仿宋_GB2312"/>
          <w:sz w:val="28"/>
          <w:szCs w:val="28"/>
          <w:lang w:val="en-US" w:eastAsia="zh-CN"/>
        </w:rPr>
        <w:t>900</w:t>
      </w:r>
      <w:r>
        <w:rPr>
          <w:rFonts w:hint="eastAsia" w:ascii="仿宋_GB2312" w:eastAsia="仿宋_GB2312"/>
          <w:sz w:val="28"/>
          <w:szCs w:val="28"/>
        </w:rPr>
        <w:t>万元，项目支出</w:t>
      </w:r>
      <w:r>
        <w:rPr>
          <w:rFonts w:hint="eastAsia" w:ascii="仿宋_GB2312" w:eastAsia="仿宋_GB2312"/>
          <w:sz w:val="28"/>
          <w:szCs w:val="28"/>
          <w:lang w:val="en-US" w:eastAsia="zh-CN"/>
        </w:rPr>
        <w:t>1366.59</w:t>
      </w:r>
      <w:r>
        <w:rPr>
          <w:rFonts w:hint="eastAsia" w:ascii="仿宋_GB2312" w:eastAsia="仿宋_GB2312"/>
          <w:sz w:val="28"/>
          <w:szCs w:val="28"/>
        </w:rPr>
        <w:t>万元，其他支出</w:t>
      </w:r>
      <w:r>
        <w:rPr>
          <w:rFonts w:hint="eastAsia" w:ascii="仿宋_GB2312" w:eastAsia="仿宋_GB2312"/>
          <w:sz w:val="28"/>
          <w:szCs w:val="28"/>
          <w:lang w:val="en-US" w:eastAsia="zh-CN"/>
        </w:rPr>
        <w:t>0</w:t>
      </w:r>
      <w:r>
        <w:rPr>
          <w:rFonts w:hint="eastAsia" w:ascii="仿宋_GB2312" w:eastAsia="仿宋_GB2312"/>
          <w:sz w:val="28"/>
          <w:szCs w:val="28"/>
        </w:rPr>
        <w:t>万元。预算执行率为</w:t>
      </w:r>
      <w:r>
        <w:rPr>
          <w:rFonts w:hint="eastAsia" w:ascii="仿宋_GB2312" w:eastAsia="仿宋_GB2312"/>
          <w:sz w:val="28"/>
          <w:szCs w:val="28"/>
          <w:lang w:val="en-US" w:eastAsia="zh-CN"/>
        </w:rPr>
        <w:t>99.63</w:t>
      </w:r>
      <w:r>
        <w:rPr>
          <w:rFonts w:hint="eastAsia" w:ascii="仿宋_GB2312" w:eastAsia="仿宋_GB2312"/>
          <w:sz w:val="28"/>
          <w:szCs w:val="28"/>
        </w:rPr>
        <w:t>%。</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2023年促进基层中医药传承创新发展经费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5.000000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4.940000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5.000000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4.940000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2"/>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22"/>
                <w:lang w:val="en-US" w:eastAsia="zh-CN" w:bidi="ar"/>
              </w:rPr>
              <w:t xml:space="preserve">        中央直达资金</w:t>
            </w:r>
            <w:r>
              <w:rPr>
                <w:rStyle w:val="23"/>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通过对基层中医药传承创新发展经费的补助，促进中医药发展，健全中医药管理体系和中医药继承创新体系，提高居民就诊体验。</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通过对基层中医药传承创新发展经费的补助，促进中医药发展，健全中医药管理体系和中医药继承创新体系，提高居民就诊体验。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名中医工程出诊人数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名中医工程服务人次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≥30人/月</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≥30人/月</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患者病情好转率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资金使用及时率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根据出诊情况按月发放</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根据出诊情况按月发放</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中医药发展</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居民就诊体验</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2024年返聘退休医务人员资金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38.330000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38.330000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38.330000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38.330000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180" w:afterAutospacing="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通过返聘医务人员的业务指导以及门诊出诊，提高我院医疗质量及业务水平。</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通过返聘医务人员的业务指导以及门诊出诊，提高我院医疗质量及业务水平。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补助人员和实际工作人员差异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发放补助时间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每月</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≤38.33万元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人员专业化水平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辖区居民对基层医疗服务水平的满意度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2024年卫生院物业管理-保洁外包服务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60.000000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60.000000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60.000000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6.000000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60.000000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60.000000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24"/>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通过对物业管理-保洁外包服务经费的补助，对院内环境进行卫生清理、消毒，保障患者就医环境整洁卫生。</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通过对物业管理-保洁外包服务经费的补助，对院内环境进行卫生清理、消毒，保障患者就医环境整洁卫生。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接受补助的单位数量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保洁人员数量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卫生清洁合格率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每天清洁次数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院内卫生合格率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患者就医环境</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75"/>
        <w:gridCol w:w="255"/>
        <w:gridCol w:w="75"/>
        <w:gridCol w:w="1485"/>
        <w:gridCol w:w="75"/>
        <w:gridCol w:w="1350"/>
        <w:gridCol w:w="75"/>
        <w:gridCol w:w="720"/>
        <w:gridCol w:w="75"/>
        <w:gridCol w:w="630"/>
        <w:gridCol w:w="75"/>
        <w:gridCol w:w="765"/>
        <w:gridCol w:w="75"/>
        <w:gridCol w:w="645"/>
        <w:gridCol w:w="75"/>
        <w:gridCol w:w="1005"/>
        <w:gridCol w:w="75"/>
        <w:gridCol w:w="1005"/>
        <w:gridCol w:w="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75" w:type="dxa"/>
          <w:trHeight w:val="405" w:hRule="atLeast"/>
        </w:trPr>
        <w:tc>
          <w:tcPr>
            <w:tcW w:w="14205" w:type="dxa"/>
            <w:gridSpan w:val="2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4205" w:type="dxa"/>
            <w:gridSpan w:val="23"/>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2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317.8665</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317.8665</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317.8665</w:t>
            </w: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317.8665</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317.8665</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317.8665</w:t>
            </w: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通过开展妇幼保健工作、中医健康管理、慢病管理、老年人体检等公共卫生项目、提高基本公共卫生服务和突发应急应对能力，预防和控制传染病的发生和流行，提高居民健康素质有重要促进作用。</w:t>
            </w:r>
          </w:p>
        </w:tc>
        <w:tc>
          <w:tcPr>
            <w:tcW w:w="664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通过开展妇幼保健工作、中医健康管理、慢病管理、老年人体检等公共卫生项目、提高基本公共卫生服务和突发应急应对能力，预防和控制传染病的发生和流行，提高居民健康素质有重要促进作用。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建立《北京市母子健康手册》覆盖人数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≥350人</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≥350人</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中医保健指导人数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≥2500人</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≥2500人</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产后访视率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老年人体检率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慢病管理开展及时率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≤3178665元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≤3178665元</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医疗服务水平</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辖区居民身体健康</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建立健全公共卫生服务体系建设</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医院服务质量</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接受补助单位满意度</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居民对医疗服务水平的满意度</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5" w:type="dxa"/>
          <w:trHeight w:val="520" w:hRule="atLeast"/>
        </w:trPr>
        <w:tc>
          <w:tcPr>
            <w:tcW w:w="898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80" w:type="dxa"/>
            <w:gridSpan w:val="2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2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基本公共卫生经费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900.000000 </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900.000000 </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900.000000 </w:t>
            </w: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900.000000 </w:t>
            </w: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900.000000 </w:t>
            </w: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900.000000 </w:t>
            </w: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通过对编内人员进行补助，降低编内人员方面的运行成本，促进编内人员按照标准配备，提高人员专业化水平，维护行业健康发展，提高医疗卫生服务水平</w:t>
            </w:r>
          </w:p>
        </w:tc>
        <w:tc>
          <w:tcPr>
            <w:tcW w:w="6645"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通过对编内人员进行补助，降低编内人员方面的运行成本，促进编内人员按照标准配备，提高人员专业化水平，维护行业健康发展，提高医疗卫生服务水平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配备人员数量</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每人每月薪资标准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补助资金发放及时性</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申请资金补助时限</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9000000元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9000000元</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医疗服务水平</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人员专业化水平</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行业健康发展</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接受补助单位满意度</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职工对工作满意度</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临时辅助用工经费（卫生）.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177.714468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177.714468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177.714468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177.714468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177.714468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177.714468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通过对临时辅助人员经费进行补助，降低临时辅助人员方面的运行成本，促进临时辅助人员按照标准配备，提高临时辅助人员专业化水平，维护行业健康发展，提高医疗卫生服务水平</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通过对临时辅助人员经费进行补助，降低临时辅助人员方面的运行成本，促进临时辅助人员按照标准配备，提高临时辅助人员专业化水平，维护行业健康发展，提高医疗卫生服务水平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补助临时辅助人数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每人每月薪资标准</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配备人员数量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补助资金发放及时性</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申请资金补助时限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1777144.68元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1777144.68元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行业健康发展</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人员专业化水平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临时辅助人员对工作的满意度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事业人员工资奖金津贴绩效工资（5%绩效增量）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22.527500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22.527500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22.527500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22.527500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通过对编内人员进行补助，降低编内人员方面的运行成本，促进编内人员按照标准配备，提高人员专业化水平，维护行业健康发展，提高医疗卫生服务水平</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通过对编内人员进行补助，降低编内人员方面的运行成本，促进编内人员按照标准配备，提高人员专业化水平，维护行业健康发展，提高医疗卫生服务水平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配备人员数量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每人每月薪资标准</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补助资金发放及时性</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申请资金补助时限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225275元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225275元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人员专业化水平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行业健康发展</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职工对工作满意度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事业人员工资奖金津贴绩效工资（20%绩效增量）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90.104100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90.104100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90.104100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90.104100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通过对编内人员进行补助，降低编内人员方面的运行成本，促进编内人员按照标准配备，提高人员专业化水平，维护行业健康发展，提高医疗卫生服务水平</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通过对编内人员进行补助，降低编内人员方面的运行成本，促进编内人员按照标准配备，提高人员专业化水平，维护行业健康发展，提高医疗卫生服务水平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配备人员数量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每人每月薪资标准</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补助资金发放及时性</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申请资金补助时限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901041元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901041元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人员专业化水平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行业健康发展</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职工对工作满意度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退休乡医生活补助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40.000000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40.000000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38.444000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96.11%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40.000000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40.000000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39.444000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96.11%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通过对退休乡医人员经费进行补助，提高本村基层医疗及公共卫生服务水平，更好的为本村居民服务。</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通过对退休乡医人员经费进行补助，提高本村基层医疗及公共卫生服务水平，更好的为本村居民服务。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补助乡医人数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补助人员和实际工作人员差异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配备人员数量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资金拨付至专用账户时限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申请资金补助时限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≤400000元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医疗安全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人员专业化水平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基层医疗服务水平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居民对医疗服务水平的满意度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7"/>
        <w:gridCol w:w="1072"/>
        <w:gridCol w:w="1558"/>
        <w:gridCol w:w="1074"/>
        <w:gridCol w:w="1155"/>
        <w:gridCol w:w="327"/>
        <w:gridCol w:w="1559"/>
        <w:gridCol w:w="1521"/>
        <w:gridCol w:w="690"/>
        <w:gridCol w:w="793"/>
        <w:gridCol w:w="734"/>
        <w:gridCol w:w="810"/>
        <w:gridCol w:w="974"/>
        <w:gridCol w:w="11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卫生健康-2024年大兴区从业人员免费健康检查工作经费（专项）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20.312760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20.312760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20.312760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20.312760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20.312760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20.312760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通过对从业人员免费健康体检项目的经费补助，提高从业人员身体健康素质，提高患者就诊满意度，医疗服务质量得到保障，行业健康发展得到稳定。</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通过对从业人员免费健康体检项目的经费补助，提高从业人员身体健康素质，提高患者就诊满意度，医疗服务质量得到保障，行业健康发展得到稳定。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从业人员体检人数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补助资金使用精准率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补助资金支出时间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≤20.31276万元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≤20.31276万元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从业人员身体健康</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医疗服务质量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从业人员就诊满意度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卫生健康-2024年院前急救保障经费（专项）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83.830000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83.830000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83.830000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83.830000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83.830000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83.830000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通过开展院前医疗急救工作，进一步推进医院服务质量，健全和完善城乡社会医疗救助体系，保障社会平稳持续发展。</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通过开展院前医疗急救工作，进一步推进医院服务质量，健全和完善城乡社会医疗救助体系，保障社会平稳持续发展。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完成任务数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救助率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医疗服务质量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出车率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≤2分钟</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≤2分钟</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≤83.83万元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≤83.83万元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医疗安全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医疗服务和基本公共卫生服务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卫生健康-2024年中央转移支付基本公共卫生服务补助资金（专项）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6.983800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6.983800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6.983800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6.983800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通过开展基本公共卫生服务工作，提高基本公共卫生服务和突发应急应对能力，有效预防和控制传染病的发生和流行，对提高居民健康素质有促进作用。</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通过开展基本公共卫生服务工作，提高基本公共卫生服务和突发应急应对能力，有效预防和控制传染病的发生和流行，对提高居民健康素质有促进作用。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资金补助时限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≤69838元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≤69838元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辖区居民身体健康</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建立健全基本公共卫生服务体系</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rPr>
          <w:rFonts w:hint="eastAsia"/>
        </w:rPr>
      </w:pPr>
    </w:p>
    <w:p>
      <w:pPr>
        <w:rPr>
          <w:rFonts w:hint="eastAsia"/>
        </w:rPr>
      </w:pPr>
    </w:p>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7"/>
        <w:gridCol w:w="1061"/>
        <w:gridCol w:w="1536"/>
        <w:gridCol w:w="1079"/>
        <w:gridCol w:w="1379"/>
        <w:gridCol w:w="329"/>
        <w:gridCol w:w="1542"/>
        <w:gridCol w:w="1412"/>
        <w:gridCol w:w="772"/>
        <w:gridCol w:w="691"/>
        <w:gridCol w:w="816"/>
        <w:gridCol w:w="709"/>
        <w:gridCol w:w="1056"/>
        <w:gridCol w:w="106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卫生健康-2024乡村医生岗位人员补助（专项）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2.310000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2.310000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2.310000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2.310000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为了提高辖区居民医疗服务水平，稳定医疗行业健康发展，发放乡村医生岗位人员补助。</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为了提高辖区居民医疗服务水平，稳定医疗行业健康发展，发放乡村医生岗位人员补助。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补助岗位数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补助人数与实际工作人员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资金申请补助时限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≤23100元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≤23100元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辖区居民医疗服务水平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医疗服务行业稳定发展</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居民对辖区医疗服务水平满意度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bl>
      <w:tblPr>
        <w:tblStyle w:val="10"/>
        <w:tblW w:w="1593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84"/>
        <w:gridCol w:w="42"/>
        <w:gridCol w:w="951"/>
        <w:gridCol w:w="83"/>
        <w:gridCol w:w="1298"/>
        <w:gridCol w:w="186"/>
        <w:gridCol w:w="826"/>
        <w:gridCol w:w="254"/>
        <w:gridCol w:w="132"/>
        <w:gridCol w:w="736"/>
        <w:gridCol w:w="287"/>
        <w:gridCol w:w="43"/>
        <w:gridCol w:w="230"/>
        <w:gridCol w:w="222"/>
        <w:gridCol w:w="1229"/>
        <w:gridCol w:w="332"/>
        <w:gridCol w:w="279"/>
        <w:gridCol w:w="781"/>
        <w:gridCol w:w="365"/>
        <w:gridCol w:w="279"/>
        <w:gridCol w:w="516"/>
        <w:gridCol w:w="246"/>
        <w:gridCol w:w="459"/>
        <w:gridCol w:w="840"/>
        <w:gridCol w:w="109"/>
        <w:gridCol w:w="38"/>
        <w:gridCol w:w="15"/>
        <w:gridCol w:w="558"/>
        <w:gridCol w:w="934"/>
        <w:gridCol w:w="15"/>
        <w:gridCol w:w="131"/>
        <w:gridCol w:w="59"/>
        <w:gridCol w:w="1021"/>
        <w:gridCol w:w="574"/>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2"/>
          <w:wAfter w:w="1654" w:type="dxa"/>
          <w:trHeight w:val="405" w:hRule="atLeast"/>
        </w:trPr>
        <w:tc>
          <w:tcPr>
            <w:tcW w:w="14280" w:type="dxa"/>
            <w:gridSpan w:val="3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4280" w:type="dxa"/>
            <w:gridSpan w:val="33"/>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434" w:type="dxa"/>
            <w:gridSpan w:val="3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卫生健康-促进基层中医药传承创新发展经费（第二批）（专项）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45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7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17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45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7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17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49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4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798"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44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12"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2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98"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12"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1.000000 </w:t>
            </w:r>
          </w:p>
        </w:tc>
        <w:tc>
          <w:tcPr>
            <w:tcW w:w="27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1.000000 </w:t>
            </w:r>
          </w:p>
        </w:tc>
        <w:tc>
          <w:tcPr>
            <w:tcW w:w="14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1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1.000000 </w:t>
            </w:r>
          </w:p>
        </w:tc>
        <w:tc>
          <w:tcPr>
            <w:tcW w:w="27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1.000000 </w:t>
            </w:r>
          </w:p>
        </w:tc>
        <w:tc>
          <w:tcPr>
            <w:tcW w:w="14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9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8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30"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1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392"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06" w:type="dxa"/>
            <w:gridSpan w:val="4"/>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10"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49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97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92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49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通过对促进基层中医药传承创新发展的补助，提高中医就诊率，患者需求得到满足，提升医务人员服务水平。</w:t>
            </w:r>
          </w:p>
        </w:tc>
        <w:tc>
          <w:tcPr>
            <w:tcW w:w="697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通过对促进基层中医药传承创新发展的补助，提高中医就诊率，患者需求得到满足，提升医务人员服务水平。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760" w:hRule="atLeast"/>
        </w:trPr>
        <w:tc>
          <w:tcPr>
            <w:tcW w:w="813"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47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中医阁改造数量</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建设标准</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满足行业规范</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满足行业规范</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施工时间</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2024.5.13至2024.5.21</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2024.5.13至2024.5.22</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合同签订时间</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2024年5月</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2024年5月</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竣工验收时间</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2024年5月</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2024年5月</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≤10000元</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≤10000元</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59"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47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患者接种需求</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得到满足</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得到满足</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村卫生室医疗技术水平</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478"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辖区居民满意度</w:t>
            </w: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325" w:hRule="atLeast"/>
        </w:trPr>
        <w:tc>
          <w:tcPr>
            <w:tcW w:w="813"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33"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8"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64" w:type="dxa"/>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1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69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4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718"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05" w:hRule="atLeast"/>
        </w:trPr>
        <w:tc>
          <w:tcPr>
            <w:tcW w:w="14280" w:type="dxa"/>
            <w:gridSpan w:val="3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4280" w:type="dxa"/>
            <w:gridSpan w:val="33"/>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2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卫生健康-第二批中医专家学术经验继承工作室资金（专项）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8.500000 </w:t>
            </w: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8.500000 </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0.023014 </w:t>
            </w:r>
          </w:p>
        </w:tc>
        <w:tc>
          <w:tcPr>
            <w:tcW w:w="15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8.500000 </w:t>
            </w: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8.500000 </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0.023014 </w:t>
            </w:r>
          </w:p>
        </w:tc>
        <w:tc>
          <w:tcPr>
            <w:tcW w:w="15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10" w:hRule="atLeast"/>
        </w:trPr>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1060" w:hRule="atLeast"/>
        </w:trPr>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中医专家学术经验继承工作室的经费补助，丰富医疗手段，传承中医文化、促进中西医融合发展，实现中西医优势互补，中医药自然疗法，具有疗效温和、副作用小、对身体有益等优点，适合许多人需求，有利于预防疾病发生。提高辖区居民的医疗服务水平。提高群众的就诊满意度。</w:t>
            </w:r>
          </w:p>
        </w:tc>
        <w:tc>
          <w:tcPr>
            <w:tcW w:w="6645"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中医专家学术经验继承工作室的经费补助，丰富医疗手段，传承中医文化、促进中西医融合发展，实现中西医优势互补，中医药自然疗法，具有疗效温和、副作用小、对身体有益等优点，适合许多人需求，有利于预防疾病发生。提高辖区居民的医疗服务水平。提高群众的就诊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760" w:hRule="atLeast"/>
        </w:trPr>
        <w:tc>
          <w:tcPr>
            <w:tcW w:w="85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补助资金发放及时性</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根据专家出诊情况按月发放</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根据专家出诊情况按月发放</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资金支出时间</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因本单位参与带教人员调出，该项目停止。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≤8.5万元</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≤8.5万元</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医疗服务水平</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385"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辖区居民医疗服务水平</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415"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居民对医疗服务水平的满意度</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654" w:type="dxa"/>
          <w:trHeight w:val="520" w:hRule="atLeast"/>
        </w:trPr>
        <w:tc>
          <w:tcPr>
            <w:tcW w:w="9060"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216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5934" w:type="dxa"/>
            <w:gridSpan w:val="3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5934" w:type="dxa"/>
            <w:gridSpan w:val="35"/>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3999"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卫生健康-过渡期前一线医务人员临时性工作补助（专项）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97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35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97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35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787"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6"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3595" w:type="dxa"/>
            <w:gridSpan w:val="8"/>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87"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9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6"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95" w:type="dxa"/>
            <w:gridSpan w:val="8"/>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2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1.355000 </w:t>
            </w:r>
          </w:p>
        </w:tc>
        <w:tc>
          <w:tcPr>
            <w:tcW w:w="35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1.355000 </w:t>
            </w: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2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1.355000 </w:t>
            </w:r>
          </w:p>
        </w:tc>
        <w:tc>
          <w:tcPr>
            <w:tcW w:w="35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1.355000 </w:t>
            </w: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2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2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59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29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840"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25" w:type="dxa"/>
            <w:gridSpan w:val="3"/>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170" w:type="dxa"/>
            <w:gridSpan w:val="5"/>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5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7059"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8020"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059"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通过过渡期前一线医务人员临时性工作的补助，促进疫情防控工作的开展，保障医院正常工作。</w:t>
            </w:r>
          </w:p>
        </w:tc>
        <w:tc>
          <w:tcPr>
            <w:tcW w:w="8020"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通过过渡期前一线医务人员临时性工作的补助，促进疫情防控工作的开展，保障医院正常工作。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85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接受补助单位数量</w:t>
            </w: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接受补助人数</w:t>
            </w: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病人好转率</w:t>
            </w: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补助发放及时性</w:t>
            </w: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13550元</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13550元</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疫情防控工作</w:t>
            </w: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医院医疗工作</w:t>
            </w: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接受补助人员满意度</w:t>
            </w: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4"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8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339"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1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865"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54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6"/>
        <w:gridCol w:w="59"/>
        <w:gridCol w:w="952"/>
        <w:gridCol w:w="128"/>
        <w:gridCol w:w="1328"/>
        <w:gridCol w:w="247"/>
        <w:gridCol w:w="755"/>
        <w:gridCol w:w="34"/>
        <w:gridCol w:w="291"/>
        <w:gridCol w:w="825"/>
        <w:gridCol w:w="259"/>
        <w:gridCol w:w="71"/>
        <w:gridCol w:w="165"/>
        <w:gridCol w:w="165"/>
        <w:gridCol w:w="1327"/>
        <w:gridCol w:w="17"/>
        <w:gridCol w:w="216"/>
        <w:gridCol w:w="1162"/>
        <w:gridCol w:w="263"/>
        <w:gridCol w:w="5"/>
        <w:gridCol w:w="499"/>
        <w:gridCol w:w="291"/>
        <w:gridCol w:w="390"/>
        <w:gridCol w:w="315"/>
        <w:gridCol w:w="497"/>
        <w:gridCol w:w="104"/>
        <w:gridCol w:w="239"/>
        <w:gridCol w:w="330"/>
        <w:gridCol w:w="390"/>
        <w:gridCol w:w="512"/>
        <w:gridCol w:w="14"/>
        <w:gridCol w:w="126"/>
        <w:gridCol w:w="428"/>
        <w:gridCol w:w="618"/>
        <w:gridCol w:w="462"/>
        <w:gridCol w:w="89"/>
        <w:gridCol w:w="10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3"/>
          <w:wAfter w:w="1600" w:type="dxa"/>
          <w:trHeight w:val="619" w:hRule="atLeast"/>
        </w:trPr>
        <w:tc>
          <w:tcPr>
            <w:tcW w:w="13818" w:type="dxa"/>
            <w:gridSpan w:val="3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17" w:hRule="atLeast"/>
        </w:trPr>
        <w:tc>
          <w:tcPr>
            <w:tcW w:w="13818" w:type="dxa"/>
            <w:gridSpan w:val="3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011"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卫生健康-基本药物制度补助经费（专项）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1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25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1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25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492"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2004"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4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49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1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1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3.434000 </w:t>
            </w: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3.434000 </w:t>
            </w: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3.434000 </w:t>
            </w: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3.434000 </w:t>
            </w: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16" w:hRule="atLeast"/>
        </w:trPr>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62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39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923" w:hRule="atLeast"/>
        </w:trPr>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2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通过国家基本药物经费的补助，满足人民群众的重点卫生保健需要，保障人民群众用药安全，减轻群众负担，助力深化医改，强化医疗卫生工作。</w:t>
            </w:r>
          </w:p>
        </w:tc>
        <w:tc>
          <w:tcPr>
            <w:tcW w:w="639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通过国家基本药物经费的补助，满足人民群众的重点卫生保健需要，保障人民群众用药安全，减轻群众负担，助力深化医改，强化医疗卫生工作。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764" w:hRule="atLeast"/>
        </w:trPr>
        <w:tc>
          <w:tcPr>
            <w:tcW w:w="7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机构实施国家基本药物制度数量</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村卫生室实施国家基本药物制度数量</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补助机构及村卫生室数量与实际数量</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资金使用及时率</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2024年12月之前</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2024年12月之前</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≤34340元</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≤34340元</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公共卫生服务保障范围覆盖率</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突发应急应对能力</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医疗卫生工作</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得到强化</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得到强化</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建立健全公共卫生服务体系建设</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879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13818" w:type="dxa"/>
            <w:gridSpan w:val="3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17" w:hRule="atLeast"/>
        </w:trPr>
        <w:tc>
          <w:tcPr>
            <w:tcW w:w="13818" w:type="dxa"/>
            <w:gridSpan w:val="3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011"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卫生健康-基本药物制度补助经费（专项）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1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25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612"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25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492"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2004"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14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493"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1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3"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1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0.348800 </w:t>
            </w: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0.348800 </w:t>
            </w: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0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0.348800 </w:t>
            </w:r>
          </w:p>
        </w:tc>
        <w:tc>
          <w:tcPr>
            <w:tcW w:w="21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0.348800 </w:t>
            </w:r>
          </w:p>
        </w:tc>
        <w:tc>
          <w:tcPr>
            <w:tcW w:w="149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1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16" w:hRule="atLeast"/>
        </w:trPr>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62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39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923" w:hRule="atLeast"/>
        </w:trPr>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23"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通过国家基本药物经费的补助，满足人民群众的重点卫生保健需要，保障人民群众用药安全，减轻群众负担，助力深化医改，强化医疗卫生工作。</w:t>
            </w:r>
          </w:p>
        </w:tc>
        <w:tc>
          <w:tcPr>
            <w:tcW w:w="6399"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通过国家基本药物经费的补助，满足人民群众的重点卫生保健需要，保障人民群众用药安全，减轻群众负担，助力深化医改，强化医疗卫生工作。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764" w:hRule="atLeast"/>
        </w:trPr>
        <w:tc>
          <w:tcPr>
            <w:tcW w:w="7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机构实施国家基本药物制度数量</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村卫生室实施国家基本药物制度数量</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补助机构及村卫生室数量与实际数量</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资金使用及时率</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2024年12月之前</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2024年12月之前</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≤3488元</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≤3488元</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公共卫生服务保障范围覆盖率</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突发应急应对能力</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医疗卫生工作</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得到强化</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得到强化</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建立健全公共卫生服务体系建设</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3"/>
          <w:wAfter w:w="1600" w:type="dxa"/>
          <w:trHeight w:val="526" w:hRule="atLeast"/>
        </w:trPr>
        <w:tc>
          <w:tcPr>
            <w:tcW w:w="879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4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088"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15418" w:type="dxa"/>
            <w:gridSpan w:val="3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15418" w:type="dxa"/>
            <w:gridSpan w:val="37"/>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3611" w:type="dxa"/>
            <w:gridSpan w:val="3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卫生健康-基层医疗卫生服务能力提升项目经费（专项）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59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375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25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8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59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375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257"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80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45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9"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728"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3759" w:type="dxa"/>
            <w:gridSpan w:val="11"/>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471"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737"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09"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8"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9" w:type="dxa"/>
            <w:gridSpan w:val="11"/>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1"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37"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4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14.972892 </w:t>
            </w:r>
          </w:p>
        </w:tc>
        <w:tc>
          <w:tcPr>
            <w:tcW w:w="375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14.972892 </w:t>
            </w:r>
          </w:p>
        </w:tc>
        <w:tc>
          <w:tcPr>
            <w:tcW w:w="14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73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4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14.972892</w:t>
            </w:r>
          </w:p>
        </w:tc>
        <w:tc>
          <w:tcPr>
            <w:tcW w:w="375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14.972892</w:t>
            </w:r>
          </w:p>
        </w:tc>
        <w:tc>
          <w:tcPr>
            <w:tcW w:w="14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3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4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3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4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72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75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3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7" w:hRule="atLeast"/>
        </w:trPr>
        <w:tc>
          <w:tcPr>
            <w:tcW w:w="180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5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4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36"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92" w:type="dxa"/>
            <w:gridSpan w:val="2"/>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663" w:type="dxa"/>
            <w:gridSpan w:val="5"/>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2096" w:type="dxa"/>
            <w:gridSpan w:val="6"/>
            <w:tcBorders>
              <w:top w:val="nil"/>
              <w:left w:val="nil"/>
              <w:bottom w:val="nil"/>
              <w:right w:val="nil"/>
            </w:tcBorders>
            <w:shd w:val="clear" w:color="auto" w:fill="auto"/>
            <w:noWrap/>
            <w:vAlign w:val="center"/>
          </w:tcPr>
          <w:p>
            <w:pPr>
              <w:rPr>
                <w:rFonts w:hint="eastAsia" w:ascii="宋体" w:hAnsi="宋体" w:eastAsia="宋体" w:cs="宋体"/>
                <w:i w:val="0"/>
                <w:iCs w:val="0"/>
                <w:color w:val="000000"/>
                <w:sz w:val="22"/>
                <w:szCs w:val="22"/>
                <w:u w:val="none"/>
              </w:rPr>
            </w:pPr>
          </w:p>
        </w:tc>
        <w:tc>
          <w:tcPr>
            <w:tcW w:w="147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73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7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60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801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7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6"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通过对基层医疗卫生服务能力提升项目经费的补助，改造徐柏村卫生室，满足辖区居民就诊需求，提高村卫生室医疗技术水平。</w:t>
            </w:r>
          </w:p>
        </w:tc>
        <w:tc>
          <w:tcPr>
            <w:tcW w:w="8016"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通过对基层医疗卫生服务能力提升项目经费的补助，改造徐柏村卫生室，满足辖区居民就诊需求，提高村卫生室医疗技术水平。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796"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改造村卫生室数量</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建设标准</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满足行业规范</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满足行业规范</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施工时间</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2023.9至2023.10</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2023.9至2023.10</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合同签订时间</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2023年9月</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2023年9月</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竣工验收时间</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2023年10月</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2023年10月</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≤149728.92元</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≤149728.92元</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9"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辖区居民就诊需求</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得到满足</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得到满足</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村卫生室医疗技术水平</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6"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456"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辖区居民满意度</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96"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1"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56"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47"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9065" w:type="dxa"/>
            <w:gridSpan w:val="2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20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77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05" w:hRule="atLeast"/>
        </w:trPr>
        <w:tc>
          <w:tcPr>
            <w:tcW w:w="14280" w:type="dxa"/>
            <w:gridSpan w:val="3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4280" w:type="dxa"/>
            <w:gridSpan w:val="35"/>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卫生健康-市级基本公共卫生服务补助项目（专项）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72.484800 </w:t>
            </w: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72.484800 </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72.484800 </w:t>
            </w: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72.484800 </w:t>
            </w: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72.484800 </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72.484800 </w:t>
            </w: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10" w:hRule="atLeast"/>
        </w:trPr>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920" w:hRule="atLeast"/>
        </w:trPr>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通过对基本公共卫生服务项目的补助，预防和控制传染病及慢性病的发生和流行；可以提高公共卫生和突发公共卫生服务应急处置能力，建立和维护居民健康的一屏障，对于提高居民健康素质有重要促进作用。</w:t>
            </w:r>
          </w:p>
        </w:tc>
        <w:tc>
          <w:tcPr>
            <w:tcW w:w="664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通过对基本公共卫生服务项目的补助，预防和控制传染病及慢性病的发生和流行；可以提高公共卫生和突发公共卫生服务应急处置能力，建立和维护居民健康的一屏障，对于提高居民健康素质有重要促进作用。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760" w:hRule="atLeast"/>
        </w:trPr>
        <w:tc>
          <w:tcPr>
            <w:tcW w:w="85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《北京市母子健康手册》覆盖率</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大兴区0-6岁儿童体检人数</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60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严重精神疾病患者体检人次数</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60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实施免疫规划接种人数</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80" w:type="dxa"/>
            <w:gridSpan w:val="4"/>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严重精神疾病患者访视率</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接种卡证符合率</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中医保健指导开展频次</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《北京市母子健康手册》及时率</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724848.00元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724848.00元</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34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14"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31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34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突发应急应对能力</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公共卫生服务保障范围覆盖率</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3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34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建立健全公共卫生服务体系建设</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医院服务质量</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居民对服务水平的满意度</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00" w:hRule="atLeast"/>
        </w:trPr>
        <w:tc>
          <w:tcPr>
            <w:tcW w:w="9060"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05" w:hRule="atLeast"/>
        </w:trPr>
        <w:tc>
          <w:tcPr>
            <w:tcW w:w="14280" w:type="dxa"/>
            <w:gridSpan w:val="3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4280" w:type="dxa"/>
            <w:gridSpan w:val="35"/>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3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卫生健康-乡村医生岗位人员补助（专项）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5"/>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6"/>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5"/>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6"/>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114.504000 </w:t>
            </w: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114.504000 </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114.504000 </w:t>
            </w: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114.504000 </w:t>
            </w: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114.504000 </w:t>
            </w: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114.504000 </w:t>
            </w: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420" w:hRule="atLeast"/>
        </w:trPr>
        <w:tc>
          <w:tcPr>
            <w:tcW w:w="193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10" w:hRule="atLeast"/>
        </w:trPr>
        <w:tc>
          <w:tcPr>
            <w:tcW w:w="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920" w:hRule="atLeast"/>
        </w:trPr>
        <w:tc>
          <w:tcPr>
            <w:tcW w:w="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通过对乡村医生岗位人员经费的补助，提高本村基本医疗和公共卫生服务水平，更好地为居民服务。</w:t>
            </w:r>
          </w:p>
        </w:tc>
        <w:tc>
          <w:tcPr>
            <w:tcW w:w="6645"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通过对乡村医生岗位人员经费的补助，提高本村基本医疗和公共卫生服务水平，更好地为居民服务。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760" w:hRule="atLeast"/>
        </w:trPr>
        <w:tc>
          <w:tcPr>
            <w:tcW w:w="85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补助村卫生室数量</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14个</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14个</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补助乡医人数</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15人</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15人</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每人每月薪资标准</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达到政策补贴标准</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补助资金发放及时性</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按规定按时发放</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按规定按时发放</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≤114.504万元</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≤114.504万元</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辖区居民医疗服务</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基本医疗和公共卫生服务水平</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gridSpan w:val="2"/>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85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gridSpan w:val="2"/>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居民对服务水平的满意度</w:t>
            </w:r>
          </w:p>
        </w:tc>
        <w:tc>
          <w:tcPr>
            <w:tcW w:w="15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1138" w:type="dxa"/>
          <w:trHeight w:val="520" w:hRule="atLeast"/>
        </w:trPr>
        <w:tc>
          <w:tcPr>
            <w:tcW w:w="9060" w:type="dxa"/>
            <w:gridSpan w:val="1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卫生健康-中央转移支付基本公共卫生服务补助资金（专项）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11.227400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11.227400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11.227400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11.227400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11.227400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11.227400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通过对基本公共卫生服务项目的补助，预防和控制传染病及慢性病的发生和流行；可以提高公共卫生和突发公共卫生服务应急处置能力，建立和维护居民健康的一屏障，对于提高居民健康素质有重要促进作用。</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通过对基本公共卫生服务项目的补助，预防和控制传染病及慢性病的发生和流行；可以提高公共卫生和突发公共卫生服务应急处置能力，建立和维护居民健康的一屏障，对于提高居民健康素质有重要促进作用。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≤30273人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≤30273人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慢病管理规范管理人数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≤2300人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慢病管理规范率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慢病开展及时率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≤1122747元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≤112274元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公共卫生和突发公共卫生服务应急处置能力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居民健康素质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得到促进</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患者就诊满意度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卫生健康-中央转移支付基本公共卫生服务补助资金（专项）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31.199200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31.199200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31.199200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31.199200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通过对基本公共卫生服务项目的补助，预防和控制传染病及慢性病的发生和流行；可以提高公共卫生和突发公共卫生服务应急处置能力，建立和维护居民健康的一屏障，对于提高居民健康素质有重要促进作用。</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通过对基本公共卫生服务项目的补助，预防和控制传染病及慢性病的发生和流行；可以提高公共卫生和突发公共卫生服务应急处置能力，建立和维护居民健康的一屏障，对于提高居民健康素质有重要促进作用。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大兴区0-6岁儿童体检人数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辖区人口数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30273人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30273人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实施免疫规划接种人数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≥600人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严重精神疾病患者体检人次数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8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严重精神疾病患者访视率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接种卡证符合率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中医保健指导开展频次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4"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《北京市母子健康手册》及时率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≤311992元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≤311992元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突发应急应对能力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公共卫生服务保障范围覆盖率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建立健全公共卫生服务体系建设</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医院服务质量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卫生健康-重大传染病防控经费（第二批）（专项）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0.132900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0.132900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0.132900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0.132900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通过对重大传染类项目的资金补助，有效预防和控制传染病的发生和流行，提高辖区百姓医疗服务质量。</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通过对重大传染类项目的资金补助，有效预防和控制传染病的发生和流行，提高辖区百姓医疗服务质量。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补助人员和实际工作人员差异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无差异</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补助资金发放及时性</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≤1329元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≤1329元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辖区居民医疗服务水平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群众身体健康</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居民对服务水平的满意度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5"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卫生院临时辅助用工经费（5人）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47.523600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47.523600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47.523600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47.523600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47.523600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47.523600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通过对临时辅助用工人员进行补助，降低编外人员方面的运行成本，促进编外人员按照标准配备，提高人员专业化水平，维护行业健康发展，提高医疗卫生服务水平</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通过对临时辅助用工人员进行补助，降低编外人员方面的运行成本，促进编外人员按照标准配备，提高人员专业化水平，维护行业健康发展，提高医疗卫生服务水平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补助人员数量情况</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与实际工作人员无差异</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与实际工作人员无差异</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配备人员数量情况</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达到规定标准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资金拨付至专用账户时限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补助资金发放及时性</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475236.00元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475236.00元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行业健康发展</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人员专业化水平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临时辅助人员对工作的满意度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医疗设备购置费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189.900000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189.900000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189.900000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189.900000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180" w:afterAutospacing="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购置彩色超声多普勒，满足临床诊疗需求，提高超声科诊断效率和准确性，开展多项新技术，更好的为辖区百姓提供高质量的诊疗服务，方便患者就医。</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购置彩色超声多普勒，满足临床诊疗需求，提高超声科诊断效率和准确性，开展多项新技术，更好的为辖区百姓提供高质量的诊疗服务，方便患者就医。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补助单位数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1家</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采购彩色超声多普勒台数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1台</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1台</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设备质量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达到行业标准</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达到行业标准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方案制定和前期准备时间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2024.7</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招标采购时间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2024.8-10</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2024.8-10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采购物品到位时间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2024.10-11</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2024.10-11</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验收时间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2024.12</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医疗服务水平</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临床诊疗需求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得到满足</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得到满足</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患者就医</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遗属补助经费(卫生）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0.492000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0.492000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0.492000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0.492000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0.492000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0.492000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通过对退休人员的经费补助，提高在职人员工作积极度，提高医疗服务水平，提高患者就诊满意度，维护行业健康发展</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通过对退休人员的经费补助，提高在职人员工作积极度，提高医疗服务水平，提高患者就诊满意度，维护行业健康发展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遗属补助人数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补助人员和实际工作人员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达无差异</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达无差异</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资金拨付至专用账户时限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按月及时发放</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4920.00元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4920.00元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行业健康发展</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得到维护</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退休职工遗属补助</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tbl>
      <w:tblPr>
        <w:tblStyle w:val="10"/>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5"/>
        <w:gridCol w:w="1080"/>
        <w:gridCol w:w="1575"/>
        <w:gridCol w:w="1080"/>
        <w:gridCol w:w="1155"/>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4280"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34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卫生健康-市级基本公共卫生服务补助项目（专项）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北京市大兴区安定镇人民政府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北京市大兴区安定镇中心卫生院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项目负责人</w:t>
            </w:r>
          </w:p>
        </w:tc>
        <w:tc>
          <w:tcPr>
            <w:tcW w:w="57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王东</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联系电话</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80235981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1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6.205700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6.205700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6.205700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6.205700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通过对基本公共卫生服务项目的补助，预防和控制传染病及慢性病的发生和流行；可以提高公共卫生和突发公共卫生服务应急处置能力，建立和维护居民健康的一屏障，对于提高居民健康素质有重要促进作用。</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通过对基本公共卫生服务项目的补助，预防和控制传染病及慢性病的发生和流行；可以提高公共卫生和突发公共卫生服务应急处置能力，建立和维护居民健康的一屏障，对于提高居民健康素质有重要促进作用。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辖区人口数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30273人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30273人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大兴区0-6岁儿童体检人数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实施免疫规划接种人数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严重精神疾病患者体检人次数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8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严重精神疾病患者访视率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接种卡证符合率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中医保健指导开展频次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《北京市母子健康手册》及时率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≤62057元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≤62057元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突发应急应对能力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公共卫生服务保障范围覆盖率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建立健全公共卫生服务体系建设</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得到保障</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5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医院服务质量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得到提高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接受补助单位的满意度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患者满意度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90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TICy8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p>
    <w:pPr>
      <w:pStyle w:val="2"/>
    </w:pP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7785" cy="131445"/>
              <wp:effectExtent l="0" t="0" r="0" b="0"/>
              <wp:wrapNone/>
              <wp:docPr id="40026228"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2"/>
                            <w:rPr>
                              <w:rStyle w:val="13"/>
                            </w:rPr>
                          </w:pPr>
                          <w:r>
                            <w:fldChar w:fldCharType="begin"/>
                          </w:r>
                          <w:r>
                            <w:rPr>
                              <w:rStyle w:val="13"/>
                            </w:rPr>
                            <w:instrText xml:space="preserve">PAGE  </w:instrText>
                          </w:r>
                          <w:r>
                            <w:fldChar w:fldCharType="separate"/>
                          </w:r>
                          <w:r>
                            <w:rPr>
                              <w:rStyle w:val="13"/>
                            </w:rPr>
                            <w:t>2</w:t>
                          </w:r>
                          <w:r>
                            <w:fldChar w:fldCharType="end"/>
                          </w:r>
                        </w:p>
                      </w:txbxContent>
                    </wps:txbx>
                    <wps:bodyPr rot="0" vert="horz" wrap="none" lIns="0" tIns="0" rIns="0" bIns="0" anchor="t" anchorCtr="0" upright="1">
                      <a:spAutoFit/>
                    </wps:bodyPr>
                  </wps:wsp>
                </a:graphicData>
              </a:graphic>
            </wp:anchor>
          </w:drawing>
        </mc:Choice>
        <mc:Fallback>
          <w:pict>
            <v:shape id="文本框 2" o:spid="_x0000_s1026" o:spt="202" type="#_x0000_t202" style="position:absolute;left:0pt;margin-top:0pt;height:10.35pt;width:4.55pt;mso-position-horizontal:center;mso-position-horizontal-relative:margin;mso-wrap-style:none;z-index:251660288;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M+L3UTQAAAAAgEAAA8AAAAAAAAAAQAgAAAAIgAAAGRycy9kb3ducmV2LnhtbFBLAQIUABQAAAAI&#10;AIdO4kAeOVf09QEAALoDAAAOAAAAAAAAAAEAIAAAAB8BAABkcnMvZTJvRG9jLnhtbFBLBQYAAAAA&#10;BgAGAFkBAACGBQAAAAA=&#10;">
              <v:fill on="f" focussize="0,0"/>
              <v:stroke on="f"/>
              <v:imagedata o:title=""/>
              <o:lock v:ext="edit" aspectratio="f"/>
              <v:textbox inset="0mm,0mm,0mm,0mm" style="mso-fit-shape-to-text:t;">
                <w:txbxContent>
                  <w:p>
                    <w:pPr>
                      <w:pStyle w:val="2"/>
                      <w:rPr>
                        <w:rStyle w:val="13"/>
                      </w:rPr>
                    </w:pPr>
                    <w:r>
                      <w:fldChar w:fldCharType="begin"/>
                    </w:r>
                    <w:r>
                      <w:rPr>
                        <w:rStyle w:val="13"/>
                      </w:rPr>
                      <w:instrText xml:space="preserve">PAGE  </w:instrText>
                    </w:r>
                    <w:r>
                      <w:fldChar w:fldCharType="separate"/>
                    </w:r>
                    <w:r>
                      <w:rPr>
                        <w:rStyle w:val="13"/>
                      </w:rP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78D2F1"/>
    <w:multiLevelType w:val="singleLevel"/>
    <w:tmpl w:val="B978D2F1"/>
    <w:lvl w:ilvl="0" w:tentative="0">
      <w:start w:val="1"/>
      <w:numFmt w:val="chineseCounting"/>
      <w:suff w:val="space"/>
      <w:lvlText w:val="第%1部分"/>
      <w:lvlJc w:val="left"/>
      <w:rPr>
        <w:rFonts w:hint="eastAsia"/>
      </w:rPr>
    </w:lvl>
  </w:abstractNum>
  <w:abstractNum w:abstractNumId="1">
    <w:nsid w:val="BE038823"/>
    <w:multiLevelType w:val="singleLevel"/>
    <w:tmpl w:val="BE038823"/>
    <w:lvl w:ilvl="0" w:tentative="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1AE9"/>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5CE7"/>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672B9"/>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4D2E"/>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87849"/>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3F2F"/>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613C"/>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A5C53"/>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2F5F"/>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113C9F"/>
    <w:rsid w:val="014063FE"/>
    <w:rsid w:val="01C42B8B"/>
    <w:rsid w:val="01C47B20"/>
    <w:rsid w:val="01EB2D5D"/>
    <w:rsid w:val="02385327"/>
    <w:rsid w:val="02511F45"/>
    <w:rsid w:val="027A149C"/>
    <w:rsid w:val="027A4645"/>
    <w:rsid w:val="02AB5AF9"/>
    <w:rsid w:val="02AD1871"/>
    <w:rsid w:val="02B726F0"/>
    <w:rsid w:val="02DA018C"/>
    <w:rsid w:val="03157416"/>
    <w:rsid w:val="035166A0"/>
    <w:rsid w:val="03530DF3"/>
    <w:rsid w:val="038E6E7A"/>
    <w:rsid w:val="039B5B6E"/>
    <w:rsid w:val="03D270B5"/>
    <w:rsid w:val="03D35307"/>
    <w:rsid w:val="03E2554B"/>
    <w:rsid w:val="04043713"/>
    <w:rsid w:val="04592C5D"/>
    <w:rsid w:val="045B52FD"/>
    <w:rsid w:val="04CE1F73"/>
    <w:rsid w:val="051536FE"/>
    <w:rsid w:val="051931EE"/>
    <w:rsid w:val="051F632A"/>
    <w:rsid w:val="053A13B6"/>
    <w:rsid w:val="05545FD4"/>
    <w:rsid w:val="05586E0D"/>
    <w:rsid w:val="05A131E3"/>
    <w:rsid w:val="05EC445F"/>
    <w:rsid w:val="05ED01D7"/>
    <w:rsid w:val="060C68AF"/>
    <w:rsid w:val="0677046C"/>
    <w:rsid w:val="06886B2F"/>
    <w:rsid w:val="068943A3"/>
    <w:rsid w:val="069A3EBB"/>
    <w:rsid w:val="06C4362D"/>
    <w:rsid w:val="06EE4206"/>
    <w:rsid w:val="070A420C"/>
    <w:rsid w:val="0717375D"/>
    <w:rsid w:val="074107DA"/>
    <w:rsid w:val="074B1659"/>
    <w:rsid w:val="075F5104"/>
    <w:rsid w:val="07832BA1"/>
    <w:rsid w:val="079004AC"/>
    <w:rsid w:val="080D2DB2"/>
    <w:rsid w:val="081B54CF"/>
    <w:rsid w:val="082223BA"/>
    <w:rsid w:val="083640B7"/>
    <w:rsid w:val="088017D6"/>
    <w:rsid w:val="088968DD"/>
    <w:rsid w:val="08A52FEB"/>
    <w:rsid w:val="08C96CD9"/>
    <w:rsid w:val="08D00656"/>
    <w:rsid w:val="08F24482"/>
    <w:rsid w:val="08F5187C"/>
    <w:rsid w:val="08FB2C0B"/>
    <w:rsid w:val="09216B15"/>
    <w:rsid w:val="092959CA"/>
    <w:rsid w:val="09442803"/>
    <w:rsid w:val="0946657C"/>
    <w:rsid w:val="094E3682"/>
    <w:rsid w:val="095A1BCD"/>
    <w:rsid w:val="096E162E"/>
    <w:rsid w:val="099C43EE"/>
    <w:rsid w:val="09AD65FB"/>
    <w:rsid w:val="09EB0ED1"/>
    <w:rsid w:val="09F2225F"/>
    <w:rsid w:val="0A053D41"/>
    <w:rsid w:val="0A656ED5"/>
    <w:rsid w:val="0A7D0E2A"/>
    <w:rsid w:val="0A8235E3"/>
    <w:rsid w:val="0A894EB8"/>
    <w:rsid w:val="0A943474"/>
    <w:rsid w:val="0A9D041D"/>
    <w:rsid w:val="0AAC0660"/>
    <w:rsid w:val="0AC77248"/>
    <w:rsid w:val="0ADB7197"/>
    <w:rsid w:val="0AFD09DD"/>
    <w:rsid w:val="0B4B2AEF"/>
    <w:rsid w:val="0B4E5BBB"/>
    <w:rsid w:val="0B574A70"/>
    <w:rsid w:val="0B6727D9"/>
    <w:rsid w:val="0B732F2C"/>
    <w:rsid w:val="0BA13F3D"/>
    <w:rsid w:val="0BBA0B5B"/>
    <w:rsid w:val="0BCA3494"/>
    <w:rsid w:val="0BCD5B46"/>
    <w:rsid w:val="0BF64289"/>
    <w:rsid w:val="0C0149DC"/>
    <w:rsid w:val="0C0B43EA"/>
    <w:rsid w:val="0C0F07E0"/>
    <w:rsid w:val="0C0F534B"/>
    <w:rsid w:val="0C1F4C91"/>
    <w:rsid w:val="0C656D19"/>
    <w:rsid w:val="0C7B7F86"/>
    <w:rsid w:val="0C9C64B3"/>
    <w:rsid w:val="0CE2480D"/>
    <w:rsid w:val="0CE73BD2"/>
    <w:rsid w:val="0CE916F8"/>
    <w:rsid w:val="0CF32576"/>
    <w:rsid w:val="0CF87B8D"/>
    <w:rsid w:val="0D181FDD"/>
    <w:rsid w:val="0D200E92"/>
    <w:rsid w:val="0D305579"/>
    <w:rsid w:val="0D4252AC"/>
    <w:rsid w:val="0D5374B9"/>
    <w:rsid w:val="0D707917"/>
    <w:rsid w:val="0D8853B5"/>
    <w:rsid w:val="0DAE649D"/>
    <w:rsid w:val="0DBC6E0C"/>
    <w:rsid w:val="0DDA1988"/>
    <w:rsid w:val="0DEA1BCB"/>
    <w:rsid w:val="0DFE11D3"/>
    <w:rsid w:val="0E205A4E"/>
    <w:rsid w:val="0E356BBF"/>
    <w:rsid w:val="0E3746E5"/>
    <w:rsid w:val="0E5057A7"/>
    <w:rsid w:val="0E6A6868"/>
    <w:rsid w:val="0E71409B"/>
    <w:rsid w:val="0E77178C"/>
    <w:rsid w:val="0EB53234"/>
    <w:rsid w:val="0ECC4670"/>
    <w:rsid w:val="0EDE1004"/>
    <w:rsid w:val="0F032819"/>
    <w:rsid w:val="0F0B6272"/>
    <w:rsid w:val="0F2F360E"/>
    <w:rsid w:val="0F44355D"/>
    <w:rsid w:val="0F451083"/>
    <w:rsid w:val="0F4B669A"/>
    <w:rsid w:val="0F753717"/>
    <w:rsid w:val="0F8E2C57"/>
    <w:rsid w:val="0FF26B15"/>
    <w:rsid w:val="10172A20"/>
    <w:rsid w:val="1059665E"/>
    <w:rsid w:val="10A5002C"/>
    <w:rsid w:val="10AC13BA"/>
    <w:rsid w:val="10AF4A06"/>
    <w:rsid w:val="10D206F5"/>
    <w:rsid w:val="10E30B54"/>
    <w:rsid w:val="10E46DA9"/>
    <w:rsid w:val="113D64B6"/>
    <w:rsid w:val="11651569"/>
    <w:rsid w:val="116F23E8"/>
    <w:rsid w:val="1182211B"/>
    <w:rsid w:val="11895257"/>
    <w:rsid w:val="119D6F55"/>
    <w:rsid w:val="11B04EDA"/>
    <w:rsid w:val="11B06C88"/>
    <w:rsid w:val="11B5429E"/>
    <w:rsid w:val="12437AFC"/>
    <w:rsid w:val="124610E1"/>
    <w:rsid w:val="12617F82"/>
    <w:rsid w:val="126C73DB"/>
    <w:rsid w:val="1283614B"/>
    <w:rsid w:val="13203999"/>
    <w:rsid w:val="13257202"/>
    <w:rsid w:val="13280AA0"/>
    <w:rsid w:val="135572DF"/>
    <w:rsid w:val="1367781A"/>
    <w:rsid w:val="136C4E31"/>
    <w:rsid w:val="136E0BA9"/>
    <w:rsid w:val="13791560"/>
    <w:rsid w:val="139D323C"/>
    <w:rsid w:val="13D11138"/>
    <w:rsid w:val="13E72709"/>
    <w:rsid w:val="14076907"/>
    <w:rsid w:val="141B2748"/>
    <w:rsid w:val="14201441"/>
    <w:rsid w:val="142B0848"/>
    <w:rsid w:val="144E4536"/>
    <w:rsid w:val="14975EDD"/>
    <w:rsid w:val="14C33176"/>
    <w:rsid w:val="14F21366"/>
    <w:rsid w:val="154A2F50"/>
    <w:rsid w:val="1556158D"/>
    <w:rsid w:val="15610299"/>
    <w:rsid w:val="15695ACC"/>
    <w:rsid w:val="15791A87"/>
    <w:rsid w:val="15883A78"/>
    <w:rsid w:val="159D25E0"/>
    <w:rsid w:val="15AE34DE"/>
    <w:rsid w:val="16013F56"/>
    <w:rsid w:val="162437A1"/>
    <w:rsid w:val="162846D7"/>
    <w:rsid w:val="163A7468"/>
    <w:rsid w:val="163D0D06"/>
    <w:rsid w:val="163F4A7E"/>
    <w:rsid w:val="1653052A"/>
    <w:rsid w:val="165C73DE"/>
    <w:rsid w:val="16C32FBA"/>
    <w:rsid w:val="16E178E4"/>
    <w:rsid w:val="16E80C72"/>
    <w:rsid w:val="16EB0762"/>
    <w:rsid w:val="17081314"/>
    <w:rsid w:val="173E5194"/>
    <w:rsid w:val="175B1444"/>
    <w:rsid w:val="178766DD"/>
    <w:rsid w:val="178D2CF8"/>
    <w:rsid w:val="17AC1CA0"/>
    <w:rsid w:val="17BB1EE3"/>
    <w:rsid w:val="180A4C18"/>
    <w:rsid w:val="180C6BE2"/>
    <w:rsid w:val="182E0907"/>
    <w:rsid w:val="185C36C6"/>
    <w:rsid w:val="18786026"/>
    <w:rsid w:val="18A22B4C"/>
    <w:rsid w:val="18A32BE3"/>
    <w:rsid w:val="18F02060"/>
    <w:rsid w:val="18FF22A3"/>
    <w:rsid w:val="191044B0"/>
    <w:rsid w:val="191E097B"/>
    <w:rsid w:val="192817FA"/>
    <w:rsid w:val="19483C4A"/>
    <w:rsid w:val="195645B9"/>
    <w:rsid w:val="198C7FDB"/>
    <w:rsid w:val="199F4884"/>
    <w:rsid w:val="19AF3CC9"/>
    <w:rsid w:val="1A0062D3"/>
    <w:rsid w:val="1A293A7B"/>
    <w:rsid w:val="1A3441CE"/>
    <w:rsid w:val="1A366198"/>
    <w:rsid w:val="1A530AF8"/>
    <w:rsid w:val="1A8567D8"/>
    <w:rsid w:val="1A887DCD"/>
    <w:rsid w:val="1A8F6C4B"/>
    <w:rsid w:val="1AB53561"/>
    <w:rsid w:val="1AB75B8F"/>
    <w:rsid w:val="1AB86BAD"/>
    <w:rsid w:val="1ABA0B77"/>
    <w:rsid w:val="1ABC044C"/>
    <w:rsid w:val="1ABD2416"/>
    <w:rsid w:val="1ABF1CEA"/>
    <w:rsid w:val="1AE41E65"/>
    <w:rsid w:val="1AE45BF4"/>
    <w:rsid w:val="1AEC0734"/>
    <w:rsid w:val="1B0D4AAF"/>
    <w:rsid w:val="1B2A7AAB"/>
    <w:rsid w:val="1B323594"/>
    <w:rsid w:val="1B3C2617"/>
    <w:rsid w:val="1B43291B"/>
    <w:rsid w:val="1B4D72F6"/>
    <w:rsid w:val="1B5468D6"/>
    <w:rsid w:val="1BA333BA"/>
    <w:rsid w:val="1BCD0437"/>
    <w:rsid w:val="1BE7599C"/>
    <w:rsid w:val="1BFB4FA4"/>
    <w:rsid w:val="1BFC2ACA"/>
    <w:rsid w:val="1C2C7853"/>
    <w:rsid w:val="1C485D0F"/>
    <w:rsid w:val="1C7254ED"/>
    <w:rsid w:val="1C760ACE"/>
    <w:rsid w:val="1CA92C52"/>
    <w:rsid w:val="1CDD6D9F"/>
    <w:rsid w:val="1D012A8E"/>
    <w:rsid w:val="1D1C37DF"/>
    <w:rsid w:val="1D3D339A"/>
    <w:rsid w:val="1DA90A2F"/>
    <w:rsid w:val="1DD27F86"/>
    <w:rsid w:val="1DEF20B0"/>
    <w:rsid w:val="1DF07639"/>
    <w:rsid w:val="1DF45C07"/>
    <w:rsid w:val="1E0A3BC4"/>
    <w:rsid w:val="1E197963"/>
    <w:rsid w:val="1E522E75"/>
    <w:rsid w:val="1E6F63FB"/>
    <w:rsid w:val="1E8E26E5"/>
    <w:rsid w:val="1EB8717C"/>
    <w:rsid w:val="1EC15D08"/>
    <w:rsid w:val="1ED63AA6"/>
    <w:rsid w:val="1EDB09B6"/>
    <w:rsid w:val="1F3802BD"/>
    <w:rsid w:val="1F401DDF"/>
    <w:rsid w:val="1F4E7AE0"/>
    <w:rsid w:val="1F5A46D7"/>
    <w:rsid w:val="1F5A6485"/>
    <w:rsid w:val="1F62533A"/>
    <w:rsid w:val="1F664E2A"/>
    <w:rsid w:val="1F672950"/>
    <w:rsid w:val="1F680BA2"/>
    <w:rsid w:val="1F9A596E"/>
    <w:rsid w:val="1FED10A7"/>
    <w:rsid w:val="1FF24910"/>
    <w:rsid w:val="20120B0E"/>
    <w:rsid w:val="20281DE3"/>
    <w:rsid w:val="2029028C"/>
    <w:rsid w:val="206550E2"/>
    <w:rsid w:val="20915ED7"/>
    <w:rsid w:val="20B10327"/>
    <w:rsid w:val="20BA5DC0"/>
    <w:rsid w:val="20E95D13"/>
    <w:rsid w:val="2107263D"/>
    <w:rsid w:val="21117017"/>
    <w:rsid w:val="21311468"/>
    <w:rsid w:val="21422A39"/>
    <w:rsid w:val="214243FA"/>
    <w:rsid w:val="215D400B"/>
    <w:rsid w:val="22431452"/>
    <w:rsid w:val="22456F79"/>
    <w:rsid w:val="225D0766"/>
    <w:rsid w:val="226E2973"/>
    <w:rsid w:val="227619B0"/>
    <w:rsid w:val="22910410"/>
    <w:rsid w:val="229121BE"/>
    <w:rsid w:val="22A719E1"/>
    <w:rsid w:val="22B91715"/>
    <w:rsid w:val="22C37427"/>
    <w:rsid w:val="22C451FA"/>
    <w:rsid w:val="22E569AE"/>
    <w:rsid w:val="231F5A1C"/>
    <w:rsid w:val="232235C5"/>
    <w:rsid w:val="23294AEC"/>
    <w:rsid w:val="23561C5F"/>
    <w:rsid w:val="23694EE9"/>
    <w:rsid w:val="236B6EB3"/>
    <w:rsid w:val="238E2BA1"/>
    <w:rsid w:val="23C91FA7"/>
    <w:rsid w:val="23E80503"/>
    <w:rsid w:val="240370EB"/>
    <w:rsid w:val="241C570B"/>
    <w:rsid w:val="24577437"/>
    <w:rsid w:val="246456B0"/>
    <w:rsid w:val="24705167"/>
    <w:rsid w:val="24804DBA"/>
    <w:rsid w:val="24833D88"/>
    <w:rsid w:val="248D4C07"/>
    <w:rsid w:val="24E0567E"/>
    <w:rsid w:val="24E76A0D"/>
    <w:rsid w:val="252437BD"/>
    <w:rsid w:val="2527505B"/>
    <w:rsid w:val="252F5CBE"/>
    <w:rsid w:val="25513E86"/>
    <w:rsid w:val="257A14F5"/>
    <w:rsid w:val="257F6C45"/>
    <w:rsid w:val="25AB17E9"/>
    <w:rsid w:val="25C603D0"/>
    <w:rsid w:val="25E22D30"/>
    <w:rsid w:val="25E66CC5"/>
    <w:rsid w:val="25F34F3E"/>
    <w:rsid w:val="25F74A2E"/>
    <w:rsid w:val="2601765A"/>
    <w:rsid w:val="26031625"/>
    <w:rsid w:val="2604539D"/>
    <w:rsid w:val="2661634B"/>
    <w:rsid w:val="267E0CAB"/>
    <w:rsid w:val="268D0EEE"/>
    <w:rsid w:val="26AA5F44"/>
    <w:rsid w:val="26F947D6"/>
    <w:rsid w:val="270D0281"/>
    <w:rsid w:val="27196C26"/>
    <w:rsid w:val="274C0DA9"/>
    <w:rsid w:val="274E68CF"/>
    <w:rsid w:val="27800A53"/>
    <w:rsid w:val="27897907"/>
    <w:rsid w:val="27982240"/>
    <w:rsid w:val="27C2106B"/>
    <w:rsid w:val="27C748D4"/>
    <w:rsid w:val="27CB43C4"/>
    <w:rsid w:val="27D112AE"/>
    <w:rsid w:val="27E72880"/>
    <w:rsid w:val="27E86D24"/>
    <w:rsid w:val="2818512F"/>
    <w:rsid w:val="28516497"/>
    <w:rsid w:val="28956780"/>
    <w:rsid w:val="28B9421C"/>
    <w:rsid w:val="28C80903"/>
    <w:rsid w:val="28EA087A"/>
    <w:rsid w:val="28FE60D3"/>
    <w:rsid w:val="29013AFA"/>
    <w:rsid w:val="290A2CCA"/>
    <w:rsid w:val="291D29FD"/>
    <w:rsid w:val="298A3E0B"/>
    <w:rsid w:val="299B1B74"/>
    <w:rsid w:val="299B7DC6"/>
    <w:rsid w:val="299D58EC"/>
    <w:rsid w:val="29B03871"/>
    <w:rsid w:val="29C63095"/>
    <w:rsid w:val="29E74DB9"/>
    <w:rsid w:val="29EB2AFB"/>
    <w:rsid w:val="29EF086F"/>
    <w:rsid w:val="29FF2106"/>
    <w:rsid w:val="2A0B4F4C"/>
    <w:rsid w:val="2A0E2346"/>
    <w:rsid w:val="2A3A75DF"/>
    <w:rsid w:val="2A420242"/>
    <w:rsid w:val="2A81520E"/>
    <w:rsid w:val="2A8415D0"/>
    <w:rsid w:val="2AF552B4"/>
    <w:rsid w:val="2B0D0850"/>
    <w:rsid w:val="2B457FE9"/>
    <w:rsid w:val="2B7D3C27"/>
    <w:rsid w:val="2BA56CDA"/>
    <w:rsid w:val="2BBB02AC"/>
    <w:rsid w:val="2BEA293F"/>
    <w:rsid w:val="2BF13CCD"/>
    <w:rsid w:val="2C29790B"/>
    <w:rsid w:val="2C6721E1"/>
    <w:rsid w:val="2C8965FC"/>
    <w:rsid w:val="2CB03B88"/>
    <w:rsid w:val="2CCA258C"/>
    <w:rsid w:val="2CCB19A5"/>
    <w:rsid w:val="2CE675AA"/>
    <w:rsid w:val="2CEB2E12"/>
    <w:rsid w:val="2CFC4905"/>
    <w:rsid w:val="2D006C09"/>
    <w:rsid w:val="2D047A30"/>
    <w:rsid w:val="2D1B54A6"/>
    <w:rsid w:val="2D2B1461"/>
    <w:rsid w:val="2D2F4723"/>
    <w:rsid w:val="2DAD6CC5"/>
    <w:rsid w:val="2DB31B82"/>
    <w:rsid w:val="2DC07DFB"/>
    <w:rsid w:val="2DE03FF9"/>
    <w:rsid w:val="2DE729CD"/>
    <w:rsid w:val="2DF53F49"/>
    <w:rsid w:val="2E020414"/>
    <w:rsid w:val="2E162111"/>
    <w:rsid w:val="2E33681F"/>
    <w:rsid w:val="2E3A5DFF"/>
    <w:rsid w:val="2E6A7D67"/>
    <w:rsid w:val="2E6E7857"/>
    <w:rsid w:val="2EA13170"/>
    <w:rsid w:val="2EAE237C"/>
    <w:rsid w:val="2ECB2EFB"/>
    <w:rsid w:val="2EEA15D4"/>
    <w:rsid w:val="2EFFE297"/>
    <w:rsid w:val="2F154177"/>
    <w:rsid w:val="2F2148C9"/>
    <w:rsid w:val="2F2B2B24"/>
    <w:rsid w:val="2F522CD5"/>
    <w:rsid w:val="2F81180C"/>
    <w:rsid w:val="2FC17E5A"/>
    <w:rsid w:val="2FC5794B"/>
    <w:rsid w:val="2FC811E9"/>
    <w:rsid w:val="301437CA"/>
    <w:rsid w:val="30823A8E"/>
    <w:rsid w:val="30890978"/>
    <w:rsid w:val="309333B6"/>
    <w:rsid w:val="30937A49"/>
    <w:rsid w:val="30A43A04"/>
    <w:rsid w:val="30BA4FD6"/>
    <w:rsid w:val="30CD2F5B"/>
    <w:rsid w:val="31296235"/>
    <w:rsid w:val="316B62D0"/>
    <w:rsid w:val="317E24A7"/>
    <w:rsid w:val="31DB5204"/>
    <w:rsid w:val="31DC0F7C"/>
    <w:rsid w:val="31E22A36"/>
    <w:rsid w:val="31F42769"/>
    <w:rsid w:val="31F91B2E"/>
    <w:rsid w:val="32513718"/>
    <w:rsid w:val="3255145A"/>
    <w:rsid w:val="32584AA6"/>
    <w:rsid w:val="3258654D"/>
    <w:rsid w:val="32785148"/>
    <w:rsid w:val="327A4A45"/>
    <w:rsid w:val="327D275F"/>
    <w:rsid w:val="329A6E6D"/>
    <w:rsid w:val="32BA306B"/>
    <w:rsid w:val="33865643"/>
    <w:rsid w:val="338B2C59"/>
    <w:rsid w:val="33977850"/>
    <w:rsid w:val="33C21942"/>
    <w:rsid w:val="340646BC"/>
    <w:rsid w:val="34086058"/>
    <w:rsid w:val="341449FD"/>
    <w:rsid w:val="344277BC"/>
    <w:rsid w:val="344C4197"/>
    <w:rsid w:val="34767465"/>
    <w:rsid w:val="34967B08"/>
    <w:rsid w:val="34A00986"/>
    <w:rsid w:val="34B63D06"/>
    <w:rsid w:val="34B97B86"/>
    <w:rsid w:val="352C5D76"/>
    <w:rsid w:val="353C75FB"/>
    <w:rsid w:val="3555351F"/>
    <w:rsid w:val="35BF4E3C"/>
    <w:rsid w:val="35C3492C"/>
    <w:rsid w:val="35E22B1A"/>
    <w:rsid w:val="36394BEF"/>
    <w:rsid w:val="36940077"/>
    <w:rsid w:val="36A56C63"/>
    <w:rsid w:val="36D93CDC"/>
    <w:rsid w:val="36EB413B"/>
    <w:rsid w:val="370D58D1"/>
    <w:rsid w:val="37313B18"/>
    <w:rsid w:val="37421881"/>
    <w:rsid w:val="377F648B"/>
    <w:rsid w:val="379540A7"/>
    <w:rsid w:val="37B207B5"/>
    <w:rsid w:val="37B53639"/>
    <w:rsid w:val="37CA1558"/>
    <w:rsid w:val="381274A5"/>
    <w:rsid w:val="38194CD8"/>
    <w:rsid w:val="381C20D2"/>
    <w:rsid w:val="381C6576"/>
    <w:rsid w:val="38303DCF"/>
    <w:rsid w:val="38315C5A"/>
    <w:rsid w:val="383218F5"/>
    <w:rsid w:val="385C2E16"/>
    <w:rsid w:val="386D6DD1"/>
    <w:rsid w:val="387B329C"/>
    <w:rsid w:val="38B467AE"/>
    <w:rsid w:val="38C5276A"/>
    <w:rsid w:val="38E361AF"/>
    <w:rsid w:val="39072D82"/>
    <w:rsid w:val="390C6FC5"/>
    <w:rsid w:val="390E2362"/>
    <w:rsid w:val="39253208"/>
    <w:rsid w:val="392F4087"/>
    <w:rsid w:val="394144E6"/>
    <w:rsid w:val="39455658"/>
    <w:rsid w:val="394E6C03"/>
    <w:rsid w:val="395B4E7C"/>
    <w:rsid w:val="396C7089"/>
    <w:rsid w:val="39893797"/>
    <w:rsid w:val="39897C3B"/>
    <w:rsid w:val="39AE31FE"/>
    <w:rsid w:val="39DD3AE3"/>
    <w:rsid w:val="39E3734B"/>
    <w:rsid w:val="3A053765"/>
    <w:rsid w:val="3A175DD8"/>
    <w:rsid w:val="3A43428E"/>
    <w:rsid w:val="3A541A42"/>
    <w:rsid w:val="3A7B3297"/>
    <w:rsid w:val="3A865F28"/>
    <w:rsid w:val="3AAF547F"/>
    <w:rsid w:val="3AB74334"/>
    <w:rsid w:val="3ABE3914"/>
    <w:rsid w:val="3AE3337B"/>
    <w:rsid w:val="3B2E2848"/>
    <w:rsid w:val="3B3B71D4"/>
    <w:rsid w:val="3BA1126C"/>
    <w:rsid w:val="3BBF5B96"/>
    <w:rsid w:val="3BD258C9"/>
    <w:rsid w:val="3BE13D5E"/>
    <w:rsid w:val="3BEB0739"/>
    <w:rsid w:val="3BF35840"/>
    <w:rsid w:val="3BFA5342"/>
    <w:rsid w:val="3C20523B"/>
    <w:rsid w:val="3C237ED3"/>
    <w:rsid w:val="3C261162"/>
    <w:rsid w:val="3C4542ED"/>
    <w:rsid w:val="3C7B7D0F"/>
    <w:rsid w:val="3C96112F"/>
    <w:rsid w:val="3C9A5CBB"/>
    <w:rsid w:val="3CA01523"/>
    <w:rsid w:val="3CB52AF5"/>
    <w:rsid w:val="3CC05722"/>
    <w:rsid w:val="3CD236A7"/>
    <w:rsid w:val="3CFE26EE"/>
    <w:rsid w:val="3D0378F3"/>
    <w:rsid w:val="3D053A7C"/>
    <w:rsid w:val="3D0D46DF"/>
    <w:rsid w:val="3D1A4B7A"/>
    <w:rsid w:val="3D2C725B"/>
    <w:rsid w:val="3D4E0F7F"/>
    <w:rsid w:val="3D672041"/>
    <w:rsid w:val="3D7C20DF"/>
    <w:rsid w:val="3DE04810"/>
    <w:rsid w:val="3DF31B27"/>
    <w:rsid w:val="3DF80EEB"/>
    <w:rsid w:val="3DFA4C63"/>
    <w:rsid w:val="3DFD6097"/>
    <w:rsid w:val="3E157CEF"/>
    <w:rsid w:val="3E725142"/>
    <w:rsid w:val="3E7762B4"/>
    <w:rsid w:val="3E8B7FB1"/>
    <w:rsid w:val="3E9926CE"/>
    <w:rsid w:val="3EA11583"/>
    <w:rsid w:val="3ECF7E9E"/>
    <w:rsid w:val="3F0044FB"/>
    <w:rsid w:val="3F143319"/>
    <w:rsid w:val="3F3B19D7"/>
    <w:rsid w:val="3F6820A1"/>
    <w:rsid w:val="3F93711E"/>
    <w:rsid w:val="3FB35A12"/>
    <w:rsid w:val="3FCF54D6"/>
    <w:rsid w:val="3FD140EA"/>
    <w:rsid w:val="3FF878C8"/>
    <w:rsid w:val="400C6ED0"/>
    <w:rsid w:val="4010076E"/>
    <w:rsid w:val="402266F3"/>
    <w:rsid w:val="40295CD4"/>
    <w:rsid w:val="40387CC5"/>
    <w:rsid w:val="403E177F"/>
    <w:rsid w:val="404B79F8"/>
    <w:rsid w:val="40503261"/>
    <w:rsid w:val="408D0011"/>
    <w:rsid w:val="408E3D59"/>
    <w:rsid w:val="408E3D89"/>
    <w:rsid w:val="40B51316"/>
    <w:rsid w:val="40BF3F42"/>
    <w:rsid w:val="40F0234E"/>
    <w:rsid w:val="40FC6F44"/>
    <w:rsid w:val="41243631"/>
    <w:rsid w:val="412A1D04"/>
    <w:rsid w:val="412A3AB2"/>
    <w:rsid w:val="413B7A6D"/>
    <w:rsid w:val="415154E2"/>
    <w:rsid w:val="41536F19"/>
    <w:rsid w:val="416561A1"/>
    <w:rsid w:val="417D62D7"/>
    <w:rsid w:val="4202058A"/>
    <w:rsid w:val="4208288A"/>
    <w:rsid w:val="420A5691"/>
    <w:rsid w:val="421107CE"/>
    <w:rsid w:val="421767B3"/>
    <w:rsid w:val="421B33FA"/>
    <w:rsid w:val="424E37D0"/>
    <w:rsid w:val="4255087C"/>
    <w:rsid w:val="4269685C"/>
    <w:rsid w:val="426B25D4"/>
    <w:rsid w:val="42843695"/>
    <w:rsid w:val="42B5384F"/>
    <w:rsid w:val="42F27DD4"/>
    <w:rsid w:val="43056584"/>
    <w:rsid w:val="43122A4F"/>
    <w:rsid w:val="43195B8C"/>
    <w:rsid w:val="433E495C"/>
    <w:rsid w:val="435117C9"/>
    <w:rsid w:val="4352109E"/>
    <w:rsid w:val="43650DD1"/>
    <w:rsid w:val="43917781"/>
    <w:rsid w:val="43996CCD"/>
    <w:rsid w:val="43FA3C0F"/>
    <w:rsid w:val="441D78FE"/>
    <w:rsid w:val="44240C8C"/>
    <w:rsid w:val="443C4228"/>
    <w:rsid w:val="44617DEC"/>
    <w:rsid w:val="448434D9"/>
    <w:rsid w:val="448E4357"/>
    <w:rsid w:val="44914516"/>
    <w:rsid w:val="44AD0C81"/>
    <w:rsid w:val="44C47D79"/>
    <w:rsid w:val="44D81A76"/>
    <w:rsid w:val="45060392"/>
    <w:rsid w:val="451707F1"/>
    <w:rsid w:val="45181E73"/>
    <w:rsid w:val="45343151"/>
    <w:rsid w:val="45392515"/>
    <w:rsid w:val="4554734F"/>
    <w:rsid w:val="456147BE"/>
    <w:rsid w:val="4568104C"/>
    <w:rsid w:val="45A04342"/>
    <w:rsid w:val="45A90126"/>
    <w:rsid w:val="45B778DE"/>
    <w:rsid w:val="45BB117C"/>
    <w:rsid w:val="45C75D73"/>
    <w:rsid w:val="45CE2F5B"/>
    <w:rsid w:val="45EF52CA"/>
    <w:rsid w:val="45F66658"/>
    <w:rsid w:val="4616442F"/>
    <w:rsid w:val="462705C0"/>
    <w:rsid w:val="4629258A"/>
    <w:rsid w:val="463158E2"/>
    <w:rsid w:val="46586325"/>
    <w:rsid w:val="468A6DA0"/>
    <w:rsid w:val="46B753D0"/>
    <w:rsid w:val="473C009B"/>
    <w:rsid w:val="474D22A8"/>
    <w:rsid w:val="475573AE"/>
    <w:rsid w:val="478832E0"/>
    <w:rsid w:val="47887784"/>
    <w:rsid w:val="478A34FC"/>
    <w:rsid w:val="47B440D5"/>
    <w:rsid w:val="47D65999"/>
    <w:rsid w:val="48205C0E"/>
    <w:rsid w:val="484336AB"/>
    <w:rsid w:val="48594C7C"/>
    <w:rsid w:val="486C4868"/>
    <w:rsid w:val="487B4BF3"/>
    <w:rsid w:val="48804E0D"/>
    <w:rsid w:val="48A44149"/>
    <w:rsid w:val="48C4659A"/>
    <w:rsid w:val="48E72288"/>
    <w:rsid w:val="48E94252"/>
    <w:rsid w:val="4901159C"/>
    <w:rsid w:val="49066BB2"/>
    <w:rsid w:val="49090450"/>
    <w:rsid w:val="49303C2F"/>
    <w:rsid w:val="49380D36"/>
    <w:rsid w:val="496F29A9"/>
    <w:rsid w:val="499C3073"/>
    <w:rsid w:val="49B77EAC"/>
    <w:rsid w:val="49E36EF3"/>
    <w:rsid w:val="49ED1B20"/>
    <w:rsid w:val="49F17862"/>
    <w:rsid w:val="4A037596"/>
    <w:rsid w:val="4A266DE0"/>
    <w:rsid w:val="4A2A4B22"/>
    <w:rsid w:val="4A2A68D0"/>
    <w:rsid w:val="4A7144FF"/>
    <w:rsid w:val="4A730277"/>
    <w:rsid w:val="4AAA5C63"/>
    <w:rsid w:val="4AB92313"/>
    <w:rsid w:val="4AC27CB3"/>
    <w:rsid w:val="4ACA1E61"/>
    <w:rsid w:val="4B054C48"/>
    <w:rsid w:val="4B4734B2"/>
    <w:rsid w:val="4B577B99"/>
    <w:rsid w:val="4B62209A"/>
    <w:rsid w:val="4B6D146C"/>
    <w:rsid w:val="4B7418ED"/>
    <w:rsid w:val="4B756271"/>
    <w:rsid w:val="4BD44D46"/>
    <w:rsid w:val="4BDC3BFA"/>
    <w:rsid w:val="4BF72BEF"/>
    <w:rsid w:val="4BF76C86"/>
    <w:rsid w:val="4C4F261E"/>
    <w:rsid w:val="4C7402D7"/>
    <w:rsid w:val="4CA74208"/>
    <w:rsid w:val="4CC34DBA"/>
    <w:rsid w:val="4CCE79E7"/>
    <w:rsid w:val="4CD80866"/>
    <w:rsid w:val="4CE94821"/>
    <w:rsid w:val="4D017C68"/>
    <w:rsid w:val="4D275349"/>
    <w:rsid w:val="4D357A66"/>
    <w:rsid w:val="4D3D4B6D"/>
    <w:rsid w:val="4D50664E"/>
    <w:rsid w:val="4DC1754C"/>
    <w:rsid w:val="4DEB2135"/>
    <w:rsid w:val="4E092CA1"/>
    <w:rsid w:val="4E150194"/>
    <w:rsid w:val="4E217F81"/>
    <w:rsid w:val="4E6879C7"/>
    <w:rsid w:val="4EA56E6D"/>
    <w:rsid w:val="4EAD7AD0"/>
    <w:rsid w:val="4F073684"/>
    <w:rsid w:val="4F082F58"/>
    <w:rsid w:val="4F2E58FF"/>
    <w:rsid w:val="4F50502B"/>
    <w:rsid w:val="4F587A3C"/>
    <w:rsid w:val="4F754A92"/>
    <w:rsid w:val="4FBA61B7"/>
    <w:rsid w:val="4FD95020"/>
    <w:rsid w:val="4FFC2ABD"/>
    <w:rsid w:val="501871CB"/>
    <w:rsid w:val="5023629C"/>
    <w:rsid w:val="50502C65"/>
    <w:rsid w:val="50546455"/>
    <w:rsid w:val="50566671"/>
    <w:rsid w:val="50947199"/>
    <w:rsid w:val="50A56CB1"/>
    <w:rsid w:val="50BB64D4"/>
    <w:rsid w:val="50BE4216"/>
    <w:rsid w:val="50C51101"/>
    <w:rsid w:val="50C57353"/>
    <w:rsid w:val="50EC0D83"/>
    <w:rsid w:val="50F96FFC"/>
    <w:rsid w:val="5165265D"/>
    <w:rsid w:val="5167665C"/>
    <w:rsid w:val="518E1E3B"/>
    <w:rsid w:val="51D11D27"/>
    <w:rsid w:val="51DB3C59"/>
    <w:rsid w:val="51FF6894"/>
    <w:rsid w:val="5237602E"/>
    <w:rsid w:val="523E560F"/>
    <w:rsid w:val="52500E9E"/>
    <w:rsid w:val="528943B0"/>
    <w:rsid w:val="52AD009F"/>
    <w:rsid w:val="52CA0C50"/>
    <w:rsid w:val="52F42171"/>
    <w:rsid w:val="531C2B97"/>
    <w:rsid w:val="533B38FC"/>
    <w:rsid w:val="533E33EC"/>
    <w:rsid w:val="53511372"/>
    <w:rsid w:val="538C4158"/>
    <w:rsid w:val="53937294"/>
    <w:rsid w:val="53D17DBD"/>
    <w:rsid w:val="53DD49B3"/>
    <w:rsid w:val="5415239F"/>
    <w:rsid w:val="54857525"/>
    <w:rsid w:val="548A4B3B"/>
    <w:rsid w:val="54921C42"/>
    <w:rsid w:val="54BB2F47"/>
    <w:rsid w:val="54BE47E5"/>
    <w:rsid w:val="54FB1595"/>
    <w:rsid w:val="550A17D8"/>
    <w:rsid w:val="555D4110"/>
    <w:rsid w:val="556A671B"/>
    <w:rsid w:val="55762E42"/>
    <w:rsid w:val="55774994"/>
    <w:rsid w:val="55805DD2"/>
    <w:rsid w:val="55990DAE"/>
    <w:rsid w:val="559B68D4"/>
    <w:rsid w:val="55D818D6"/>
    <w:rsid w:val="560565D8"/>
    <w:rsid w:val="561548D9"/>
    <w:rsid w:val="56310FE7"/>
    <w:rsid w:val="56416C93"/>
    <w:rsid w:val="56607C08"/>
    <w:rsid w:val="566E5A98"/>
    <w:rsid w:val="568B6949"/>
    <w:rsid w:val="56AD68BF"/>
    <w:rsid w:val="56B063AF"/>
    <w:rsid w:val="56B714EC"/>
    <w:rsid w:val="56D55170"/>
    <w:rsid w:val="56D77DE0"/>
    <w:rsid w:val="56EB5639"/>
    <w:rsid w:val="56F339A6"/>
    <w:rsid w:val="57482A8C"/>
    <w:rsid w:val="575256B8"/>
    <w:rsid w:val="576553EC"/>
    <w:rsid w:val="5778511F"/>
    <w:rsid w:val="579D4B86"/>
    <w:rsid w:val="57A7B272"/>
    <w:rsid w:val="57BE68AA"/>
    <w:rsid w:val="57C71C02"/>
    <w:rsid w:val="58470068"/>
    <w:rsid w:val="58562F86"/>
    <w:rsid w:val="58886F75"/>
    <w:rsid w:val="589D1193"/>
    <w:rsid w:val="58A43B16"/>
    <w:rsid w:val="58A75590"/>
    <w:rsid w:val="58B8154B"/>
    <w:rsid w:val="58C146D8"/>
    <w:rsid w:val="58D75E75"/>
    <w:rsid w:val="58E82C13"/>
    <w:rsid w:val="58FE78A6"/>
    <w:rsid w:val="590B5B1F"/>
    <w:rsid w:val="59170968"/>
    <w:rsid w:val="591A3FB4"/>
    <w:rsid w:val="591C1ADA"/>
    <w:rsid w:val="592D6E60"/>
    <w:rsid w:val="59A0270B"/>
    <w:rsid w:val="59D14FBA"/>
    <w:rsid w:val="59D16D68"/>
    <w:rsid w:val="59F12F67"/>
    <w:rsid w:val="5A0E3B19"/>
    <w:rsid w:val="5A105AE3"/>
    <w:rsid w:val="5A1720F9"/>
    <w:rsid w:val="5A2055FA"/>
    <w:rsid w:val="5A3B0686"/>
    <w:rsid w:val="5A5F6122"/>
    <w:rsid w:val="5A9A53AC"/>
    <w:rsid w:val="5AA4622B"/>
    <w:rsid w:val="5AB67D0C"/>
    <w:rsid w:val="5ACE61DC"/>
    <w:rsid w:val="5AD20FEA"/>
    <w:rsid w:val="5ADC7773"/>
    <w:rsid w:val="5AF50835"/>
    <w:rsid w:val="5B1B612A"/>
    <w:rsid w:val="5B1F3B03"/>
    <w:rsid w:val="5B24111A"/>
    <w:rsid w:val="5B5E462C"/>
    <w:rsid w:val="5B6634E0"/>
    <w:rsid w:val="5B6B5832"/>
    <w:rsid w:val="5B9C37C2"/>
    <w:rsid w:val="5BA7C654"/>
    <w:rsid w:val="5BB10BFF"/>
    <w:rsid w:val="5BDE751B"/>
    <w:rsid w:val="5C313AEE"/>
    <w:rsid w:val="5C473312"/>
    <w:rsid w:val="5C5B6DBD"/>
    <w:rsid w:val="5C841E70"/>
    <w:rsid w:val="5CC61FF7"/>
    <w:rsid w:val="5CED0261"/>
    <w:rsid w:val="5CF74D38"/>
    <w:rsid w:val="5D214A5E"/>
    <w:rsid w:val="5D380EAD"/>
    <w:rsid w:val="5D5A0E23"/>
    <w:rsid w:val="5D6F2B20"/>
    <w:rsid w:val="5D885990"/>
    <w:rsid w:val="5D8B36D2"/>
    <w:rsid w:val="5DB20C5F"/>
    <w:rsid w:val="5E08087F"/>
    <w:rsid w:val="5E115985"/>
    <w:rsid w:val="5E541D16"/>
    <w:rsid w:val="5E56783C"/>
    <w:rsid w:val="5E895E64"/>
    <w:rsid w:val="5EB6652D"/>
    <w:rsid w:val="5EE237C6"/>
    <w:rsid w:val="5F090D52"/>
    <w:rsid w:val="5F095DC9"/>
    <w:rsid w:val="5F223BC2"/>
    <w:rsid w:val="5F2D3D9B"/>
    <w:rsid w:val="5F3F29C6"/>
    <w:rsid w:val="5F8A0474"/>
    <w:rsid w:val="5FA34D03"/>
    <w:rsid w:val="5FA40A7B"/>
    <w:rsid w:val="5FE80968"/>
    <w:rsid w:val="5FEA2932"/>
    <w:rsid w:val="60251BBC"/>
    <w:rsid w:val="6028345A"/>
    <w:rsid w:val="605E6E7C"/>
    <w:rsid w:val="606F4BE5"/>
    <w:rsid w:val="609603C4"/>
    <w:rsid w:val="609E54CA"/>
    <w:rsid w:val="60C02A47"/>
    <w:rsid w:val="60FF240D"/>
    <w:rsid w:val="6109503A"/>
    <w:rsid w:val="61161505"/>
    <w:rsid w:val="61357BDD"/>
    <w:rsid w:val="61776E9C"/>
    <w:rsid w:val="617F70AA"/>
    <w:rsid w:val="619568CD"/>
    <w:rsid w:val="61B431F8"/>
    <w:rsid w:val="61C84EF5"/>
    <w:rsid w:val="61CD250B"/>
    <w:rsid w:val="61F730E4"/>
    <w:rsid w:val="620A72BB"/>
    <w:rsid w:val="621243C2"/>
    <w:rsid w:val="6232236E"/>
    <w:rsid w:val="623A1223"/>
    <w:rsid w:val="624502F4"/>
    <w:rsid w:val="62886432"/>
    <w:rsid w:val="62966DA1"/>
    <w:rsid w:val="62BB2364"/>
    <w:rsid w:val="62CC15A8"/>
    <w:rsid w:val="62D6719E"/>
    <w:rsid w:val="62E713AB"/>
    <w:rsid w:val="62EA49F7"/>
    <w:rsid w:val="62EE44E7"/>
    <w:rsid w:val="630737FB"/>
    <w:rsid w:val="63312626"/>
    <w:rsid w:val="63612F0B"/>
    <w:rsid w:val="636447A9"/>
    <w:rsid w:val="638A7560"/>
    <w:rsid w:val="63952BB5"/>
    <w:rsid w:val="63B05C41"/>
    <w:rsid w:val="63C06DE6"/>
    <w:rsid w:val="63DA0F0F"/>
    <w:rsid w:val="63F634EE"/>
    <w:rsid w:val="641F04E5"/>
    <w:rsid w:val="643B3100"/>
    <w:rsid w:val="644003FA"/>
    <w:rsid w:val="647924D6"/>
    <w:rsid w:val="649B1C8F"/>
    <w:rsid w:val="649E1F3D"/>
    <w:rsid w:val="64A55079"/>
    <w:rsid w:val="64A82DBC"/>
    <w:rsid w:val="64B61035"/>
    <w:rsid w:val="64C0607C"/>
    <w:rsid w:val="64D4770D"/>
    <w:rsid w:val="64D83E6C"/>
    <w:rsid w:val="64D8544F"/>
    <w:rsid w:val="64EC4A56"/>
    <w:rsid w:val="650C50F9"/>
    <w:rsid w:val="651E6BDA"/>
    <w:rsid w:val="65257F68"/>
    <w:rsid w:val="65613696"/>
    <w:rsid w:val="65AC6CC3"/>
    <w:rsid w:val="65BA2DA7"/>
    <w:rsid w:val="65C77271"/>
    <w:rsid w:val="65D35EC7"/>
    <w:rsid w:val="65E6594A"/>
    <w:rsid w:val="65EF22B9"/>
    <w:rsid w:val="660404C6"/>
    <w:rsid w:val="66100C18"/>
    <w:rsid w:val="661C580F"/>
    <w:rsid w:val="66246472"/>
    <w:rsid w:val="66287D10"/>
    <w:rsid w:val="663A5C95"/>
    <w:rsid w:val="666C65A5"/>
    <w:rsid w:val="666D1BC7"/>
    <w:rsid w:val="666D7E19"/>
    <w:rsid w:val="669435F8"/>
    <w:rsid w:val="66A31A8D"/>
    <w:rsid w:val="66B9305E"/>
    <w:rsid w:val="66DB4D83"/>
    <w:rsid w:val="66EC3434"/>
    <w:rsid w:val="670E33AA"/>
    <w:rsid w:val="67193AFD"/>
    <w:rsid w:val="671B5AC7"/>
    <w:rsid w:val="672506F4"/>
    <w:rsid w:val="672D1356"/>
    <w:rsid w:val="673152EA"/>
    <w:rsid w:val="673E23A7"/>
    <w:rsid w:val="676F09E1"/>
    <w:rsid w:val="678A0557"/>
    <w:rsid w:val="67A45ABC"/>
    <w:rsid w:val="67AE693B"/>
    <w:rsid w:val="67C95523"/>
    <w:rsid w:val="682318C1"/>
    <w:rsid w:val="683C7AA3"/>
    <w:rsid w:val="684E5A28"/>
    <w:rsid w:val="685C1EF3"/>
    <w:rsid w:val="68694610"/>
    <w:rsid w:val="68752292"/>
    <w:rsid w:val="687E07B1"/>
    <w:rsid w:val="6881195A"/>
    <w:rsid w:val="68907DEF"/>
    <w:rsid w:val="68A5389A"/>
    <w:rsid w:val="68CE6639"/>
    <w:rsid w:val="69034A64"/>
    <w:rsid w:val="690C3919"/>
    <w:rsid w:val="690D7691"/>
    <w:rsid w:val="69174049"/>
    <w:rsid w:val="69194288"/>
    <w:rsid w:val="696173A6"/>
    <w:rsid w:val="69670B4F"/>
    <w:rsid w:val="69A2427D"/>
    <w:rsid w:val="69A43B52"/>
    <w:rsid w:val="69BB533F"/>
    <w:rsid w:val="69C5458C"/>
    <w:rsid w:val="6A00628E"/>
    <w:rsid w:val="6A0B1E23"/>
    <w:rsid w:val="6A280927"/>
    <w:rsid w:val="6A3A44B6"/>
    <w:rsid w:val="6A53112C"/>
    <w:rsid w:val="6A554E4C"/>
    <w:rsid w:val="6A793230"/>
    <w:rsid w:val="6A7D43A3"/>
    <w:rsid w:val="6A8F4802"/>
    <w:rsid w:val="6A9A6D03"/>
    <w:rsid w:val="6A9B1DCA"/>
    <w:rsid w:val="6AD40467"/>
    <w:rsid w:val="6B5415A7"/>
    <w:rsid w:val="6BA37E39"/>
    <w:rsid w:val="6BAA19C8"/>
    <w:rsid w:val="6BAF67DE"/>
    <w:rsid w:val="6BB81B36"/>
    <w:rsid w:val="6BD61FBC"/>
    <w:rsid w:val="6BE96194"/>
    <w:rsid w:val="6C0528A2"/>
    <w:rsid w:val="6C0F54CE"/>
    <w:rsid w:val="6C192999"/>
    <w:rsid w:val="6C2A2DDB"/>
    <w:rsid w:val="6C2C2C28"/>
    <w:rsid w:val="6C2C6080"/>
    <w:rsid w:val="6CB0280D"/>
    <w:rsid w:val="6CC525CF"/>
    <w:rsid w:val="6D561607"/>
    <w:rsid w:val="6D8617C0"/>
    <w:rsid w:val="6D9739CD"/>
    <w:rsid w:val="6DC5678C"/>
    <w:rsid w:val="6E184B0E"/>
    <w:rsid w:val="6E445903"/>
    <w:rsid w:val="6E5042A8"/>
    <w:rsid w:val="6E69536A"/>
    <w:rsid w:val="6E6B7334"/>
    <w:rsid w:val="6E934195"/>
    <w:rsid w:val="6E9817AB"/>
    <w:rsid w:val="6E9C129B"/>
    <w:rsid w:val="6EAB7730"/>
    <w:rsid w:val="6EE669BA"/>
    <w:rsid w:val="6EF32E85"/>
    <w:rsid w:val="6F1F1ECC"/>
    <w:rsid w:val="6F375468"/>
    <w:rsid w:val="6F411E43"/>
    <w:rsid w:val="6F63000B"/>
    <w:rsid w:val="6F7C2E7B"/>
    <w:rsid w:val="6FB6638D"/>
    <w:rsid w:val="6FBC771B"/>
    <w:rsid w:val="6FCD36D6"/>
    <w:rsid w:val="6FDE58E3"/>
    <w:rsid w:val="6FE55BEA"/>
    <w:rsid w:val="6FF869A5"/>
    <w:rsid w:val="702A0B29"/>
    <w:rsid w:val="70B52AE8"/>
    <w:rsid w:val="70DA254F"/>
    <w:rsid w:val="70E909E4"/>
    <w:rsid w:val="70F2194B"/>
    <w:rsid w:val="70FA3716"/>
    <w:rsid w:val="7104137A"/>
    <w:rsid w:val="711C4915"/>
    <w:rsid w:val="713559D7"/>
    <w:rsid w:val="715B3690"/>
    <w:rsid w:val="718D136F"/>
    <w:rsid w:val="719B1CDE"/>
    <w:rsid w:val="721821DB"/>
    <w:rsid w:val="72273572"/>
    <w:rsid w:val="726E11A1"/>
    <w:rsid w:val="72802C82"/>
    <w:rsid w:val="72F53670"/>
    <w:rsid w:val="72FF44EF"/>
    <w:rsid w:val="73045661"/>
    <w:rsid w:val="733E5017"/>
    <w:rsid w:val="73532145"/>
    <w:rsid w:val="73A11102"/>
    <w:rsid w:val="73B70925"/>
    <w:rsid w:val="73CF7128"/>
    <w:rsid w:val="73D019E7"/>
    <w:rsid w:val="73E060CE"/>
    <w:rsid w:val="73E064F6"/>
    <w:rsid w:val="73F92CEC"/>
    <w:rsid w:val="741713C4"/>
    <w:rsid w:val="74251D33"/>
    <w:rsid w:val="747405C4"/>
    <w:rsid w:val="74BF3F35"/>
    <w:rsid w:val="74C23A26"/>
    <w:rsid w:val="74D177C5"/>
    <w:rsid w:val="74E41BEE"/>
    <w:rsid w:val="74E7523A"/>
    <w:rsid w:val="75475CD9"/>
    <w:rsid w:val="756172B0"/>
    <w:rsid w:val="759233F8"/>
    <w:rsid w:val="75A44ED9"/>
    <w:rsid w:val="75C4732A"/>
    <w:rsid w:val="75C64E50"/>
    <w:rsid w:val="75C80BC8"/>
    <w:rsid w:val="75CD2682"/>
    <w:rsid w:val="75E74A0A"/>
    <w:rsid w:val="75F95225"/>
    <w:rsid w:val="75FC2F67"/>
    <w:rsid w:val="75FC6AC3"/>
    <w:rsid w:val="75FE6CDF"/>
    <w:rsid w:val="764B35A7"/>
    <w:rsid w:val="768F7680"/>
    <w:rsid w:val="76A52BBD"/>
    <w:rsid w:val="76AC673B"/>
    <w:rsid w:val="77212C85"/>
    <w:rsid w:val="77512F0B"/>
    <w:rsid w:val="77664B3C"/>
    <w:rsid w:val="778E76B4"/>
    <w:rsid w:val="77901BB9"/>
    <w:rsid w:val="77C17FC5"/>
    <w:rsid w:val="77F80C6B"/>
    <w:rsid w:val="77FC2DAB"/>
    <w:rsid w:val="77FE6B23"/>
    <w:rsid w:val="78144598"/>
    <w:rsid w:val="782347DB"/>
    <w:rsid w:val="782A7918"/>
    <w:rsid w:val="78393FFF"/>
    <w:rsid w:val="7856695F"/>
    <w:rsid w:val="78670B6C"/>
    <w:rsid w:val="7872306D"/>
    <w:rsid w:val="78857244"/>
    <w:rsid w:val="78953988"/>
    <w:rsid w:val="78BD0FAA"/>
    <w:rsid w:val="78BE62B2"/>
    <w:rsid w:val="78D15FE5"/>
    <w:rsid w:val="790E2D96"/>
    <w:rsid w:val="791B1956"/>
    <w:rsid w:val="792C3B64"/>
    <w:rsid w:val="795D1F6F"/>
    <w:rsid w:val="79607369"/>
    <w:rsid w:val="796B468C"/>
    <w:rsid w:val="798D4602"/>
    <w:rsid w:val="79EA1A55"/>
    <w:rsid w:val="7A044199"/>
    <w:rsid w:val="7A0451F6"/>
    <w:rsid w:val="7A401675"/>
    <w:rsid w:val="7A7F1C49"/>
    <w:rsid w:val="7A886B78"/>
    <w:rsid w:val="7A8F43AA"/>
    <w:rsid w:val="7A903C7E"/>
    <w:rsid w:val="7AC34B39"/>
    <w:rsid w:val="7AFB1A3F"/>
    <w:rsid w:val="7B0A3FC4"/>
    <w:rsid w:val="7B0B57C8"/>
    <w:rsid w:val="7B2E5971"/>
    <w:rsid w:val="7B5B0730"/>
    <w:rsid w:val="7B5B7AE6"/>
    <w:rsid w:val="7B784E3E"/>
    <w:rsid w:val="7B7D4202"/>
    <w:rsid w:val="7B8A691F"/>
    <w:rsid w:val="7B8B4B71"/>
    <w:rsid w:val="7B902188"/>
    <w:rsid w:val="7BA7071E"/>
    <w:rsid w:val="7BAC4AE8"/>
    <w:rsid w:val="7BCC0CE6"/>
    <w:rsid w:val="7BDF6DA8"/>
    <w:rsid w:val="7C3074C7"/>
    <w:rsid w:val="7C466CEA"/>
    <w:rsid w:val="7C5A081F"/>
    <w:rsid w:val="7C6F7FEF"/>
    <w:rsid w:val="7C7EDC1A"/>
    <w:rsid w:val="7CCED98D"/>
    <w:rsid w:val="7D08410F"/>
    <w:rsid w:val="7D0A7D18"/>
    <w:rsid w:val="7D252DA4"/>
    <w:rsid w:val="7D3D633F"/>
    <w:rsid w:val="7D4D5E56"/>
    <w:rsid w:val="7D605B8A"/>
    <w:rsid w:val="7DB96DED"/>
    <w:rsid w:val="7DD3AD81"/>
    <w:rsid w:val="7DD81BC4"/>
    <w:rsid w:val="7DDA72C0"/>
    <w:rsid w:val="7DEC38C1"/>
    <w:rsid w:val="7E386B07"/>
    <w:rsid w:val="7EAA17B2"/>
    <w:rsid w:val="7EF40C80"/>
    <w:rsid w:val="7F076C05"/>
    <w:rsid w:val="7F3217A8"/>
    <w:rsid w:val="7F453289"/>
    <w:rsid w:val="7F737DF6"/>
    <w:rsid w:val="7F7FE70F"/>
    <w:rsid w:val="7F875650"/>
    <w:rsid w:val="7FCE14D1"/>
    <w:rsid w:val="7FDF723A"/>
    <w:rsid w:val="7FF5783B"/>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footer"/>
    <w:basedOn w:val="1"/>
    <w:link w:val="14"/>
    <w:qFormat/>
    <w:uiPriority w:val="0"/>
    <w:pPr>
      <w:tabs>
        <w:tab w:val="center" w:pos="4153"/>
        <w:tab w:val="right" w:pos="8306"/>
      </w:tabs>
      <w:snapToGrid w:val="0"/>
      <w:jc w:val="left"/>
    </w:pPr>
    <w:rPr>
      <w:sz w:val="18"/>
      <w:szCs w:val="18"/>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2"/>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 w:type="character" w:customStyle="1" w:styleId="22">
    <w:name w:val="font11"/>
    <w:basedOn w:val="11"/>
    <w:qFormat/>
    <w:uiPriority w:val="0"/>
    <w:rPr>
      <w:rFonts w:hint="eastAsia" w:ascii="宋体" w:hAnsi="宋体" w:eastAsia="宋体" w:cs="宋体"/>
      <w:color w:val="000000"/>
      <w:sz w:val="18"/>
      <w:szCs w:val="18"/>
      <w:u w:val="none"/>
    </w:rPr>
  </w:style>
  <w:style w:type="character" w:customStyle="1" w:styleId="23">
    <w:name w:val="font41"/>
    <w:basedOn w:val="11"/>
    <w:qFormat/>
    <w:uiPriority w:val="0"/>
    <w:rPr>
      <w:rFonts w:hint="eastAsia" w:ascii="宋体" w:hAnsi="宋体" w:eastAsia="宋体" w:cs="宋体"/>
      <w:color w:val="000000"/>
      <w:sz w:val="13"/>
      <w:szCs w:val="13"/>
      <w:u w:val="none"/>
    </w:rPr>
  </w:style>
  <w:style w:type="character" w:customStyle="1" w:styleId="24">
    <w:name w:val="font3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AppData\Local\Temp\wps.idNkxU\Chart4%20in%20Wp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baseline="0">
                <a:solidFill>
                  <a:schemeClr val="dk1">
                    <a:lumMod val="75000"/>
                    <a:lumOff val="25000"/>
                  </a:schemeClr>
                </a:solidFill>
                <a:latin typeface="+mn-lt"/>
                <a:ea typeface="+mn-ea"/>
                <a:cs typeface="+mn-cs"/>
              </a:defRPr>
            </a:pPr>
            <a:r>
              <a:t>收入决算</a:t>
            </a:r>
          </a:p>
        </c:rich>
      </c:tx>
      <c:layout>
        <c:manualLayout>
          <c:xMode val="edge"/>
          <c:yMode val="edge"/>
          <c:x val="0.379663338658147"/>
          <c:y val="0.0286254295532646"/>
        </c:manualLayout>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a:noFill/>
              </a:ln>
              <a:effectLst>
                <a:outerShdw blurRad="254000" sx="102000" sy="102000" algn="ctr" rotWithShape="0">
                  <a:prstClr val="black">
                    <a:alpha val="20000"/>
                  </a:prstClr>
                </a:outerShdw>
              </a:effectLst>
            </c:spPr>
          </c:dPt>
          <c:dPt>
            <c:idx val="1"/>
            <c:bubble3D val="0"/>
            <c:spPr>
              <a:solidFill>
                <a:schemeClr val="accent2"/>
              </a:solidFill>
              <a:ln>
                <a:noFill/>
              </a:ln>
              <a:effectLst>
                <a:outerShdw blurRad="254000" sx="102000" sy="102000" algn="ctr" rotWithShape="0">
                  <a:prstClr val="black">
                    <a:alpha val="20000"/>
                  </a:prstClr>
                </a:outerShdw>
              </a:effectLst>
            </c:spPr>
          </c:dPt>
          <c:dPt>
            <c:idx val="2"/>
            <c:bubble3D val="0"/>
            <c:spPr>
              <a:solidFill>
                <a:schemeClr val="accent3"/>
              </a:solidFill>
              <a:ln>
                <a:noFill/>
              </a:ln>
              <a:effectLst>
                <a:outerShdw blurRad="254000" sx="102000" sy="102000" algn="ctr" rotWithShape="0">
                  <a:prstClr val="black">
                    <a:alpha val="20000"/>
                  </a:prstClr>
                </a:outerShdw>
              </a:effectLst>
            </c:spPr>
          </c:dPt>
          <c:dPt>
            <c:idx val="3"/>
            <c:bubble3D val="0"/>
            <c:spPr>
              <a:solidFill>
                <a:schemeClr val="accent4"/>
              </a:solidFill>
              <a:ln>
                <a:noFill/>
              </a:ln>
              <a:effectLst>
                <a:outerShdw blurRad="254000" sx="102000" sy="102000" algn="ctr" rotWithShape="0">
                  <a:prstClr val="black">
                    <a:alpha val="20000"/>
                  </a:prstClr>
                </a:outerShdw>
              </a:effectLst>
            </c:spPr>
          </c:dPt>
          <c:dPt>
            <c:idx val="4"/>
            <c:bubble3D val="0"/>
            <c:spPr>
              <a:solidFill>
                <a:schemeClr val="accent5"/>
              </a:solidFill>
              <a:ln>
                <a:noFill/>
              </a:ln>
              <a:effectLst>
                <a:outerShdw blurRad="254000" sx="102000" sy="102000" algn="ctr" rotWithShape="0">
                  <a:prstClr val="black">
                    <a:alpha val="20000"/>
                  </a:prstClr>
                </a:outerShdw>
              </a:effectLst>
            </c:spPr>
          </c:dPt>
          <c:dLbls>
            <c:dLbl>
              <c:idx val="0"/>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t>财政拨款收入4</a:t>
                    </a:r>
                    <a:r>
                      <a:rPr lang="en-US" altLang="zh-CN"/>
                      <a:t>0.87</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ctr"/>
              <c:showLegendKey val="0"/>
              <c:showVal val="0"/>
              <c:showCatName val="1"/>
              <c:showSerName val="0"/>
              <c:showPercent val="1"/>
              <c:showBubbleSize val="0"/>
              <c:separator>
</c:separator>
              <c:extLst>
                <c:ext xmlns:c15="http://schemas.microsoft.com/office/drawing/2012/chart" uri="{CE6537A1-D6FC-4f65-9D91-7224C49458BB}"/>
              </c:extLst>
            </c:dLbl>
            <c:dLbl>
              <c:idx val="1"/>
              <c:delete val="1"/>
            </c:dLbl>
            <c:dLbl>
              <c:idx val="2"/>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t>事业收入58</a:t>
                    </a:r>
                    <a:r>
                      <a:rPr lang="en-US" altLang="zh-CN"/>
                      <a:t>.36</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ctr"/>
              <c:showLegendKey val="0"/>
              <c:showVal val="0"/>
              <c:showCatName val="1"/>
              <c:showSerName val="0"/>
              <c:showPercent val="1"/>
              <c:showBubbleSize val="0"/>
              <c:separator>
</c:separator>
              <c:extLst>
                <c:ext xmlns:c15="http://schemas.microsoft.com/office/drawing/2012/chart" uri="{CE6537A1-D6FC-4f65-9D91-7224C49458BB}"/>
              </c:extLst>
            </c:dLbl>
            <c:dLbl>
              <c:idx val="3"/>
              <c:delete val="1"/>
            </c:dLbl>
            <c:dLbl>
              <c:idx val="4"/>
              <c:layout>
                <c:manualLayout>
                  <c:x val="0.00582128321166967"/>
                  <c:y val="0.270918083034646"/>
                </c:manualLayout>
              </c:layout>
              <c:tx>
                <c:rich>
                  <a:bodyPr rot="0" spcFirstLastPara="0" vertOverflow="ellipsis" vert="horz" wrap="square" lIns="38100" tIns="19050" rIns="38100" bIns="19050" anchor="ctr" anchorCtr="1"/>
                  <a:lstStyle/>
                  <a:p>
                    <a:pPr defTabSz="914400">
                      <a:defRPr lang="zh-CN" sz="1000" b="1" i="0" u="none" strike="noStrike" kern="1200" baseline="0">
                        <a:solidFill>
                          <a:schemeClr val="lt1"/>
                        </a:solidFill>
                        <a:latin typeface="+mn-lt"/>
                        <a:ea typeface="+mn-ea"/>
                        <a:cs typeface="+mn-cs"/>
                      </a:defRPr>
                    </a:pPr>
                    <a:r>
                      <a:t>其他收入</a:t>
                    </a:r>
                  </a:p>
                  <a:p>
                    <a:pPr defTabSz="914400">
                      <a:defRPr lang="zh-CN" sz="1000" b="1" i="0" u="none" strike="noStrike" kern="1200" baseline="0">
                        <a:solidFill>
                          <a:schemeClr val="lt1"/>
                        </a:solidFill>
                        <a:latin typeface="+mn-lt"/>
                        <a:ea typeface="+mn-ea"/>
                        <a:cs typeface="+mn-cs"/>
                      </a:defRPr>
                    </a:pPr>
                    <a:r>
                      <a:rPr lang="en-US" altLang="zh-CN"/>
                      <a:t>0.77</a:t>
                    </a:r>
                    <a:r>
                      <a:t>%</a:t>
                    </a:r>
                  </a:p>
                </c:rich>
              </c:tx>
              <c:numFmt formatCode="General" sourceLinked="1"/>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bestFit"/>
              <c:showLegendKey val="0"/>
              <c:showVal val="0"/>
              <c:showCatName val="1"/>
              <c:showSerName val="0"/>
              <c:showPercent val="1"/>
              <c:showBubbleSize val="0"/>
              <c:separator>
</c:separator>
              <c:extLst>
                <c:ext xmlns:c15="http://schemas.microsoft.com/office/drawing/2012/chart" uri="{CE6537A1-D6FC-4f65-9D91-7224C49458BB}">
                  <c15:layout/>
                </c:ext>
              </c:extLst>
            </c:dLbl>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p>
            </c:txPr>
            <c:dLblPos val="ctr"/>
            <c:showLegendKey val="0"/>
            <c:showVal val="0"/>
            <c:showCatName val="1"/>
            <c:showSerName val="0"/>
            <c:showPercent val="1"/>
            <c:showBubbleSize val="0"/>
            <c:showLeaderLines val="1"/>
            <c:extLs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strRef>
              <c:f>Sheet1!$A$2:$A$6</c:f>
              <c:strCache>
                <c:ptCount val="5"/>
                <c:pt idx="0">
                  <c:v>财政拨款收入</c:v>
                </c:pt>
                <c:pt idx="1">
                  <c:v>上级补助收入</c:v>
                </c:pt>
                <c:pt idx="2">
                  <c:v>事业收入</c:v>
                </c:pt>
                <c:pt idx="3">
                  <c:v>附属单位上缴收入</c:v>
                </c:pt>
                <c:pt idx="4">
                  <c:v>其他收入</c:v>
                </c:pt>
              </c:strCache>
            </c:strRef>
          </c:cat>
          <c:val>
            <c:numRef>
              <c:f>Sheet1!$B$2:$B$6</c:f>
              <c:numCache>
                <c:formatCode>0.00%</c:formatCode>
                <c:ptCount val="5"/>
                <c:pt idx="0">
                  <c:v>0.4087</c:v>
                </c:pt>
                <c:pt idx="1" c:formatCode="0%">
                  <c:v>0</c:v>
                </c:pt>
                <c:pt idx="2">
                  <c:v>0.5836</c:v>
                </c:pt>
                <c:pt idx="3" c:formatCode="0%">
                  <c:v>0</c:v>
                </c:pt>
                <c:pt idx="4">
                  <c:v>0.0077</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1"/>
        <c:delete val="1"/>
      </c:legendEntry>
      <c:legendEntry>
        <c:idx val="3"/>
        <c:delete val="1"/>
      </c:legendEntry>
      <c:layout>
        <c:manualLayout>
          <c:xMode val="edge"/>
          <c:yMode val="edge"/>
          <c:x val="0.83295298950251"/>
          <c:y val="0.449885452462772"/>
        </c:manualLayout>
      </c:layout>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p>
      </c:txPr>
    </c:legend>
    <c:plotVisOnly val="1"/>
    <c:dispBlanksAs val="gap"/>
    <c:showDLblsOverMax val="0"/>
  </c:chart>
  <c:spPr>
    <a:gradFill flip="none" rotWithShape="1">
      <a:gsLst>
        <a:gs pos="0">
          <a:schemeClr val="lt1">
            <a:lumMod val="97000"/>
            <a:lumOff val="3000"/>
          </a:schemeClr>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cap="all" baseline="0">
                <a:solidFill>
                  <a:schemeClr val="tx1">
                    <a:lumMod val="65000"/>
                    <a:lumOff val="35000"/>
                  </a:scheme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a:sp3d contourW="19050"/>
          </c:spPr>
          <c:explosion val="0"/>
          <c:dPt>
            <c:idx val="0"/>
            <c:bubble3D val="0"/>
            <c:spPr>
              <a:solidFill>
                <a:schemeClr val="accent1">
                  <a:alpha val="70000"/>
                </a:schemeClr>
              </a:solidFill>
              <a:ln>
                <a:noFill/>
              </a:ln>
              <a:effectLst/>
              <a:sp3d contourW="19050"/>
            </c:spPr>
          </c:dPt>
          <c:dPt>
            <c:idx val="1"/>
            <c:bubble3D val="0"/>
            <c:spPr>
              <a:solidFill>
                <a:schemeClr val="accent2">
                  <a:alpha val="70000"/>
                </a:schemeClr>
              </a:solidFill>
              <a:ln>
                <a:noFill/>
              </a:ln>
              <a:effectLst/>
              <a:sp3d contourW="19050"/>
            </c:spPr>
          </c:dPt>
          <c:dLbls>
            <c:dLbl>
              <c:idx val="0"/>
              <c:layout/>
              <c:tx>
                <c:rich>
                  <a:bodyPr rot="0" spcFirstLastPara="1" vertOverflow="clip" horzOverflow="clip" vert="horz" wrap="square" lIns="38100" tIns="19050" rIns="38100" bIns="19050" anchor="ctr" anchorCtr="1">
                    <a:spAutoFit/>
                  </a:bodyPr>
                  <a:lstStyle/>
                  <a:p>
                    <a:pPr defTabSz="914400">
                      <a:defRPr lang="zh-CN" sz="1000" b="0" i="0" u="none" strike="noStrike" kern="1200" baseline="0">
                        <a:solidFill>
                          <a:schemeClr val="accent1"/>
                        </a:solidFill>
                        <a:effectLst/>
                        <a:latin typeface="+mn-lt"/>
                        <a:ea typeface="+mn-ea"/>
                        <a:cs typeface="+mn-cs"/>
                      </a:defRPr>
                    </a:pPr>
                    <a:r>
                      <a:t>基本支出</a:t>
                    </a:r>
                    <a:r>
                      <a:rPr lang="en-US" altLang="zh-CN"/>
                      <a:t>74.83%</a:t>
                    </a:r>
                    <a:endParaRPr lang="en-US" altLang="zh-CN"/>
                  </a:p>
                </c:rich>
              </c:tx>
              <c:numFmt formatCode="General" sourceLinked="1"/>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lang="zh-CN" sz="1000" b="0" i="0" u="none" strike="noStrike" kern="1200" baseline="0">
                      <a:solidFill>
                        <a:schemeClr val="accent1"/>
                      </a:solidFill>
                      <a:effectLst/>
                      <a:latin typeface="+mn-lt"/>
                      <a:ea typeface="+mn-ea"/>
                      <a:cs typeface="+mn-cs"/>
                    </a:defRPr>
                  </a:pPr>
                </a:p>
              </c:txPr>
              <c:dLblPos val="inEnd"/>
              <c:showLegendKey val="0"/>
              <c:showVal val="0"/>
              <c:showCatName val="1"/>
              <c:showSerName val="0"/>
              <c:showPercent val="0"/>
              <c:showBubbleSize val="0"/>
              <c:extLst>
                <c:ext xmlns:c15="http://schemas.microsoft.com/office/drawing/2012/chart" uri="{CE6537A1-D6FC-4f65-9D91-7224C49458BB}">
                  <c15:layout>
                    <c:manualLayout>
                      <c:w val="0.127777777777778"/>
                      <c:h val="0.119675925925926"/>
                    </c:manualLayout>
                  </c15:layout>
                </c:ext>
              </c:extLst>
            </c:dLbl>
            <c:dLbl>
              <c:idx val="1"/>
              <c:layout/>
              <c:tx>
                <c:rich>
                  <a:bodyPr rot="0" spcFirstLastPara="1" vertOverflow="clip" horzOverflow="clip" vert="horz" wrap="square" lIns="38100" tIns="19050" rIns="38100" bIns="19050" anchor="ctr" anchorCtr="1">
                    <a:spAutoFit/>
                  </a:bodyPr>
                  <a:lstStyle/>
                  <a:p>
                    <a:pPr defTabSz="914400">
                      <a:defRPr lang="zh-CN" sz="1000" b="0" i="0" u="none" strike="noStrike" kern="1200" baseline="0">
                        <a:solidFill>
                          <a:schemeClr val="accent2"/>
                        </a:solidFill>
                        <a:effectLst/>
                        <a:latin typeface="+mn-lt"/>
                        <a:ea typeface="+mn-ea"/>
                        <a:cs typeface="+mn-cs"/>
                      </a:defRPr>
                    </a:pPr>
                    <a:r>
                      <a:t>项目支出</a:t>
                    </a:r>
                    <a:r>
                      <a:rPr lang="en-US" altLang="zh-CN"/>
                      <a:t>25.17%</a:t>
                    </a:r>
                    <a:endParaRPr lang="en-US" altLang="zh-CN"/>
                  </a:p>
                </c:rich>
              </c:tx>
              <c:numFmt formatCode="General" sourceLinked="1"/>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lang="zh-CN" sz="1000" b="0" i="0" u="none" strike="noStrike" kern="1200" baseline="0">
                      <a:solidFill>
                        <a:schemeClr val="accent2"/>
                      </a:solidFill>
                      <a:effectLst/>
                      <a:latin typeface="+mn-lt"/>
                      <a:ea typeface="+mn-ea"/>
                      <a:cs typeface="+mn-cs"/>
                    </a:defRPr>
                  </a:pPr>
                </a:p>
              </c:txPr>
              <c:dLblPos val="inEnd"/>
              <c:showLegendKey val="0"/>
              <c:showVal val="0"/>
              <c:showCatName val="1"/>
              <c:showSerName val="0"/>
              <c:showPercent val="0"/>
              <c:showBubbleSize val="0"/>
              <c:extLst>
                <c:ext xmlns:c15="http://schemas.microsoft.com/office/drawing/2012/chart" uri="{CE6537A1-D6FC-4f65-9D91-7224C49458BB}">
                  <c15:layout>
                    <c:manualLayout>
                      <c:w val="0.127777777777778"/>
                      <c:h val="0.143518518518519"/>
                    </c:manualLayout>
                  </c15:layout>
                </c:ext>
              </c:extLst>
            </c:dLbl>
            <c:spPr>
              <a:solidFill>
                <a:schemeClr val="lt1">
                  <a:alpha val="90000"/>
                </a:schemeClr>
              </a:solidFill>
              <a:ln w="12700" cap="flat" cmpd="sng" algn="ctr">
                <a:solidFill>
                  <a:schemeClr val="accent1"/>
                </a:solidFill>
                <a:round/>
              </a:ln>
              <a:effectLst>
                <a:outerShdw blurRad="50800" dist="38100" dir="2700000" algn="tl" rotWithShape="0">
                  <a:schemeClr val="accent1">
                    <a:lumMod val="75000"/>
                    <a:alpha val="40000"/>
                  </a:schemeClr>
                </a:outerShdw>
              </a:effectLst>
            </c:spPr>
            <c:txPr>
              <a:bodyPr rot="0" spcFirstLastPara="1" vertOverflow="clip" horzOverflow="clip" vert="horz" wrap="square" lIns="38100" tIns="19050" rIns="38100" bIns="19050" anchor="ctr" anchorCtr="1">
                <a:spAutoFit/>
              </a:bodyPr>
              <a:lstStyle/>
              <a:p>
                <a:pPr>
                  <a:defRPr lang="zh-CN" sz="1000" b="0" i="0" u="none" strike="noStrike" kern="1200" baseline="0">
                    <a:solidFill>
                      <a:schemeClr val="accent1"/>
                    </a:solidFill>
                    <a:effectLst/>
                    <a:latin typeface="+mn-lt"/>
                    <a:ea typeface="+mn-ea"/>
                    <a:cs typeface="+mn-cs"/>
                  </a:defRPr>
                </a:pPr>
              </a:p>
            </c:txPr>
            <c:dLblPos val="inEnd"/>
            <c:showLegendKey val="0"/>
            <c:showVal val="0"/>
            <c:showCatName val="1"/>
            <c:showSerName val="0"/>
            <c:showPercent val="0"/>
            <c:showBubbleSize val="0"/>
            <c:showLeaderLines val="1"/>
            <c:extLst>
              <c:ext xmlns:c15="http://schemas.microsoft.com/office/drawing/2012/chart" uri="{CE6537A1-D6FC-4f65-9D91-7224C49458BB}">
                <c15:layout/>
                <c15:showLeaderLines val="1"/>
                <c15:leaderLines>
                  <c:spPr>
                    <a:ln w="9525">
                      <a:solidFill>
                        <a:schemeClr val="tx1">
                          <a:lumMod val="35000"/>
                          <a:lumOff val="65000"/>
                        </a:schemeClr>
                      </a:solidFill>
                    </a:ln>
                    <a:effectLst/>
                  </c:spPr>
                </c15:leaderLines>
              </c:ext>
            </c:extLst>
          </c:dLbls>
          <c:cat>
            <c:strRef>
              <c:f>'[Chart4 in Wps.xlsx]Sheet1'!$A$2:$A$3</c:f>
              <c:strCache>
                <c:ptCount val="2"/>
                <c:pt idx="0">
                  <c:v>基本支出</c:v>
                </c:pt>
                <c:pt idx="1">
                  <c:v>项目支出</c:v>
                </c:pt>
              </c:strCache>
            </c:strRef>
          </c:cat>
          <c:val>
            <c:numRef>
              <c:f>'[Chart4 in Wps.xlsx]Sheet1'!$B$2:$B$3</c:f>
              <c:numCache>
                <c:formatCode>0.00%</c:formatCode>
                <c:ptCount val="2"/>
                <c:pt idx="0">
                  <c:v>0.7483</c:v>
                </c:pt>
                <c:pt idx="1">
                  <c:v>0.2517</c:v>
                </c:pt>
              </c:numCache>
            </c:numRef>
          </c:val>
        </c:ser>
        <c:dLbls>
          <c:showLegendKey val="0"/>
          <c:showVal val="0"/>
          <c:showCatName val="1"/>
          <c:showSerName val="0"/>
          <c:showPercent val="0"/>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63">
  <cs:axisTitle>
    <cs:lnRef idx="0"/>
    <cs:fillRef idx="0"/>
    <cs:effectRef idx="0"/>
    <cs:fontRef idx="minor">
      <a:schemeClr val="tx1">
        <a:lumMod val="50000"/>
        <a:lumOff val="50000"/>
      </a:schemeClr>
    </cs:fontRef>
    <cs:defRPr sz="900" kern="1200"/>
  </cs:axisTitle>
  <cs:categoryAxis>
    <cs:lnRef idx="0"/>
    <cs:fillRef idx="0"/>
    <cs:effectRef idx="0"/>
    <cs:fontRef idx="minor">
      <a:schemeClr val="tx1">
        <a:lumMod val="65000"/>
        <a:lumOff val="35000"/>
      </a:schemeClr>
    </cs:fontRef>
    <cs:spPr>
      <a:ln w="1587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8100" tIns="19050" rIns="38100" bIns="19050" anchor="ctr" anchorCtr="1">
      <a:spAutoFit/>
    </cs:bodyPr>
  </cs:dataLabel>
  <cs:dataLabelCallout>
    <cs:lnRef idx="0">
      <cs:styleClr val="auto"/>
    </cs:lnRef>
    <cs:fillRef idx="0"/>
    <cs:effectRef idx="0">
      <cs:styleClr val="auto"/>
    </cs:effectRef>
    <cs:fontRef idx="minor">
      <cs:styleClr val="auto"/>
    </cs:fontRef>
    <cs:spPr>
      <a:solidFill>
        <a:schemeClr val="lt1">
          <a:alpha val="90000"/>
        </a:schemeClr>
      </a:solidFill>
      <a:ln w="12700" cap="flat" cmpd="sng" algn="ctr">
        <a:solidFill>
          <a:schemeClr val="phClr"/>
        </a:solidFill>
        <a:round/>
      </a:ln>
      <a:effectLst>
        <a:outerShdw blurRad="50800" dist="38100" dir="2700000" algn="tl" rotWithShape="0">
          <a:schemeClr val="phClr">
            <a:lumMod val="75000"/>
            <a:alpha val="40000"/>
          </a:schemeClr>
        </a:outerShdw>
      </a:effectLst>
    </cs:spPr>
    <cs:defRPr sz="1000" b="0" i="0" u="none" strike="noStrike" kern="1200" baseline="0">
      <a:effectLst/>
    </cs:defRPr>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styleClr val="auto"/>
    </cs:lnRef>
    <cs:fillRef idx="0">
      <cs:styleClr val="auto"/>
    </cs:fillRef>
    <cs:effectRef idx="0">
      <cs:styleClr val="auto"/>
    </cs:effectRef>
    <cs:fontRef idx="minor">
      <a:schemeClr val="tx1"/>
    </cs:fontRef>
    <cs:spPr>
      <a:solidFill>
        <a:schemeClr val="phClr">
          <a:alpha val="90000"/>
        </a:schemeClr>
      </a:solidFill>
      <a:ln w="19050">
        <a:solidFill>
          <a:schemeClr val="phClr">
            <a:lumMod val="75000"/>
          </a:schemeClr>
        </a:solidFill>
      </a:ln>
      <a:effectLst>
        <a:innerShdw blurRad="114300">
          <a:schemeClr val="phClr">
            <a:lumMod val="75000"/>
          </a:schemeClr>
        </a:innerShdw>
      </a:effectLst>
      <a:scene3d>
        <a:camera prst="orthographicFront"/>
        <a:lightRig rig="threePt" dir="t"/>
      </a:scene3d>
      <a:sp3d contourW="19050" prstMaterial="flat">
        <a:contourClr>
          <a:schemeClr val="accent4">
            <a:lumMod val="75000"/>
          </a:schemeClr>
        </a:contourClr>
      </a:sp3d>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round/>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5000"/>
            <a:lumOff val="9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35000"/>
            <a:lumOff val="65000"/>
          </a:schemeClr>
        </a:solidFill>
        <a:round/>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50000"/>
        <a:lumOff val="50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baseline="0"/>
  </cs:title>
  <cs:trendline>
    <cs:lnRef idx="0">
      <cs:styleClr val="auto"/>
    </cs:lnRef>
    <cs:fillRef idx="0"/>
    <cs:effectRef idx="0"/>
    <cs:fontRef idx="minor">
      <a:schemeClr val="dk1"/>
    </cs:fontRef>
    <cs:spPr>
      <a:ln w="1587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spc="20" baseline="0"/>
  </cs:valueAxis>
  <cs:wall>
    <cs:lnRef idx="0"/>
    <cs:fillRef idx="0"/>
    <cs:effectRef idx="0"/>
    <cs:fontRef idx="minor">
      <a:schemeClr val="dk1"/>
    </cs:fontRef>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72</Pages>
  <Words>21604</Words>
  <Characters>25518</Characters>
  <Lines>77</Lines>
  <Paragraphs>21</Paragraphs>
  <TotalTime>2</TotalTime>
  <ScaleCrop>false</ScaleCrop>
  <LinksUpToDate>false</LinksUpToDate>
  <CharactersWithSpaces>26261</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北京市大兴区安定镇财政所</cp:lastModifiedBy>
  <cp:lastPrinted>2020-08-07T19:39:00Z</cp:lastPrinted>
  <dcterms:modified xsi:type="dcterms:W3CDTF">2025-07-02T03:08:28Z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ICV">
    <vt:lpwstr>625954C342D54626A53AEEF769F805AE_13</vt:lpwstr>
  </property>
  <property fmtid="{D5CDD505-2E9C-101B-9397-08002B2CF9AE}" pid="4" name="KSOTemplateDocerSaveRecord">
    <vt:lpwstr>eyJoZGlkIjoiMjQwNjQzNTg4ZDE0ZTBiOGFjNjE4NDNkMzM5NWRjMzIiLCJ1c2VySWQiOiI4OTI4ODkxNzIifQ==</vt:lpwstr>
  </property>
</Properties>
</file>