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hint="eastAsia" w:ascii="黑体" w:eastAsia="黑体"/>
          <w:sz w:val="72"/>
          <w:szCs w:val="72"/>
        </w:rPr>
      </w:pPr>
    </w:p>
    <w:p>
      <w:pPr>
        <w:rPr>
          <w:rFonts w:hint="eastAsia" w:ascii="黑体" w:eastAsia="黑体"/>
          <w:sz w:val="72"/>
          <w:szCs w:val="72"/>
        </w:rPr>
      </w:pPr>
    </w:p>
    <w:p>
      <w:pPr>
        <w:jc w:val="center"/>
        <w:rPr>
          <w:rFonts w:hint="eastAsia" w:ascii="黑体" w:eastAsia="黑体"/>
          <w:sz w:val="72"/>
          <w:szCs w:val="72"/>
        </w:rPr>
      </w:pPr>
      <w:r>
        <w:rPr>
          <w:rFonts w:hint="eastAsia" w:ascii="黑体" w:eastAsia="黑体"/>
          <w:sz w:val="72"/>
          <w:szCs w:val="72"/>
        </w:rPr>
        <w:t>北京市大兴区</w:t>
      </w:r>
      <w:r>
        <w:rPr>
          <w:rFonts w:hint="eastAsia" w:ascii="黑体" w:eastAsia="黑体"/>
          <w:sz w:val="72"/>
          <w:szCs w:val="72"/>
          <w:lang w:eastAsia="zh-CN"/>
        </w:rPr>
        <w:t>安定镇</w:t>
      </w:r>
    </w:p>
    <w:p>
      <w:pPr>
        <w:jc w:val="center"/>
        <w:rPr>
          <w:rFonts w:hint="eastAsia" w:ascii="黑体" w:eastAsia="黑体"/>
          <w:sz w:val="52"/>
          <w:szCs w:val="52"/>
        </w:rPr>
      </w:pPr>
      <w:r>
        <w:rPr>
          <w:rFonts w:hint="eastAsia" w:ascii="黑体" w:eastAsia="黑体"/>
          <w:sz w:val="72"/>
          <w:szCs w:val="72"/>
        </w:rPr>
        <w:t xml:space="preserve"> 2024年度部门决算报表及说明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keepNext w:val="0"/>
        <w:keepLines w:val="0"/>
        <w:pageBreakBefore w:val="0"/>
        <w:tabs>
          <w:tab w:val="center" w:pos="6979"/>
        </w:tabs>
        <w:kinsoku/>
        <w:wordWrap/>
        <w:overflowPunct/>
        <w:topLinePunct w:val="0"/>
        <w:autoSpaceDE/>
        <w:autoSpaceDN/>
        <w:bidi w:val="0"/>
        <w:snapToGrid/>
        <w:spacing w:line="560" w:lineRule="exact"/>
        <w:ind w:firstLine="548" w:firstLineChars="196"/>
        <w:textAlignment w:val="auto"/>
        <w:rPr>
          <w:rFonts w:hint="eastAsia" w:ascii="黑体" w:eastAsia="黑体"/>
          <w:b/>
          <w:sz w:val="28"/>
          <w:szCs w:val="28"/>
        </w:rPr>
      </w:pPr>
      <w:r>
        <w:rPr>
          <w:rFonts w:hint="eastAsia" w:ascii="黑体" w:eastAsia="黑体"/>
          <w:sz w:val="28"/>
          <w:szCs w:val="28"/>
        </w:rPr>
        <w:t>一、部门/单位基本情况</w:t>
      </w:r>
      <w:r>
        <w:rPr>
          <w:rFonts w:hint="eastAsia" w:ascii="仿宋_GB2312" w:eastAsia="仿宋_GB2312"/>
          <w:sz w:val="28"/>
          <w:szCs w:val="28"/>
        </w:rPr>
        <w:t>(比照预算草案的内容格式)</w:t>
      </w:r>
    </w:p>
    <w:p>
      <w:pPr>
        <w:keepNext w:val="0"/>
        <w:keepLines w:val="0"/>
        <w:pageBreakBefore w:val="0"/>
        <w:kinsoku/>
        <w:wordWrap/>
        <w:overflowPunct/>
        <w:topLinePunct w:val="0"/>
        <w:autoSpaceDE/>
        <w:autoSpaceDN/>
        <w:bidi w:val="0"/>
        <w:snapToGrid/>
        <w:spacing w:line="560" w:lineRule="exact"/>
        <w:ind w:firstLine="560" w:firstLineChars="200"/>
        <w:textAlignment w:val="auto"/>
        <w:rPr>
          <w:rFonts w:hint="eastAsia" w:ascii="仿宋_GB2312" w:eastAsia="仿宋_GB2312"/>
          <w:color w:val="000000"/>
          <w:sz w:val="28"/>
          <w:szCs w:val="28"/>
        </w:rPr>
      </w:pPr>
      <w:r>
        <w:rPr>
          <w:rFonts w:hint="eastAsia" w:ascii="仿宋_GB2312" w:eastAsia="仿宋_GB2312"/>
          <w:color w:val="000000"/>
          <w:sz w:val="28"/>
          <w:szCs w:val="28"/>
        </w:rPr>
        <w:t>（一）部门职责</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1</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贯彻执行国家的法律、法规、规章和市、区人民政府的决定、命令、指示。</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2</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执行本镇人民代表大会的各项决议。</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3</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制定全镇经济社会发展中、长期规划和年度计划，并组织实施。</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4</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负责辖区内的经济、教育、科学、文化、体育、卫生、人口和计划生育、财政工作和民政、优抚、残疾人的服务管理、劳动和社会保障、住房保障等工作。</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5</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负责辖区内社会建设工作和社区建设与管理工作。</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6</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负责辖区内农村和城镇的规划建设与管理工作。</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7</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负责公安、司法、社会治安综合治理以及环保、环卫、交通、能源、安全、防火、防汛等工作。</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8</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保护全民所有和集体所有财产，保护公民私人所有的合法财产，维护社会秩序，保障公民的人身权利、民主权利和其他权利，保护各种经济组织的合法权益，保障少数民族的权利和尊重少数民族的风俗习惯。</w:t>
      </w:r>
    </w:p>
    <w:p>
      <w:pPr>
        <w:keepNext w:val="0"/>
        <w:keepLines w:val="0"/>
        <w:pageBreakBefore w:val="0"/>
        <w:widowControl/>
        <w:kinsoku/>
        <w:wordWrap/>
        <w:overflowPunct/>
        <w:topLinePunct w:val="0"/>
        <w:autoSpaceDE/>
        <w:autoSpaceDN/>
        <w:bidi w:val="0"/>
        <w:snapToGrid/>
        <w:spacing w:before="156" w:beforeLines="50" w:after="156" w:afterLines="50" w:line="560" w:lineRule="exact"/>
        <w:ind w:firstLine="560" w:firstLineChars="200"/>
        <w:jc w:val="both"/>
        <w:textAlignment w:val="auto"/>
        <w:rPr>
          <w:rFonts w:hint="eastAsia" w:ascii="仿宋_GB2312" w:eastAsia="仿宋_GB2312"/>
          <w:color w:val="000000"/>
          <w:sz w:val="28"/>
          <w:szCs w:val="28"/>
        </w:rPr>
      </w:pPr>
      <w:r>
        <w:rPr>
          <w:rFonts w:hint="eastAsia" w:ascii="仿宋_GB2312" w:eastAsia="仿宋_GB2312"/>
          <w:color w:val="000000"/>
          <w:sz w:val="28"/>
          <w:szCs w:val="28"/>
        </w:rPr>
        <w:t>9</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保障宪法和法律赋予妇女的男女平等、同工同酬和婚姻自由等各项权利。</w:t>
      </w:r>
    </w:p>
    <w:p>
      <w:pPr>
        <w:keepNext w:val="0"/>
        <w:keepLines w:val="0"/>
        <w:pageBreakBefore w:val="0"/>
        <w:tabs>
          <w:tab w:val="center" w:pos="6979"/>
        </w:tabs>
        <w:kinsoku/>
        <w:wordWrap/>
        <w:overflowPunct/>
        <w:topLinePunct w:val="0"/>
        <w:autoSpaceDE/>
        <w:autoSpaceDN/>
        <w:bidi w:val="0"/>
        <w:snapToGrid/>
        <w:spacing w:line="560" w:lineRule="exact"/>
        <w:ind w:firstLine="565" w:firstLineChars="202"/>
        <w:textAlignment w:val="auto"/>
        <w:rPr>
          <w:rFonts w:hint="eastAsia" w:ascii="仿宋_GB2312" w:eastAsia="仿宋_GB2312"/>
          <w:color w:val="000000"/>
          <w:sz w:val="28"/>
          <w:szCs w:val="28"/>
        </w:rPr>
      </w:pPr>
      <w:r>
        <w:rPr>
          <w:rFonts w:hint="eastAsia" w:ascii="仿宋_GB2312" w:eastAsia="仿宋_GB2312"/>
          <w:color w:val="000000"/>
          <w:sz w:val="28"/>
          <w:szCs w:val="28"/>
        </w:rPr>
        <w:t>10</w:t>
      </w:r>
      <w:r>
        <w:rPr>
          <w:rFonts w:hint="eastAsia" w:ascii="仿宋_GB2312" w:eastAsia="仿宋_GB2312"/>
          <w:color w:val="000000"/>
          <w:sz w:val="28"/>
          <w:szCs w:val="28"/>
          <w:lang w:val="en-US" w:eastAsia="zh-CN"/>
        </w:rPr>
        <w:t>.</w:t>
      </w:r>
      <w:r>
        <w:rPr>
          <w:rFonts w:hint="eastAsia" w:ascii="仿宋_GB2312" w:eastAsia="仿宋_GB2312"/>
          <w:color w:val="000000"/>
          <w:sz w:val="28"/>
          <w:szCs w:val="28"/>
        </w:rPr>
        <w:t>完成上级人民政府交办的其他任务。</w:t>
      </w:r>
    </w:p>
    <w:p>
      <w:pPr>
        <w:keepNext w:val="0"/>
        <w:keepLines w:val="0"/>
        <w:pageBreakBefore w:val="0"/>
        <w:kinsoku/>
        <w:wordWrap/>
        <w:overflowPunct/>
        <w:topLinePunct w:val="0"/>
        <w:autoSpaceDE/>
        <w:autoSpaceDN/>
        <w:bidi w:val="0"/>
        <w:snapToGrid/>
        <w:spacing w:line="560" w:lineRule="exact"/>
        <w:ind w:left="560"/>
        <w:textAlignment w:val="auto"/>
        <w:rPr>
          <w:rFonts w:hint="eastAsia" w:ascii="仿宋_GB2312" w:eastAsia="仿宋_GB2312"/>
          <w:kern w:val="0"/>
          <w:sz w:val="28"/>
          <w:szCs w:val="28"/>
        </w:rPr>
      </w:pPr>
      <w:r>
        <w:rPr>
          <w:rFonts w:hint="eastAsia" w:ascii="仿宋_GB2312" w:hAnsi="Times New Roman" w:eastAsia="仿宋_GB2312" w:cs="Times New Roman"/>
          <w:kern w:val="0"/>
          <w:sz w:val="28"/>
          <w:szCs w:val="28"/>
        </w:rPr>
        <w:t>（二）机构设置情况、单位类型</w:t>
      </w:r>
      <w:r>
        <w:rPr>
          <w:rFonts w:hint="eastAsia" w:ascii="仿宋_GB2312" w:hAnsi="Times New Roman" w:eastAsia="仿宋_GB2312" w:cs="Times New Roman"/>
          <w:kern w:val="0"/>
          <w:sz w:val="28"/>
          <w:szCs w:val="28"/>
          <w:lang w:eastAsia="zh-CN"/>
        </w:rPr>
        <w:t>及</w:t>
      </w:r>
      <w:r>
        <w:rPr>
          <w:rFonts w:hint="eastAsia" w:ascii="仿宋_GB2312" w:hAnsi="Times New Roman" w:eastAsia="仿宋_GB2312" w:cs="Times New Roman"/>
          <w:kern w:val="0"/>
          <w:sz w:val="28"/>
          <w:szCs w:val="28"/>
        </w:rPr>
        <w:t>人员情况</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jc w:val="both"/>
        <w:textAlignment w:val="auto"/>
        <w:outlineLvl w:val="9"/>
        <w:rPr>
          <w:rFonts w:hint="eastAsia" w:ascii="仿宋_GB2312" w:eastAsia="仿宋_GB2312"/>
          <w:color w:val="auto"/>
          <w:kern w:val="0"/>
          <w:sz w:val="28"/>
          <w:szCs w:val="28"/>
          <w:highlight w:val="yellow"/>
        </w:rPr>
      </w:pPr>
      <w:r>
        <w:rPr>
          <w:rFonts w:hint="eastAsia" w:ascii="仿宋_GB2312" w:hAnsi="Times New Roman" w:eastAsia="仿宋_GB2312" w:cs="Times New Roman"/>
          <w:kern w:val="0"/>
          <w:sz w:val="28"/>
          <w:szCs w:val="28"/>
        </w:rPr>
        <w:t>安定镇人民政府为行政机关单位，内设机构</w:t>
      </w:r>
      <w:r>
        <w:rPr>
          <w:rFonts w:hint="eastAsia" w:ascii="仿宋_GB2312" w:hAnsi="Times New Roman" w:eastAsia="仿宋_GB2312" w:cs="Times New Roman"/>
          <w:kern w:val="0"/>
          <w:sz w:val="28"/>
          <w:szCs w:val="28"/>
          <w:lang w:val="en-US" w:eastAsia="zh-CN"/>
        </w:rPr>
        <w:t>8</w:t>
      </w:r>
      <w:r>
        <w:rPr>
          <w:rFonts w:hint="eastAsia" w:ascii="仿宋_GB2312" w:hAnsi="Times New Roman" w:eastAsia="仿宋_GB2312" w:cs="Times New Roman"/>
          <w:kern w:val="0"/>
          <w:sz w:val="28"/>
          <w:szCs w:val="28"/>
        </w:rPr>
        <w:t>个，包括</w:t>
      </w:r>
      <w:r>
        <w:rPr>
          <w:rFonts w:hint="eastAsia" w:ascii="仿宋_GB2312" w:hAnsi="仿宋_GB2312" w:eastAsia="仿宋_GB2312" w:cs="仿宋_GB2312"/>
          <w:color w:val="auto"/>
          <w:kern w:val="0"/>
          <w:sz w:val="28"/>
          <w:szCs w:val="28"/>
          <w:highlight w:val="none"/>
          <w:lang w:eastAsia="zh-CN"/>
        </w:rPr>
        <w:t>：区监委派出安定镇监察办公室、</w:t>
      </w:r>
      <w:r>
        <w:rPr>
          <w:rFonts w:hint="eastAsia" w:ascii="仿宋_GB2312" w:hAnsi="仿宋_GB2312" w:eastAsia="仿宋_GB2312" w:cs="仿宋_GB2312"/>
          <w:color w:val="auto"/>
          <w:kern w:val="0"/>
          <w:sz w:val="28"/>
          <w:szCs w:val="28"/>
          <w:highlight w:val="none"/>
          <w:lang w:val="en-US" w:eastAsia="zh-CN"/>
        </w:rPr>
        <w:t>党群工作办公室、平安建设办公室、城乡建设办公室、农业农村办公室、经济发展办公室、民生保障和社区建设办公室、综合保障办公</w:t>
      </w:r>
      <w:r>
        <w:rPr>
          <w:rFonts w:hint="eastAsia" w:ascii="仿宋_GB2312" w:hAnsi="Times New Roman" w:eastAsia="仿宋_GB2312" w:cs="Times New Roman"/>
          <w:kern w:val="0"/>
          <w:sz w:val="28"/>
          <w:szCs w:val="28"/>
          <w:lang w:val="en-US" w:eastAsia="zh-CN"/>
        </w:rPr>
        <w:t>室；</w:t>
      </w:r>
      <w:r>
        <w:rPr>
          <w:rFonts w:hint="eastAsia" w:ascii="仿宋_GB2312" w:hAnsi="Times New Roman" w:eastAsia="仿宋_GB2312" w:cs="Times New Roman"/>
          <w:kern w:val="0"/>
          <w:sz w:val="28"/>
          <w:szCs w:val="28"/>
        </w:rPr>
        <w:t>所属机构</w:t>
      </w:r>
      <w:r>
        <w:rPr>
          <w:rFonts w:hint="eastAsia" w:ascii="仿宋_GB2312" w:hAnsi="Times New Roman" w:eastAsia="仿宋_GB2312" w:cs="Times New Roman"/>
          <w:kern w:val="0"/>
          <w:sz w:val="28"/>
          <w:szCs w:val="28"/>
          <w:lang w:val="en-US" w:eastAsia="zh-CN"/>
        </w:rPr>
        <w:t>6</w:t>
      </w:r>
      <w:r>
        <w:rPr>
          <w:rFonts w:hint="eastAsia" w:ascii="仿宋_GB2312" w:hAnsi="Times New Roman" w:eastAsia="仿宋_GB2312" w:cs="Times New Roman"/>
          <w:kern w:val="0"/>
          <w:sz w:val="28"/>
          <w:szCs w:val="28"/>
        </w:rPr>
        <w:t>个</w:t>
      </w:r>
      <w:r>
        <w:rPr>
          <w:rFonts w:hint="eastAsia" w:ascii="仿宋_GB2312" w:hAnsi="Times New Roman" w:eastAsia="仿宋_GB2312" w:cs="Times New Roman"/>
          <w:kern w:val="0"/>
          <w:sz w:val="28"/>
          <w:szCs w:val="28"/>
          <w:lang w:eastAsia="zh-CN"/>
        </w:rPr>
        <w:t>，</w:t>
      </w:r>
      <w:r>
        <w:rPr>
          <w:rFonts w:hint="eastAsia" w:ascii="仿宋_GB2312" w:hAnsi="Times New Roman" w:eastAsia="仿宋_GB2312" w:cs="Times New Roman"/>
          <w:kern w:val="0"/>
          <w:sz w:val="28"/>
          <w:szCs w:val="28"/>
        </w:rPr>
        <w:t>包括</w:t>
      </w:r>
      <w:r>
        <w:rPr>
          <w:rFonts w:hint="eastAsia" w:ascii="仿宋_GB2312" w:hAnsi="Times New Roman" w:eastAsia="仿宋_GB2312" w:cs="Times New Roman"/>
          <w:kern w:val="0"/>
          <w:sz w:val="28"/>
          <w:szCs w:val="28"/>
          <w:lang w:val="en-US" w:eastAsia="zh-CN"/>
        </w:rPr>
        <w:t>市民活动中心、市民诉求处置中心、便民服务中心、城镇建设服务中心、产业发展服务中心、综合行政执法队</w:t>
      </w:r>
      <w:r>
        <w:rPr>
          <w:rFonts w:hint="eastAsia" w:ascii="仿宋_GB2312" w:hAnsi="Times New Roman" w:eastAsia="仿宋_GB2312" w:cs="Times New Roman"/>
          <w:kern w:val="0"/>
          <w:sz w:val="28"/>
          <w:szCs w:val="28"/>
        </w:rPr>
        <w:t>，及安定卫生院1个事</w:t>
      </w:r>
      <w:r>
        <w:rPr>
          <w:rFonts w:hint="eastAsia" w:ascii="仿宋_GB2312" w:hAnsi="Times New Roman" w:eastAsia="仿宋_GB2312" w:cs="Times New Roman"/>
          <w:kern w:val="0"/>
          <w:sz w:val="28"/>
          <w:szCs w:val="28"/>
          <w:highlight w:val="none"/>
        </w:rPr>
        <w:t>业单位，</w:t>
      </w:r>
      <w:r>
        <w:rPr>
          <w:rFonts w:hint="eastAsia" w:ascii="仿宋_GB2312" w:hAnsi="仿宋_GB2312" w:eastAsia="仿宋_GB2312" w:cs="仿宋_GB2312"/>
          <w:color w:val="auto"/>
          <w:kern w:val="0"/>
          <w:sz w:val="28"/>
          <w:szCs w:val="28"/>
          <w:highlight w:val="none"/>
          <w:lang w:eastAsia="zh-CN"/>
        </w:rPr>
        <w:t>本机关编制人数</w:t>
      </w:r>
      <w:r>
        <w:rPr>
          <w:rFonts w:hint="eastAsia" w:ascii="仿宋_GB2312" w:hAnsi="仿宋_GB2312" w:eastAsia="仿宋_GB2312" w:cs="仿宋_GB2312"/>
          <w:color w:val="auto"/>
          <w:kern w:val="0"/>
          <w:sz w:val="28"/>
          <w:szCs w:val="28"/>
          <w:highlight w:val="none"/>
          <w:lang w:val="en-US" w:eastAsia="zh-CN"/>
        </w:rPr>
        <w:t>214</w:t>
      </w:r>
      <w:r>
        <w:rPr>
          <w:rFonts w:hint="eastAsia" w:ascii="仿宋_GB2312" w:hAnsi="仿宋_GB2312" w:eastAsia="仿宋_GB2312" w:cs="仿宋_GB2312"/>
          <w:b w:val="0"/>
          <w:bCs w:val="0"/>
          <w:color w:val="auto"/>
          <w:kern w:val="0"/>
          <w:sz w:val="28"/>
          <w:szCs w:val="28"/>
          <w:highlight w:val="none"/>
          <w:lang w:eastAsia="zh-CN"/>
        </w:rPr>
        <w:t>人</w:t>
      </w:r>
      <w:r>
        <w:rPr>
          <w:rFonts w:hint="eastAsia" w:ascii="仿宋_GB2312" w:hAnsi="仿宋_GB2312" w:eastAsia="仿宋_GB2312" w:cs="仿宋_GB2312"/>
          <w:color w:val="auto"/>
          <w:kern w:val="0"/>
          <w:sz w:val="28"/>
          <w:szCs w:val="28"/>
          <w:highlight w:val="none"/>
          <w:lang w:val="en-US" w:eastAsia="zh-CN"/>
        </w:rPr>
        <w:t>，机关</w:t>
      </w:r>
      <w:r>
        <w:rPr>
          <w:rFonts w:hint="eastAsia" w:ascii="仿宋_GB2312" w:hAnsi="仿宋_GB2312" w:eastAsia="仿宋_GB2312" w:cs="仿宋_GB2312"/>
          <w:color w:val="auto"/>
          <w:kern w:val="0"/>
          <w:sz w:val="28"/>
          <w:szCs w:val="28"/>
          <w:highlight w:val="none"/>
        </w:rPr>
        <w:t>实有在职人员</w:t>
      </w:r>
      <w:r>
        <w:rPr>
          <w:rFonts w:hint="eastAsia" w:ascii="仿宋_GB2312" w:hAnsi="仿宋_GB2312" w:eastAsia="仿宋_GB2312" w:cs="仿宋_GB2312"/>
          <w:color w:val="auto"/>
          <w:kern w:val="0"/>
          <w:sz w:val="28"/>
          <w:szCs w:val="28"/>
          <w:highlight w:val="none"/>
          <w:lang w:val="en-US" w:eastAsia="zh-CN"/>
        </w:rPr>
        <w:t>204</w:t>
      </w:r>
      <w:r>
        <w:rPr>
          <w:rFonts w:hint="eastAsia" w:ascii="仿宋_GB2312" w:hAnsi="仿宋_GB2312" w:eastAsia="仿宋_GB2312" w:cs="仿宋_GB2312"/>
          <w:color w:val="auto"/>
          <w:kern w:val="0"/>
          <w:sz w:val="28"/>
          <w:szCs w:val="28"/>
          <w:highlight w:val="none"/>
        </w:rPr>
        <w:t>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从预算单位构成看，</w:t>
      </w:r>
      <w:r>
        <w:rPr>
          <w:rFonts w:hint="eastAsia" w:ascii="仿宋_GB2312" w:eastAsia="仿宋_GB2312"/>
          <w:kern w:val="0"/>
          <w:sz w:val="28"/>
          <w:szCs w:val="28"/>
        </w:rPr>
        <w:t>本部门</w:t>
      </w:r>
      <w:r>
        <w:rPr>
          <w:rFonts w:hint="eastAsia" w:ascii="仿宋_GB2312" w:eastAsia="仿宋_GB2312"/>
          <w:sz w:val="28"/>
          <w:szCs w:val="28"/>
        </w:rPr>
        <w:t>部门决算包括：</w:t>
      </w:r>
      <w:r>
        <w:rPr>
          <w:rFonts w:hint="eastAsia" w:ascii="仿宋_GB2312" w:eastAsia="仿宋_GB2312"/>
          <w:sz w:val="28"/>
          <w:szCs w:val="28"/>
          <w:lang w:eastAsia="zh-CN"/>
        </w:rPr>
        <w:t>北京市大兴区</w:t>
      </w:r>
      <w:r>
        <w:rPr>
          <w:rFonts w:hint="eastAsia" w:ascii="仿宋_GB2312" w:eastAsia="仿宋_GB2312"/>
          <w:sz w:val="28"/>
          <w:szCs w:val="28"/>
        </w:rPr>
        <w:t>安定镇人民政府</w:t>
      </w:r>
      <w:r>
        <w:rPr>
          <w:rFonts w:hint="eastAsia" w:ascii="仿宋_GB2312" w:eastAsia="仿宋_GB2312"/>
          <w:sz w:val="28"/>
          <w:szCs w:val="28"/>
          <w:lang w:eastAsia="zh-CN"/>
        </w:rPr>
        <w:t>（</w:t>
      </w:r>
      <w:r>
        <w:rPr>
          <w:rFonts w:hint="eastAsia" w:ascii="仿宋_GB2312" w:eastAsia="仿宋_GB2312"/>
          <w:sz w:val="28"/>
          <w:szCs w:val="28"/>
        </w:rPr>
        <w:t>本级</w:t>
      </w:r>
      <w:r>
        <w:rPr>
          <w:rFonts w:hint="eastAsia" w:ascii="仿宋_GB2312" w:eastAsia="仿宋_GB2312"/>
          <w:sz w:val="28"/>
          <w:szCs w:val="28"/>
          <w:lang w:eastAsia="zh-CN"/>
        </w:rPr>
        <w:t>）部门</w:t>
      </w:r>
      <w:r>
        <w:rPr>
          <w:rFonts w:hint="eastAsia" w:ascii="仿宋_GB2312" w:eastAsia="仿宋_GB2312"/>
          <w:sz w:val="28"/>
          <w:szCs w:val="28"/>
        </w:rPr>
        <w:t>决算</w:t>
      </w:r>
      <w:r>
        <w:rPr>
          <w:rFonts w:hint="eastAsia" w:ascii="仿宋_GB2312" w:eastAsia="仿宋_GB2312"/>
          <w:sz w:val="28"/>
          <w:szCs w:val="28"/>
          <w:lang w:eastAsia="zh-CN"/>
        </w:rPr>
        <w:t>及</w:t>
      </w:r>
      <w:r>
        <w:rPr>
          <w:rFonts w:hint="eastAsia" w:ascii="仿宋_GB2312" w:eastAsia="仿宋_GB2312"/>
          <w:sz w:val="28"/>
          <w:szCs w:val="28"/>
        </w:rPr>
        <w:t>北京市大兴区安定镇中心卫生院</w:t>
      </w:r>
      <w:r>
        <w:rPr>
          <w:rFonts w:hint="eastAsia" w:ascii="仿宋_GB2312" w:eastAsia="仿宋_GB2312"/>
          <w:sz w:val="28"/>
          <w:szCs w:val="28"/>
          <w:lang w:eastAsia="zh-CN"/>
        </w:rPr>
        <w:t>部门决算</w:t>
      </w:r>
      <w:r>
        <w:rPr>
          <w:rFonts w:hint="eastAsia" w:ascii="仿宋_GB2312" w:eastAsia="仿宋_GB2312"/>
          <w:sz w:val="28"/>
          <w:szCs w:val="28"/>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72654.39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181697.21</w:t>
      </w:r>
      <w:r>
        <w:rPr>
          <w:rFonts w:hint="eastAsia" w:ascii="仿宋_GB2312" w:eastAsia="仿宋_GB2312"/>
          <w:sz w:val="28"/>
          <w:szCs w:val="28"/>
        </w:rPr>
        <w:t>万元，下降</w:t>
      </w:r>
      <w:r>
        <w:rPr>
          <w:rFonts w:hint="eastAsia" w:ascii="仿宋_GB2312" w:eastAsia="仿宋_GB2312"/>
          <w:sz w:val="28"/>
          <w:szCs w:val="28"/>
          <w:lang w:val="en-US" w:eastAsia="zh-CN"/>
        </w:rPr>
        <w:t>71.44</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。2024年度支出总计</w:t>
      </w:r>
      <w:r>
        <w:rPr>
          <w:rFonts w:hint="eastAsia" w:ascii="仿宋_GB2312" w:eastAsia="仿宋_GB2312"/>
          <w:sz w:val="28"/>
          <w:szCs w:val="28"/>
          <w:lang w:val="en-US" w:eastAsia="zh-CN"/>
        </w:rPr>
        <w:t>72654.39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181697.21</w:t>
      </w:r>
      <w:r>
        <w:rPr>
          <w:rFonts w:hint="eastAsia" w:ascii="仿宋_GB2312" w:eastAsia="仿宋_GB2312"/>
          <w:sz w:val="28"/>
          <w:szCs w:val="28"/>
        </w:rPr>
        <w:t>万元，下降</w:t>
      </w:r>
      <w:r>
        <w:rPr>
          <w:rFonts w:hint="eastAsia" w:ascii="仿宋_GB2312" w:eastAsia="仿宋_GB2312"/>
          <w:sz w:val="28"/>
          <w:szCs w:val="28"/>
          <w:lang w:val="en-US" w:eastAsia="zh-CN"/>
        </w:rPr>
        <w:t>71.44</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70235.49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182489.21</w:t>
      </w:r>
      <w:r>
        <w:rPr>
          <w:rFonts w:hint="eastAsia" w:ascii="仿宋_GB2312" w:eastAsia="仿宋_GB2312"/>
          <w:sz w:val="28"/>
          <w:szCs w:val="28"/>
        </w:rPr>
        <w:t>万元，下降</w:t>
      </w:r>
      <w:r>
        <w:rPr>
          <w:rFonts w:hint="eastAsia" w:ascii="仿宋_GB2312" w:eastAsia="仿宋_GB2312"/>
          <w:sz w:val="28"/>
          <w:szCs w:val="28"/>
          <w:lang w:val="en-US" w:eastAsia="zh-CN"/>
        </w:rPr>
        <w:t>72.21</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64643.4</w:t>
      </w:r>
      <w:r>
        <w:rPr>
          <w:rFonts w:hint="eastAsia" w:ascii="仿宋_GB2312" w:eastAsia="仿宋_GB2312"/>
          <w:sz w:val="28"/>
          <w:szCs w:val="28"/>
        </w:rPr>
        <w:t>万元，占收入合计的</w:t>
      </w:r>
      <w:r>
        <w:rPr>
          <w:rFonts w:hint="eastAsia" w:ascii="仿宋_GB2312" w:eastAsia="仿宋_GB2312"/>
          <w:sz w:val="28"/>
          <w:szCs w:val="28"/>
          <w:lang w:val="en-US" w:eastAsia="zh-CN"/>
        </w:rPr>
        <w:t>92.04</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55348.84</w:t>
      </w:r>
      <w:r>
        <w:rPr>
          <w:rFonts w:hint="eastAsia" w:ascii="仿宋_GB2312" w:eastAsia="仿宋_GB2312"/>
          <w:sz w:val="28"/>
          <w:szCs w:val="28"/>
        </w:rPr>
        <w:t>万元，占收入合计的</w:t>
      </w:r>
      <w:r>
        <w:rPr>
          <w:rFonts w:hint="eastAsia" w:ascii="仿宋_GB2312" w:eastAsia="仿宋_GB2312"/>
          <w:sz w:val="28"/>
          <w:szCs w:val="28"/>
          <w:lang w:val="en-US" w:eastAsia="zh-CN"/>
        </w:rPr>
        <w:t>78.8</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9294.56</w:t>
      </w:r>
      <w:r>
        <w:rPr>
          <w:rFonts w:hint="eastAsia" w:ascii="仿宋_GB2312" w:eastAsia="仿宋_GB2312"/>
          <w:sz w:val="28"/>
          <w:szCs w:val="28"/>
        </w:rPr>
        <w:t>万元，占收入合计的</w:t>
      </w:r>
      <w:r>
        <w:rPr>
          <w:rFonts w:hint="eastAsia" w:ascii="仿宋_GB2312" w:eastAsia="仿宋_GB2312"/>
          <w:sz w:val="28"/>
          <w:szCs w:val="28"/>
          <w:lang w:val="en-US" w:eastAsia="zh-CN"/>
        </w:rPr>
        <w:t>13.23</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5487.18</w:t>
      </w:r>
      <w:r>
        <w:rPr>
          <w:rFonts w:hint="eastAsia" w:ascii="仿宋_GB2312" w:eastAsia="仿宋_GB2312"/>
          <w:sz w:val="28"/>
          <w:szCs w:val="28"/>
        </w:rPr>
        <w:t>万元，占收入合计的</w:t>
      </w:r>
      <w:r>
        <w:rPr>
          <w:rFonts w:hint="eastAsia" w:ascii="仿宋_GB2312" w:eastAsia="仿宋_GB2312"/>
          <w:sz w:val="28"/>
          <w:szCs w:val="28"/>
          <w:lang w:val="en-US" w:eastAsia="zh-CN"/>
        </w:rPr>
        <w:t>7.81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104.91</w:t>
      </w:r>
      <w:r>
        <w:rPr>
          <w:rFonts w:hint="eastAsia" w:ascii="仿宋_GB2312" w:eastAsia="仿宋_GB2312"/>
          <w:sz w:val="28"/>
          <w:szCs w:val="28"/>
        </w:rPr>
        <w:t>万元，占收入合计的</w:t>
      </w:r>
      <w:r>
        <w:rPr>
          <w:rFonts w:hint="eastAsia" w:ascii="仿宋_GB2312" w:eastAsia="仿宋_GB2312"/>
          <w:sz w:val="28"/>
          <w:szCs w:val="28"/>
          <w:lang w:val="en-US" w:eastAsia="zh-CN"/>
        </w:rPr>
        <w:t>0.15</w:t>
      </w:r>
      <w:r>
        <w:rPr>
          <w:rFonts w:hint="eastAsia" w:ascii="仿宋_GB2312" w:eastAsia="仿宋_GB2312"/>
          <w:sz w:val="28"/>
          <w:szCs w:val="28"/>
        </w:rPr>
        <w:t>%。</w:t>
      </w:r>
    </w:p>
    <w:p>
      <w:pPr>
        <w:pStyle w:val="3"/>
        <w:jc w:val="center"/>
        <w:rPr>
          <w:rFonts w:hint="eastAsia" w:ascii="仿宋_GB2312" w:eastAsia="仿宋_GB2312"/>
          <w:color w:val="000000"/>
          <w:sz w:val="32"/>
        </w:rPr>
      </w:pPr>
      <w:r>
        <w:rPr>
          <w:rFonts w:hint="eastAsia" w:ascii="仿宋_GB2312" w:eastAsia="仿宋_GB2312"/>
          <w:color w:val="000000"/>
          <w:sz w:val="32"/>
        </w:rPr>
        <w:t>图1：收入</w:t>
      </w:r>
      <w:r>
        <w:rPr>
          <w:rFonts w:hint="eastAsia" w:ascii="仿宋_GB2312" w:eastAsia="仿宋_GB2312"/>
          <w:color w:val="000000"/>
          <w:sz w:val="32"/>
          <w:lang w:eastAsia="zh-CN"/>
        </w:rPr>
        <w:t>决</w:t>
      </w:r>
      <w:r>
        <w:rPr>
          <w:rFonts w:hint="eastAsia" w:ascii="仿宋_GB2312" w:eastAsia="仿宋_GB2312"/>
          <w:color w:val="000000"/>
          <w:sz w:val="32"/>
        </w:rPr>
        <w:t>算</w:t>
      </w:r>
    </w:p>
    <w:p>
      <w:pPr>
        <w:rPr>
          <w:rFonts w:hint="eastAsia" w:eastAsia="仿宋_GB2312"/>
          <w:lang w:eastAsia="zh-CN"/>
        </w:rPr>
      </w:pPr>
    </w:p>
    <w:p>
      <w:pPr>
        <w:pStyle w:val="3"/>
        <w:jc w:val="center"/>
        <w:rPr>
          <w:rFonts w:hint="eastAsia" w:ascii="仿宋_GB2312" w:eastAsia="仿宋_GB2312"/>
          <w:color w:val="000000"/>
          <w:sz w:val="32"/>
        </w:rPr>
      </w:pPr>
      <w:r>
        <w:drawing>
          <wp:inline distT="0" distB="0" distL="114300" distR="114300">
            <wp:extent cx="4572000" cy="2476500"/>
            <wp:effectExtent l="4445" t="4445" r="14605" b="14605"/>
            <wp:docPr id="102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69996.24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182496.08</w:t>
      </w:r>
      <w:r>
        <w:rPr>
          <w:rFonts w:hint="eastAsia" w:ascii="仿宋_GB2312" w:eastAsia="仿宋_GB2312"/>
          <w:sz w:val="28"/>
          <w:szCs w:val="28"/>
        </w:rPr>
        <w:t>万元，下降</w:t>
      </w:r>
      <w:r>
        <w:rPr>
          <w:rFonts w:hint="eastAsia" w:ascii="仿宋_GB2312" w:eastAsia="仿宋_GB2312"/>
          <w:sz w:val="28"/>
          <w:szCs w:val="28"/>
          <w:lang w:val="en-US" w:eastAsia="zh-CN"/>
        </w:rPr>
        <w:t>72.28</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11860.7</w:t>
      </w:r>
      <w:r>
        <w:rPr>
          <w:rFonts w:hint="eastAsia" w:ascii="仿宋_GB2312" w:eastAsia="仿宋_GB2312"/>
          <w:sz w:val="28"/>
          <w:szCs w:val="28"/>
        </w:rPr>
        <w:t>万元，占支出合计的</w:t>
      </w:r>
      <w:r>
        <w:rPr>
          <w:rFonts w:hint="eastAsia" w:ascii="仿宋_GB2312" w:eastAsia="仿宋_GB2312"/>
          <w:sz w:val="28"/>
          <w:szCs w:val="28"/>
          <w:lang w:val="en-US" w:eastAsia="zh-CN"/>
        </w:rPr>
        <w:t>16.94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58135.54</w:t>
      </w:r>
      <w:r>
        <w:rPr>
          <w:rFonts w:hint="eastAsia" w:ascii="仿宋_GB2312" w:eastAsia="仿宋_GB2312"/>
          <w:sz w:val="28"/>
          <w:szCs w:val="28"/>
        </w:rPr>
        <w:t>万元，占支出合计的</w:t>
      </w:r>
      <w:r>
        <w:rPr>
          <w:rFonts w:hint="eastAsia" w:ascii="仿宋_GB2312" w:eastAsia="仿宋_GB2312"/>
          <w:sz w:val="28"/>
          <w:szCs w:val="28"/>
          <w:lang w:val="en-US" w:eastAsia="zh-CN"/>
        </w:rPr>
        <w:t>83.06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cs="Droid Sans"/>
          <w:color w:val="000000"/>
          <w:sz w:val="32"/>
          <w:szCs w:val="32"/>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tabs>
          <w:tab w:val="center" w:pos="7627"/>
          <w:tab w:val="left" w:pos="10433"/>
        </w:tabs>
        <w:ind w:firstLine="642"/>
        <w:jc w:val="left"/>
        <w:rPr>
          <w:rFonts w:hint="eastAsia" w:ascii="仿宋_GB2312" w:eastAsia="仿宋_GB2312"/>
          <w:color w:val="000000"/>
          <w:sz w:val="32"/>
          <w:lang w:eastAsia="zh-CN"/>
        </w:rPr>
      </w:pPr>
      <w:r>
        <w:rPr>
          <w:rFonts w:hint="eastAsia" w:ascii="仿宋_GB2312" w:eastAsia="仿宋_GB2312"/>
          <w:color w:val="000000"/>
          <w:sz w:val="32"/>
          <w:lang w:eastAsia="zh-CN"/>
        </w:rPr>
        <w:tab/>
      </w:r>
      <w:r>
        <w:rPr>
          <w:rFonts w:hint="eastAsia" w:ascii="仿宋_GB2312" w:eastAsia="仿宋_GB2312"/>
          <w:color w:val="000000"/>
          <w:sz w:val="32"/>
        </w:rPr>
        <w:t>图2：基本支出和项目支出情况</w:t>
      </w:r>
      <w:r>
        <w:rPr>
          <w:rFonts w:hint="eastAsia" w:ascii="仿宋_GB2312" w:eastAsia="仿宋_GB2312"/>
          <w:color w:val="000000"/>
          <w:sz w:val="32"/>
          <w:lang w:eastAsia="zh-CN"/>
        </w:rPr>
        <w:tab/>
      </w:r>
    </w:p>
    <w:p>
      <w:pPr>
        <w:rPr>
          <w:rFonts w:hint="eastAsia"/>
          <w:lang w:eastAsia="zh-CN"/>
        </w:rPr>
      </w:pPr>
    </w:p>
    <w:p>
      <w:pPr>
        <w:jc w:val="center"/>
        <w:rPr>
          <w:rFonts w:hint="eastAsia" w:ascii="黑体" w:eastAsia="黑体"/>
          <w:b/>
          <w:sz w:val="28"/>
          <w:szCs w:val="28"/>
        </w:rPr>
      </w:pPr>
      <w:r>
        <w:drawing>
          <wp:inline distT="0" distB="0" distL="114300" distR="114300">
            <wp:extent cx="4032885" cy="2106295"/>
            <wp:effectExtent l="4445" t="4445" r="20320" b="22860"/>
            <wp:docPr id="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65203.02</w:t>
      </w:r>
      <w:r>
        <w:rPr>
          <w:rFonts w:hint="eastAsia" w:ascii="仿宋_GB2312" w:eastAsia="仿宋_GB2312"/>
          <w:sz w:val="28"/>
          <w:szCs w:val="28"/>
        </w:rPr>
        <w:t>万元，比上年减少</w:t>
      </w:r>
      <w:r>
        <w:rPr>
          <w:rFonts w:hint="eastAsia" w:ascii="仿宋_GB2312" w:eastAsia="仿宋_GB2312"/>
          <w:sz w:val="28"/>
          <w:szCs w:val="28"/>
          <w:lang w:val="en-US" w:eastAsia="zh-CN"/>
        </w:rPr>
        <w:t>182819.71</w:t>
      </w:r>
      <w:r>
        <w:rPr>
          <w:rFonts w:hint="eastAsia" w:ascii="仿宋_GB2312" w:eastAsia="仿宋_GB2312"/>
          <w:sz w:val="28"/>
          <w:szCs w:val="28"/>
        </w:rPr>
        <w:t>万元，下降</w:t>
      </w:r>
      <w:r>
        <w:rPr>
          <w:rFonts w:hint="eastAsia" w:ascii="仿宋_GB2312" w:eastAsia="仿宋_GB2312"/>
          <w:sz w:val="28"/>
          <w:szCs w:val="28"/>
          <w:lang w:val="en-US" w:eastAsia="zh-CN"/>
        </w:rPr>
        <w:t>73.71</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。2024年度财政拨款支出总计</w:t>
      </w:r>
      <w:r>
        <w:rPr>
          <w:rFonts w:hint="eastAsia" w:ascii="仿宋_GB2312" w:eastAsia="仿宋_GB2312"/>
          <w:sz w:val="28"/>
          <w:szCs w:val="28"/>
          <w:lang w:val="en-US" w:eastAsia="zh-CN"/>
        </w:rPr>
        <w:t>65203.02</w:t>
      </w:r>
      <w:r>
        <w:rPr>
          <w:rFonts w:hint="eastAsia" w:ascii="仿宋_GB2312" w:eastAsia="仿宋_GB2312"/>
          <w:sz w:val="28"/>
          <w:szCs w:val="28"/>
        </w:rPr>
        <w:t>万元，比上年减少</w:t>
      </w:r>
      <w:r>
        <w:rPr>
          <w:rFonts w:hint="eastAsia" w:ascii="仿宋_GB2312" w:eastAsia="仿宋_GB2312"/>
          <w:sz w:val="28"/>
          <w:szCs w:val="28"/>
          <w:lang w:val="en-US" w:eastAsia="zh-CN"/>
        </w:rPr>
        <w:t>182819.71</w:t>
      </w:r>
      <w:r>
        <w:rPr>
          <w:rFonts w:hint="eastAsia" w:ascii="仿宋_GB2312" w:eastAsia="仿宋_GB2312"/>
          <w:sz w:val="28"/>
          <w:szCs w:val="28"/>
        </w:rPr>
        <w:t>万元，下降</w:t>
      </w:r>
      <w:r>
        <w:rPr>
          <w:rFonts w:hint="eastAsia" w:ascii="仿宋_GB2312" w:eastAsia="仿宋_GB2312"/>
          <w:sz w:val="28"/>
          <w:szCs w:val="28"/>
          <w:lang w:val="en-US" w:eastAsia="zh-CN"/>
        </w:rPr>
        <w:t>73.71</w:t>
      </w:r>
      <w:r>
        <w:rPr>
          <w:rFonts w:hint="eastAsia" w:ascii="仿宋_GB2312" w:eastAsia="仿宋_GB2312"/>
          <w:sz w:val="28"/>
          <w:szCs w:val="28"/>
        </w:rPr>
        <w:t>%。主要原因：</w:t>
      </w:r>
      <w:r>
        <w:rPr>
          <w:rFonts w:hint="eastAsia" w:ascii="仿宋_GB2312" w:eastAsia="仿宋_GB2312"/>
          <w:sz w:val="28"/>
          <w:szCs w:val="28"/>
          <w:lang w:val="en-US" w:eastAsia="zh-CN"/>
        </w:rPr>
        <w:t>2024年区对镇专项转移支付减少</w:t>
      </w:r>
      <w:r>
        <w:rPr>
          <w:rFonts w:hint="eastAsia" w:ascii="仿宋_GB2312" w:eastAsia="仿宋_GB2312"/>
          <w:sz w:val="28"/>
          <w:szCs w:val="28"/>
        </w:rPr>
        <w:t xml:space="preserve">。 </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55908.46</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10313.82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18.45</w:t>
      </w:r>
      <w:r>
        <w:rPr>
          <w:rFonts w:hint="eastAsia" w:ascii="仿宋_GB2312" w:eastAsia="仿宋_GB2312"/>
          <w:sz w:val="28"/>
          <w:szCs w:val="28"/>
        </w:rPr>
        <w:t>%；公共安全支出</w:t>
      </w:r>
      <w:r>
        <w:rPr>
          <w:rFonts w:hint="eastAsia" w:ascii="仿宋_GB2312" w:eastAsia="仿宋_GB2312"/>
          <w:sz w:val="28"/>
          <w:szCs w:val="28"/>
          <w:lang w:val="en-US" w:eastAsia="zh-CN"/>
        </w:rPr>
        <w:t>611.78</w:t>
      </w:r>
      <w:r>
        <w:rPr>
          <w:rFonts w:hint="eastAsia" w:ascii="仿宋_GB2312" w:eastAsia="仿宋_GB2312"/>
          <w:sz w:val="28"/>
          <w:szCs w:val="28"/>
        </w:rPr>
        <w:t>万元，占本年财政拨款支出1.</w:t>
      </w:r>
      <w:r>
        <w:rPr>
          <w:rFonts w:hint="eastAsia" w:ascii="仿宋_GB2312" w:eastAsia="仿宋_GB2312"/>
          <w:sz w:val="28"/>
          <w:szCs w:val="28"/>
          <w:lang w:val="en-US" w:eastAsia="zh-CN"/>
        </w:rPr>
        <w:t>09</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264.32</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47</w:t>
      </w:r>
      <w:r>
        <w:rPr>
          <w:rFonts w:hint="eastAsia" w:ascii="仿宋_GB2312" w:eastAsia="仿宋_GB2312"/>
          <w:sz w:val="28"/>
          <w:szCs w:val="28"/>
        </w:rPr>
        <w:t>%；社会保障和就业支出</w:t>
      </w:r>
      <w:r>
        <w:rPr>
          <w:rFonts w:hint="eastAsia" w:ascii="仿宋_GB2312" w:eastAsia="仿宋_GB2312"/>
          <w:sz w:val="28"/>
          <w:szCs w:val="28"/>
          <w:lang w:val="en-US" w:eastAsia="zh-CN"/>
        </w:rPr>
        <w:t>1828.97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3.27</w:t>
      </w:r>
      <w:r>
        <w:rPr>
          <w:rFonts w:hint="eastAsia" w:ascii="仿宋_GB2312" w:eastAsia="仿宋_GB2312"/>
          <w:sz w:val="28"/>
          <w:szCs w:val="28"/>
        </w:rPr>
        <w:t>%；卫生健康支出</w:t>
      </w:r>
      <w:r>
        <w:rPr>
          <w:rFonts w:hint="eastAsia" w:ascii="仿宋_GB2312" w:eastAsia="仿宋_GB2312"/>
          <w:sz w:val="28"/>
          <w:szCs w:val="28"/>
          <w:lang w:val="en-US" w:eastAsia="zh-CN"/>
        </w:rPr>
        <w:t>4147.26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7.42</w:t>
      </w:r>
      <w:r>
        <w:rPr>
          <w:rFonts w:hint="eastAsia" w:ascii="仿宋_GB2312" w:eastAsia="仿宋_GB2312"/>
          <w:sz w:val="28"/>
          <w:szCs w:val="28"/>
        </w:rPr>
        <w:t>%；节能环保支出</w:t>
      </w:r>
      <w:r>
        <w:rPr>
          <w:rFonts w:hint="eastAsia" w:ascii="仿宋_GB2312" w:eastAsia="仿宋_GB2312"/>
          <w:sz w:val="28"/>
          <w:szCs w:val="28"/>
          <w:lang w:val="en-US" w:eastAsia="zh-CN"/>
        </w:rPr>
        <w:t>4178.54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7.47</w:t>
      </w:r>
      <w:r>
        <w:rPr>
          <w:rFonts w:hint="eastAsia" w:ascii="仿宋_GB2312" w:eastAsia="仿宋_GB2312"/>
          <w:sz w:val="28"/>
          <w:szCs w:val="28"/>
        </w:rPr>
        <w:t>%；城乡社区支出</w:t>
      </w:r>
      <w:r>
        <w:rPr>
          <w:rFonts w:hint="eastAsia" w:ascii="仿宋_GB2312" w:eastAsia="仿宋_GB2312"/>
          <w:sz w:val="28"/>
          <w:szCs w:val="28"/>
          <w:lang w:val="en-US" w:eastAsia="zh-CN"/>
        </w:rPr>
        <w:t>5446.4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9.74</w:t>
      </w:r>
      <w:r>
        <w:rPr>
          <w:rFonts w:hint="eastAsia" w:ascii="仿宋_GB2312" w:eastAsia="仿宋_GB2312"/>
          <w:sz w:val="28"/>
          <w:szCs w:val="28"/>
        </w:rPr>
        <w:t>%；农林水支出</w:t>
      </w:r>
      <w:r>
        <w:rPr>
          <w:rFonts w:hint="eastAsia" w:ascii="仿宋_GB2312" w:eastAsia="仿宋_GB2312"/>
          <w:sz w:val="28"/>
          <w:szCs w:val="28"/>
          <w:lang w:val="en-US" w:eastAsia="zh-CN"/>
        </w:rPr>
        <w:t>27629.09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49.42</w:t>
      </w:r>
      <w:r>
        <w:rPr>
          <w:rFonts w:hint="eastAsia" w:ascii="仿宋_GB2312" w:eastAsia="仿宋_GB2312"/>
          <w:sz w:val="28"/>
          <w:szCs w:val="28"/>
        </w:rPr>
        <w:t>%；交通运输支出</w:t>
      </w:r>
      <w:r>
        <w:rPr>
          <w:rFonts w:hint="eastAsia" w:ascii="仿宋_GB2312" w:eastAsia="仿宋_GB2312"/>
          <w:sz w:val="28"/>
          <w:szCs w:val="28"/>
          <w:lang w:val="en-US" w:eastAsia="zh-CN"/>
        </w:rPr>
        <w:t>114.59</w:t>
      </w:r>
      <w:r>
        <w:rPr>
          <w:rFonts w:hint="eastAsia" w:ascii="仿宋_GB2312" w:eastAsia="仿宋_GB2312"/>
          <w:sz w:val="28"/>
          <w:szCs w:val="28"/>
        </w:rPr>
        <w:t>万元，占本年财政拨款支出0.2%；自然资源海洋气象等</w:t>
      </w:r>
      <w:r>
        <w:rPr>
          <w:rFonts w:hint="eastAsia" w:ascii="仿宋_GB2312" w:eastAsia="仿宋_GB2312"/>
          <w:sz w:val="28"/>
          <w:szCs w:val="28"/>
          <w:highlight w:val="none"/>
        </w:rPr>
        <w:t>支出</w:t>
      </w:r>
      <w:r>
        <w:rPr>
          <w:rFonts w:hint="eastAsia" w:ascii="仿宋_GB2312" w:eastAsia="仿宋_GB2312"/>
          <w:sz w:val="28"/>
          <w:szCs w:val="28"/>
          <w:highlight w:val="none"/>
          <w:lang w:val="en-US" w:eastAsia="zh-CN"/>
        </w:rPr>
        <w:t>266.64元，</w:t>
      </w:r>
      <w:r>
        <w:rPr>
          <w:rFonts w:hint="eastAsia" w:ascii="仿宋_GB2312" w:eastAsia="仿宋_GB2312"/>
          <w:sz w:val="28"/>
          <w:szCs w:val="28"/>
          <w:highlight w:val="none"/>
        </w:rPr>
        <w:t>占</w:t>
      </w:r>
      <w:r>
        <w:rPr>
          <w:rFonts w:hint="eastAsia" w:ascii="仿宋_GB2312" w:eastAsia="仿宋_GB2312"/>
          <w:sz w:val="28"/>
          <w:szCs w:val="28"/>
        </w:rPr>
        <w:t>本年财政拨款支出0.</w:t>
      </w:r>
      <w:r>
        <w:rPr>
          <w:rFonts w:hint="eastAsia" w:ascii="仿宋_GB2312" w:eastAsia="仿宋_GB2312"/>
          <w:sz w:val="28"/>
          <w:szCs w:val="28"/>
          <w:lang w:val="en-US" w:eastAsia="zh-CN"/>
        </w:rPr>
        <w:t>48</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747.64万元，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1.34%；</w:t>
      </w:r>
      <w:r>
        <w:rPr>
          <w:rFonts w:hint="eastAsia" w:ascii="仿宋_GB2312" w:eastAsia="仿宋_GB2312"/>
          <w:sz w:val="28"/>
          <w:szCs w:val="28"/>
        </w:rPr>
        <w:t>灾害防治及应急管理支出</w:t>
      </w:r>
      <w:r>
        <w:rPr>
          <w:rFonts w:hint="eastAsia" w:ascii="仿宋_GB2312" w:eastAsia="仿宋_GB2312"/>
          <w:sz w:val="28"/>
          <w:szCs w:val="28"/>
          <w:lang w:val="en-US" w:eastAsia="zh-CN"/>
        </w:rPr>
        <w:t>359.4</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64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1.“一般公共服务支出”（类）2024年度决算</w:t>
      </w:r>
      <w:r>
        <w:rPr>
          <w:rFonts w:hint="eastAsia" w:ascii="仿宋_GB2312" w:eastAsia="仿宋_GB2312"/>
          <w:sz w:val="28"/>
          <w:szCs w:val="28"/>
          <w:lang w:val="en-US" w:eastAsia="zh-CN"/>
        </w:rPr>
        <w:t>10313.82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3686.09</w:t>
      </w:r>
      <w:r>
        <w:rPr>
          <w:rFonts w:hint="eastAsia" w:ascii="仿宋_GB2312" w:eastAsia="仿宋_GB2312"/>
          <w:sz w:val="28"/>
          <w:szCs w:val="28"/>
        </w:rPr>
        <w:t>万元，增长</w:t>
      </w:r>
      <w:r>
        <w:rPr>
          <w:rFonts w:hint="eastAsia" w:ascii="仿宋_GB2312" w:eastAsia="仿宋_GB2312"/>
          <w:sz w:val="28"/>
          <w:szCs w:val="28"/>
          <w:lang w:val="en-US" w:eastAsia="zh-CN"/>
        </w:rPr>
        <w:t>55.62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“人大事务”（款）2024年度决算</w:t>
      </w:r>
      <w:r>
        <w:rPr>
          <w:rFonts w:hint="eastAsia" w:ascii="仿宋_GB2312" w:eastAsia="仿宋_GB2312"/>
          <w:sz w:val="28"/>
          <w:szCs w:val="28"/>
          <w:lang w:val="en-US" w:eastAsia="zh-CN"/>
        </w:rPr>
        <w:t>69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47.8</w:t>
      </w:r>
      <w:r>
        <w:rPr>
          <w:rFonts w:hint="eastAsia" w:ascii="仿宋_GB2312" w:eastAsia="仿宋_GB2312"/>
          <w:sz w:val="28"/>
          <w:szCs w:val="28"/>
        </w:rPr>
        <w:t>万元，增长</w:t>
      </w:r>
      <w:r>
        <w:rPr>
          <w:rFonts w:hint="eastAsia" w:ascii="仿宋_GB2312" w:eastAsia="仿宋_GB2312"/>
          <w:sz w:val="28"/>
          <w:szCs w:val="28"/>
          <w:lang w:val="en-US" w:eastAsia="zh-CN"/>
        </w:rPr>
        <w:t>225.47</w:t>
      </w:r>
      <w:r>
        <w:rPr>
          <w:rFonts w:hint="eastAsia" w:ascii="仿宋_GB2312" w:eastAsia="仿宋_GB2312"/>
          <w:sz w:val="28"/>
          <w:szCs w:val="28"/>
        </w:rPr>
        <w:t>%。主要原因：</w:t>
      </w:r>
      <w:r>
        <w:rPr>
          <w:rFonts w:hint="eastAsia" w:ascii="仿宋_GB2312" w:eastAsia="仿宋_GB2312"/>
          <w:sz w:val="28"/>
          <w:szCs w:val="28"/>
          <w:lang w:val="en-US"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政府办公厅（室）及相关机构事务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5007.81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增加</w:t>
      </w:r>
      <w:r>
        <w:rPr>
          <w:rFonts w:hint="eastAsia" w:ascii="仿宋_GB2312" w:eastAsia="仿宋_GB2312"/>
          <w:sz w:val="28"/>
          <w:szCs w:val="28"/>
          <w:lang w:val="en-US" w:eastAsia="zh-CN"/>
        </w:rPr>
        <w:t>314.99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6.71</w:t>
      </w:r>
      <w:r>
        <w:rPr>
          <w:rFonts w:hint="eastAsia" w:ascii="仿宋_GB2312" w:eastAsia="仿宋_GB2312"/>
          <w:sz w:val="28"/>
          <w:szCs w:val="28"/>
        </w:rPr>
        <w:t>%。主要原因：</w:t>
      </w:r>
      <w:r>
        <w:rPr>
          <w:rFonts w:hint="eastAsia" w:ascii="仿宋_GB2312" w:eastAsia="仿宋_GB2312"/>
          <w:sz w:val="28"/>
          <w:szCs w:val="28"/>
          <w:lang w:val="en-US"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统计信息事务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64.33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0.26万元，下降0.4%</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商贸事务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2936.34</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民族事务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11.47</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群众团体事务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24.75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4.95万元，增长25%</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组织事务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1992.94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年度年初预算增加</w:t>
      </w:r>
      <w:r>
        <w:rPr>
          <w:rFonts w:hint="eastAsia" w:ascii="仿宋_GB2312" w:eastAsia="仿宋_GB2312"/>
          <w:sz w:val="28"/>
          <w:szCs w:val="28"/>
          <w:lang w:val="en-US" w:eastAsia="zh-CN"/>
        </w:rPr>
        <w:t>350.72万元，增长21.36%</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其他共产党事务支出</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187.08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eastAsia="zh-CN"/>
        </w:rPr>
        <w:t>减少</w:t>
      </w:r>
      <w:r>
        <w:rPr>
          <w:rFonts w:hint="eastAsia" w:ascii="仿宋_GB2312" w:eastAsia="仿宋_GB2312"/>
          <w:sz w:val="28"/>
          <w:szCs w:val="28"/>
          <w:lang w:val="en-US" w:eastAsia="zh-CN"/>
        </w:rPr>
        <w:t>0.02万元，主要原因：项目支出减少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社会工作事务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20</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rPr>
        <w:t>信访事务</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0.09</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lang w:eastAsia="zh-CN"/>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2.“公共安全支出”(类) 2024年度决算</w:t>
      </w:r>
      <w:r>
        <w:rPr>
          <w:rFonts w:hint="eastAsia" w:ascii="仿宋_GB2312" w:eastAsia="仿宋_GB2312"/>
          <w:sz w:val="28"/>
          <w:szCs w:val="28"/>
          <w:lang w:val="en-US" w:eastAsia="zh-CN"/>
        </w:rPr>
        <w:t>611.78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33.87</w:t>
      </w:r>
      <w:r>
        <w:rPr>
          <w:rFonts w:hint="eastAsia" w:ascii="仿宋_GB2312" w:eastAsia="仿宋_GB2312"/>
          <w:sz w:val="28"/>
          <w:szCs w:val="28"/>
        </w:rPr>
        <w:t>万元，增长</w:t>
      </w:r>
      <w:r>
        <w:rPr>
          <w:rFonts w:hint="eastAsia" w:ascii="仿宋_GB2312" w:eastAsia="仿宋_GB2312"/>
          <w:sz w:val="28"/>
          <w:szCs w:val="28"/>
          <w:lang w:val="en-US" w:eastAsia="zh-CN"/>
        </w:rPr>
        <w:t>5.86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“司法”（款）2024年度决算</w:t>
      </w:r>
      <w:r>
        <w:rPr>
          <w:rFonts w:hint="eastAsia" w:ascii="仿宋_GB2312" w:eastAsia="仿宋_GB2312"/>
          <w:sz w:val="28"/>
          <w:szCs w:val="28"/>
          <w:lang w:val="en-US" w:eastAsia="zh-CN"/>
        </w:rPr>
        <w:t>1.19</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lang w:eastAsia="zh-CN"/>
        </w:rPr>
        <w:t>，</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“其他公共安全支出”（款）2024年度决算</w:t>
      </w:r>
      <w:r>
        <w:rPr>
          <w:rFonts w:hint="eastAsia" w:ascii="仿宋_GB2312" w:eastAsia="仿宋_GB2312"/>
          <w:sz w:val="28"/>
          <w:szCs w:val="28"/>
          <w:lang w:val="en-US" w:eastAsia="zh-CN"/>
        </w:rPr>
        <w:t>610.59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32.67</w:t>
      </w:r>
      <w:r>
        <w:rPr>
          <w:rFonts w:hint="eastAsia" w:ascii="仿宋_GB2312" w:eastAsia="仿宋_GB2312"/>
          <w:sz w:val="28"/>
          <w:szCs w:val="28"/>
        </w:rPr>
        <w:t>万元，增长</w:t>
      </w:r>
      <w:r>
        <w:rPr>
          <w:rFonts w:hint="eastAsia" w:ascii="仿宋_GB2312" w:eastAsia="仿宋_GB2312"/>
          <w:sz w:val="28"/>
          <w:szCs w:val="28"/>
          <w:lang w:val="en-US" w:eastAsia="zh-CN"/>
        </w:rPr>
        <w:t>5.65</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“文化旅游体育与传媒支出”(类) 2024年度决算</w:t>
      </w:r>
      <w:r>
        <w:rPr>
          <w:rFonts w:hint="eastAsia" w:ascii="仿宋_GB2312" w:eastAsia="仿宋_GB2312"/>
          <w:sz w:val="28"/>
          <w:szCs w:val="28"/>
          <w:lang w:val="en-US" w:eastAsia="zh-CN"/>
        </w:rPr>
        <w:t>264.32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37.16</w:t>
      </w:r>
      <w:r>
        <w:rPr>
          <w:rFonts w:hint="eastAsia" w:ascii="仿宋_GB2312" w:eastAsia="仿宋_GB2312"/>
          <w:sz w:val="28"/>
          <w:szCs w:val="28"/>
        </w:rPr>
        <w:t>万元，增长</w:t>
      </w:r>
      <w:r>
        <w:rPr>
          <w:rFonts w:hint="eastAsia" w:ascii="仿宋_GB2312" w:eastAsia="仿宋_GB2312"/>
          <w:sz w:val="28"/>
          <w:szCs w:val="28"/>
          <w:lang w:val="en-US" w:eastAsia="zh-CN"/>
        </w:rPr>
        <w:t>16.36</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“文化和旅游”（款）2024年度决算</w:t>
      </w:r>
      <w:r>
        <w:rPr>
          <w:rFonts w:hint="eastAsia" w:ascii="仿宋_GB2312" w:eastAsia="仿宋_GB2312"/>
          <w:sz w:val="28"/>
          <w:szCs w:val="28"/>
          <w:lang w:val="en-US" w:eastAsia="zh-CN"/>
        </w:rPr>
        <w:t>262.88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37.16</w:t>
      </w:r>
      <w:r>
        <w:rPr>
          <w:rFonts w:hint="eastAsia" w:ascii="仿宋_GB2312" w:eastAsia="仿宋_GB2312"/>
          <w:sz w:val="28"/>
          <w:szCs w:val="28"/>
        </w:rPr>
        <w:t>万元，增长</w:t>
      </w:r>
      <w:r>
        <w:rPr>
          <w:rFonts w:hint="eastAsia" w:ascii="仿宋_GB2312" w:eastAsia="仿宋_GB2312"/>
          <w:sz w:val="28"/>
          <w:szCs w:val="28"/>
          <w:lang w:val="en-US" w:eastAsia="zh-CN"/>
        </w:rPr>
        <w:t>16.46</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rPr>
      </w:pPr>
      <w:r>
        <w:rPr>
          <w:rFonts w:hint="eastAsia" w:ascii="仿宋_GB2312" w:eastAsia="仿宋_GB2312"/>
          <w:sz w:val="28"/>
          <w:szCs w:val="28"/>
        </w:rPr>
        <w:t>“文物”（款）2024年度决算</w:t>
      </w:r>
      <w:r>
        <w:rPr>
          <w:rFonts w:hint="eastAsia" w:ascii="仿宋_GB2312" w:eastAsia="仿宋_GB2312"/>
          <w:sz w:val="28"/>
          <w:szCs w:val="28"/>
          <w:lang w:val="en-US" w:eastAsia="zh-CN"/>
        </w:rPr>
        <w:t>1.44</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w:t>
      </w:r>
      <w:r>
        <w:rPr>
          <w:rFonts w:hint="eastAsia" w:ascii="仿宋_GB2312" w:eastAsia="仿宋_GB2312"/>
          <w:sz w:val="28"/>
          <w:szCs w:val="28"/>
          <w:lang w:val="en-US" w:eastAsia="zh-CN"/>
        </w:rPr>
        <w:t>一致</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“社会保障和就业支出”(类) 2024年度决算</w:t>
      </w:r>
      <w:r>
        <w:rPr>
          <w:rFonts w:hint="eastAsia" w:ascii="仿宋_GB2312" w:eastAsia="仿宋_GB2312"/>
          <w:sz w:val="28"/>
          <w:szCs w:val="28"/>
          <w:lang w:val="en-US" w:eastAsia="zh-CN"/>
        </w:rPr>
        <w:t>1828.97</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143.29</w:t>
      </w:r>
      <w:r>
        <w:rPr>
          <w:rFonts w:hint="eastAsia" w:ascii="仿宋_GB2312" w:eastAsia="仿宋_GB2312"/>
          <w:sz w:val="28"/>
          <w:szCs w:val="28"/>
        </w:rPr>
        <w:t>万元，下降</w:t>
      </w:r>
      <w:r>
        <w:rPr>
          <w:rFonts w:hint="eastAsia" w:ascii="仿宋_GB2312" w:eastAsia="仿宋_GB2312"/>
          <w:sz w:val="28"/>
          <w:szCs w:val="28"/>
          <w:lang w:val="en-US" w:eastAsia="zh-CN"/>
        </w:rPr>
        <w:t>7.27</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“民政管理事务”（款）2024年度决算</w:t>
      </w:r>
      <w:r>
        <w:rPr>
          <w:rFonts w:hint="eastAsia" w:ascii="仿宋_GB2312" w:eastAsia="仿宋_GB2312"/>
          <w:sz w:val="28"/>
          <w:szCs w:val="28"/>
          <w:lang w:val="en-US" w:eastAsia="zh-CN"/>
        </w:rPr>
        <w:t>7.93</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w:t>
      </w:r>
      <w:r>
        <w:rPr>
          <w:rFonts w:hint="eastAsia" w:ascii="仿宋_GB2312" w:eastAsia="仿宋_GB2312"/>
          <w:sz w:val="28"/>
          <w:szCs w:val="28"/>
          <w:lang w:val="en-US" w:eastAsia="zh-CN"/>
        </w:rPr>
        <w:t>一致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“行政事业单位养老支出”（款）2024年度决算</w:t>
      </w:r>
      <w:r>
        <w:rPr>
          <w:rFonts w:hint="eastAsia" w:ascii="仿宋_GB2312" w:eastAsia="仿宋_GB2312"/>
          <w:sz w:val="28"/>
          <w:szCs w:val="28"/>
          <w:lang w:val="en-US" w:eastAsia="zh-CN"/>
        </w:rPr>
        <w:t>946.49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293.28</w:t>
      </w:r>
      <w:r>
        <w:rPr>
          <w:rFonts w:hint="eastAsia" w:ascii="仿宋_GB2312" w:eastAsia="仿宋_GB2312"/>
          <w:sz w:val="28"/>
          <w:szCs w:val="28"/>
        </w:rPr>
        <w:t>万元，增长</w:t>
      </w:r>
      <w:r>
        <w:rPr>
          <w:rFonts w:hint="eastAsia" w:ascii="仿宋_GB2312" w:eastAsia="仿宋_GB2312"/>
          <w:sz w:val="28"/>
          <w:szCs w:val="28"/>
          <w:lang w:val="en-US" w:eastAsia="zh-CN"/>
        </w:rPr>
        <w:t>23.66</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“就业补助”（款）2024年度决算</w:t>
      </w:r>
      <w:r>
        <w:rPr>
          <w:rFonts w:hint="eastAsia" w:ascii="仿宋_GB2312" w:eastAsia="仿宋_GB2312"/>
          <w:sz w:val="28"/>
          <w:szCs w:val="28"/>
          <w:lang w:val="en-US" w:eastAsia="zh-CN"/>
        </w:rPr>
        <w:t>305.57</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35.19</w:t>
      </w:r>
      <w:r>
        <w:rPr>
          <w:rFonts w:hint="eastAsia" w:ascii="仿宋_GB2312" w:eastAsia="仿宋_GB2312"/>
          <w:sz w:val="28"/>
          <w:szCs w:val="28"/>
        </w:rPr>
        <w:t>万元，下降</w:t>
      </w:r>
      <w:r>
        <w:rPr>
          <w:rFonts w:hint="eastAsia" w:ascii="仿宋_GB2312" w:eastAsia="仿宋_GB2312"/>
          <w:sz w:val="28"/>
          <w:szCs w:val="28"/>
          <w:lang w:val="en-US" w:eastAsia="zh-CN"/>
        </w:rPr>
        <w:t>10.33</w:t>
      </w:r>
      <w:r>
        <w:rPr>
          <w:rFonts w:hint="eastAsia" w:ascii="仿宋_GB2312" w:eastAsia="仿宋_GB2312"/>
          <w:sz w:val="28"/>
          <w:szCs w:val="28"/>
        </w:rPr>
        <w:t>%。主要原因：</w:t>
      </w:r>
      <w:r>
        <w:rPr>
          <w:rFonts w:hint="eastAsia" w:ascii="仿宋_GB2312" w:eastAsia="仿宋_GB2312"/>
          <w:sz w:val="28"/>
          <w:szCs w:val="28"/>
          <w:lang w:val="en-US" w:eastAsia="zh-CN"/>
        </w:rPr>
        <w:t>项目支出减少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“抚恤”（款）2024年度决算</w:t>
      </w:r>
      <w:r>
        <w:rPr>
          <w:rFonts w:hint="eastAsia" w:ascii="仿宋_GB2312" w:eastAsia="仿宋_GB2312"/>
          <w:sz w:val="28"/>
          <w:szCs w:val="28"/>
          <w:highlight w:val="none"/>
          <w:lang w:val="en-US" w:eastAsia="zh-CN"/>
        </w:rPr>
        <w:t>92.52</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比2024年度年初预算减少17.22万元，减少15.69%，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：项目支出增加</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“退役安置”（款）2024年度决算</w:t>
      </w:r>
      <w:r>
        <w:rPr>
          <w:rFonts w:hint="eastAsia" w:ascii="仿宋_GB2312" w:eastAsia="仿宋_GB2312"/>
          <w:sz w:val="28"/>
          <w:szCs w:val="28"/>
          <w:lang w:val="en-US" w:eastAsia="zh-CN"/>
        </w:rPr>
        <w:t>0.3</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w:t>
      </w:r>
      <w:r>
        <w:rPr>
          <w:rFonts w:hint="eastAsia" w:ascii="仿宋_GB2312" w:eastAsia="仿宋_GB2312"/>
          <w:sz w:val="28"/>
          <w:szCs w:val="28"/>
          <w:lang w:val="en-US" w:eastAsia="zh-CN"/>
        </w:rPr>
        <w:t>一致</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“社会福利”（款）2024年度决算</w:t>
      </w:r>
      <w:r>
        <w:rPr>
          <w:rFonts w:hint="eastAsia" w:ascii="仿宋_GB2312" w:eastAsia="仿宋_GB2312"/>
          <w:sz w:val="28"/>
          <w:szCs w:val="28"/>
          <w:lang w:val="en-US" w:eastAsia="zh-CN"/>
        </w:rPr>
        <w:t>168.37</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144.21</w:t>
      </w:r>
      <w:r>
        <w:rPr>
          <w:rFonts w:hint="eastAsia" w:ascii="仿宋_GB2312" w:eastAsia="仿宋_GB2312"/>
          <w:sz w:val="28"/>
          <w:szCs w:val="28"/>
        </w:rPr>
        <w:t>万元，增长</w:t>
      </w:r>
      <w:r>
        <w:rPr>
          <w:rFonts w:hint="eastAsia" w:ascii="仿宋_GB2312" w:eastAsia="仿宋_GB2312"/>
          <w:sz w:val="28"/>
          <w:szCs w:val="28"/>
          <w:lang w:val="en-US" w:eastAsia="zh-CN"/>
        </w:rPr>
        <w:t>596.9</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“残疾人事业”（款）2024年度决算</w:t>
      </w:r>
      <w:r>
        <w:rPr>
          <w:rFonts w:hint="eastAsia" w:ascii="仿宋_GB2312" w:eastAsia="仿宋_GB2312"/>
          <w:sz w:val="28"/>
          <w:szCs w:val="28"/>
          <w:lang w:val="en-US" w:eastAsia="zh-CN"/>
        </w:rPr>
        <w:t>162.91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68.91</w:t>
      </w:r>
      <w:r>
        <w:rPr>
          <w:rFonts w:hint="eastAsia" w:ascii="仿宋_GB2312" w:eastAsia="仿宋_GB2312"/>
          <w:sz w:val="28"/>
          <w:szCs w:val="28"/>
        </w:rPr>
        <w:t>万元，增长</w:t>
      </w:r>
      <w:r>
        <w:rPr>
          <w:rFonts w:hint="eastAsia" w:ascii="仿宋_GB2312" w:eastAsia="仿宋_GB2312"/>
          <w:sz w:val="28"/>
          <w:szCs w:val="28"/>
          <w:lang w:val="en-US" w:eastAsia="zh-CN"/>
        </w:rPr>
        <w:t>73.31</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“最低生活保障”（款）2024年度决算</w:t>
      </w:r>
      <w:r>
        <w:rPr>
          <w:rFonts w:hint="eastAsia" w:ascii="仿宋_GB2312" w:eastAsia="仿宋_GB2312"/>
          <w:sz w:val="28"/>
          <w:szCs w:val="28"/>
          <w:lang w:val="en-US" w:eastAsia="zh-CN"/>
        </w:rPr>
        <w:t>13.04</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4.96</w:t>
      </w:r>
      <w:r>
        <w:rPr>
          <w:rFonts w:hint="eastAsia" w:ascii="仿宋_GB2312" w:eastAsia="仿宋_GB2312"/>
          <w:sz w:val="28"/>
          <w:szCs w:val="28"/>
        </w:rPr>
        <w:t>万元，下降</w:t>
      </w:r>
      <w:r>
        <w:rPr>
          <w:rFonts w:hint="eastAsia" w:ascii="仿宋_GB2312" w:eastAsia="仿宋_GB2312"/>
          <w:sz w:val="28"/>
          <w:szCs w:val="28"/>
          <w:lang w:val="en-US" w:eastAsia="zh-CN"/>
        </w:rPr>
        <w:t>27.56</w:t>
      </w:r>
      <w:r>
        <w:rPr>
          <w:rFonts w:hint="eastAsia" w:ascii="仿宋_GB2312" w:eastAsia="仿宋_GB2312"/>
          <w:sz w:val="28"/>
          <w:szCs w:val="28"/>
        </w:rPr>
        <w:t>%。主要原因：</w:t>
      </w:r>
      <w:r>
        <w:rPr>
          <w:rFonts w:hint="eastAsia" w:ascii="仿宋_GB2312" w:eastAsia="仿宋_GB2312"/>
          <w:sz w:val="28"/>
          <w:szCs w:val="28"/>
          <w:lang w:val="en-US" w:eastAsia="zh-CN"/>
        </w:rPr>
        <w:t>项目支出减少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“临时救助”（款）2024年度决算</w:t>
      </w:r>
      <w:r>
        <w:rPr>
          <w:rFonts w:hint="eastAsia" w:ascii="仿宋_GB2312" w:eastAsia="仿宋_GB2312"/>
          <w:sz w:val="28"/>
          <w:szCs w:val="28"/>
          <w:lang w:val="en-US" w:eastAsia="zh-CN"/>
        </w:rPr>
        <w:t>2.43</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0.43</w:t>
      </w:r>
      <w:r>
        <w:rPr>
          <w:rFonts w:hint="eastAsia" w:ascii="仿宋_GB2312" w:eastAsia="仿宋_GB2312"/>
          <w:sz w:val="28"/>
          <w:szCs w:val="28"/>
        </w:rPr>
        <w:t>万元，增长</w:t>
      </w:r>
      <w:r>
        <w:rPr>
          <w:rFonts w:hint="eastAsia" w:ascii="仿宋_GB2312" w:eastAsia="仿宋_GB2312"/>
          <w:sz w:val="28"/>
          <w:szCs w:val="28"/>
          <w:lang w:val="en-US" w:eastAsia="zh-CN"/>
        </w:rPr>
        <w:t>21.5</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“特困人员救助供养”（款）2024年度决算</w:t>
      </w:r>
      <w:r>
        <w:rPr>
          <w:rFonts w:hint="eastAsia" w:ascii="仿宋_GB2312" w:eastAsia="仿宋_GB2312"/>
          <w:sz w:val="28"/>
          <w:szCs w:val="28"/>
          <w:lang w:val="en-US" w:eastAsia="zh-CN"/>
        </w:rPr>
        <w:t>7.97</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rPr>
        <w:t>主要原因：</w:t>
      </w:r>
      <w:r>
        <w:rPr>
          <w:rFonts w:hint="eastAsia" w:ascii="仿宋_GB2312" w:eastAsia="仿宋_GB2312"/>
          <w:sz w:val="28"/>
          <w:szCs w:val="28"/>
          <w:lang w:val="en-US"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“其他社会保障和就业支出”（款）2024年度决算</w:t>
      </w:r>
      <w:r>
        <w:rPr>
          <w:rFonts w:hint="eastAsia" w:ascii="仿宋_GB2312" w:eastAsia="仿宋_GB2312"/>
          <w:sz w:val="28"/>
          <w:szCs w:val="28"/>
          <w:lang w:val="en-US" w:eastAsia="zh-CN"/>
        </w:rPr>
        <w:t>121.43</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7.67</w:t>
      </w:r>
      <w:r>
        <w:rPr>
          <w:rFonts w:hint="eastAsia" w:ascii="仿宋_GB2312" w:eastAsia="仿宋_GB2312"/>
          <w:sz w:val="28"/>
          <w:szCs w:val="28"/>
        </w:rPr>
        <w:t>万元，下降</w:t>
      </w:r>
      <w:r>
        <w:rPr>
          <w:rFonts w:hint="eastAsia" w:ascii="仿宋_GB2312" w:eastAsia="仿宋_GB2312"/>
          <w:sz w:val="28"/>
          <w:szCs w:val="28"/>
          <w:lang w:val="en-US" w:eastAsia="zh-CN"/>
        </w:rPr>
        <w:t>5.94</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lang w:val="en-US"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5.</w:t>
      </w:r>
      <w:r>
        <w:rPr>
          <w:rFonts w:hint="eastAsia" w:ascii="仿宋_GB2312" w:eastAsia="仿宋_GB2312"/>
          <w:sz w:val="28"/>
          <w:szCs w:val="28"/>
        </w:rPr>
        <w:t>“卫生健康支出”(类) 2024年度决算</w:t>
      </w:r>
      <w:r>
        <w:rPr>
          <w:rFonts w:hint="eastAsia" w:ascii="仿宋_GB2312" w:eastAsia="仿宋_GB2312"/>
          <w:sz w:val="28"/>
          <w:szCs w:val="28"/>
          <w:lang w:val="en-US" w:eastAsia="zh-CN"/>
        </w:rPr>
        <w:t>4147.26</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478.38</w:t>
      </w:r>
      <w:r>
        <w:rPr>
          <w:rFonts w:hint="eastAsia" w:ascii="仿宋_GB2312" w:eastAsia="仿宋_GB2312"/>
          <w:sz w:val="28"/>
          <w:szCs w:val="28"/>
        </w:rPr>
        <w:t>万元，增长</w:t>
      </w:r>
      <w:r>
        <w:rPr>
          <w:rFonts w:hint="eastAsia" w:ascii="仿宋_GB2312" w:eastAsia="仿宋_GB2312"/>
          <w:sz w:val="28"/>
          <w:szCs w:val="28"/>
          <w:lang w:val="en-US" w:eastAsia="zh-CN"/>
        </w:rPr>
        <w:t>13.04</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“基层医疗卫生机构”（款）2024年度决算</w:t>
      </w:r>
      <w:r>
        <w:rPr>
          <w:rFonts w:hint="eastAsia" w:ascii="仿宋_GB2312" w:eastAsia="仿宋_GB2312"/>
          <w:sz w:val="28"/>
          <w:szCs w:val="28"/>
          <w:lang w:val="en-US" w:eastAsia="zh-CN"/>
        </w:rPr>
        <w:t>1619.27</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183.98</w:t>
      </w:r>
      <w:r>
        <w:rPr>
          <w:rFonts w:hint="eastAsia" w:ascii="仿宋_GB2312" w:eastAsia="仿宋_GB2312"/>
          <w:sz w:val="28"/>
          <w:szCs w:val="28"/>
        </w:rPr>
        <w:t>万元，增长</w:t>
      </w:r>
      <w:r>
        <w:rPr>
          <w:rFonts w:hint="eastAsia" w:ascii="仿宋_GB2312" w:eastAsia="仿宋_GB2312"/>
          <w:sz w:val="28"/>
          <w:szCs w:val="28"/>
          <w:lang w:val="en-US" w:eastAsia="zh-CN"/>
        </w:rPr>
        <w:t>12.82</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“公共卫生”（款）2024年度决算</w:t>
      </w:r>
      <w:r>
        <w:rPr>
          <w:rFonts w:hint="eastAsia" w:ascii="仿宋_GB2312" w:eastAsia="仿宋_GB2312"/>
          <w:sz w:val="28"/>
          <w:szCs w:val="28"/>
          <w:lang w:val="en-US" w:eastAsia="zh-CN"/>
        </w:rPr>
        <w:t>1516.65</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131.24</w:t>
      </w:r>
      <w:r>
        <w:rPr>
          <w:rFonts w:hint="eastAsia" w:ascii="仿宋_GB2312" w:eastAsia="仿宋_GB2312"/>
          <w:sz w:val="28"/>
          <w:szCs w:val="28"/>
        </w:rPr>
        <w:t>万元，增长</w:t>
      </w:r>
      <w:r>
        <w:rPr>
          <w:rFonts w:hint="eastAsia" w:ascii="仿宋_GB2312" w:eastAsia="仿宋_GB2312"/>
          <w:sz w:val="28"/>
          <w:szCs w:val="28"/>
          <w:lang w:val="en-US" w:eastAsia="zh-CN"/>
        </w:rPr>
        <w:t>9.47</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“计划生育事务”（款）2024年度决算</w:t>
      </w:r>
      <w:r>
        <w:rPr>
          <w:rFonts w:hint="eastAsia" w:ascii="仿宋_GB2312" w:eastAsia="仿宋_GB2312"/>
          <w:sz w:val="28"/>
          <w:szCs w:val="28"/>
          <w:lang w:val="en-US" w:eastAsia="zh-CN"/>
        </w:rPr>
        <w:t>206.83</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159.23</w:t>
      </w:r>
      <w:r>
        <w:rPr>
          <w:rFonts w:hint="eastAsia" w:ascii="仿宋_GB2312" w:eastAsia="仿宋_GB2312"/>
          <w:sz w:val="28"/>
          <w:szCs w:val="28"/>
        </w:rPr>
        <w:t>万元，增长</w:t>
      </w:r>
      <w:r>
        <w:rPr>
          <w:rFonts w:hint="eastAsia" w:ascii="仿宋_GB2312" w:eastAsia="仿宋_GB2312"/>
          <w:sz w:val="28"/>
          <w:szCs w:val="28"/>
          <w:lang w:val="en-US" w:eastAsia="zh-CN"/>
        </w:rPr>
        <w:t>334.52</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“行政事业单位医疗”（款）2024年度决算</w:t>
      </w:r>
      <w:r>
        <w:rPr>
          <w:rFonts w:hint="eastAsia" w:ascii="仿宋_GB2312" w:eastAsia="仿宋_GB2312"/>
          <w:sz w:val="28"/>
          <w:szCs w:val="28"/>
          <w:lang w:val="en-US" w:eastAsia="zh-CN"/>
        </w:rPr>
        <w:t>626.4</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3.87</w:t>
      </w:r>
      <w:r>
        <w:rPr>
          <w:rFonts w:hint="eastAsia" w:ascii="仿宋_GB2312" w:eastAsia="仿宋_GB2312"/>
          <w:sz w:val="28"/>
          <w:szCs w:val="28"/>
        </w:rPr>
        <w:t>万元，下降</w:t>
      </w:r>
      <w:r>
        <w:rPr>
          <w:rFonts w:hint="eastAsia" w:ascii="仿宋_GB2312" w:eastAsia="仿宋_GB2312"/>
          <w:sz w:val="28"/>
          <w:szCs w:val="28"/>
          <w:lang w:val="en-US" w:eastAsia="zh-CN"/>
        </w:rPr>
        <w:t>0.61</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“优抚对象医疗”（款）2024年度决算</w:t>
      </w:r>
      <w:r>
        <w:rPr>
          <w:rFonts w:hint="eastAsia" w:ascii="仿宋_GB2312" w:eastAsia="仿宋_GB2312"/>
          <w:sz w:val="28"/>
          <w:szCs w:val="28"/>
          <w:lang w:val="en-US" w:eastAsia="zh-CN"/>
        </w:rPr>
        <w:t>35.02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18.02</w:t>
      </w:r>
      <w:r>
        <w:rPr>
          <w:rFonts w:hint="eastAsia" w:ascii="仿宋_GB2312" w:eastAsia="仿宋_GB2312"/>
          <w:sz w:val="28"/>
          <w:szCs w:val="28"/>
        </w:rPr>
        <w:t>万元，增长</w:t>
      </w:r>
      <w:r>
        <w:rPr>
          <w:rFonts w:hint="eastAsia" w:ascii="仿宋_GB2312" w:eastAsia="仿宋_GB2312"/>
          <w:sz w:val="28"/>
          <w:szCs w:val="28"/>
          <w:lang w:val="en-US" w:eastAsia="zh-CN"/>
        </w:rPr>
        <w:t>106</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“中医药事务”（款）2024年度决算</w:t>
      </w:r>
      <w:r>
        <w:rPr>
          <w:rFonts w:hint="eastAsia" w:ascii="仿宋_GB2312" w:eastAsia="仿宋_GB2312"/>
          <w:sz w:val="28"/>
          <w:szCs w:val="28"/>
          <w:lang w:val="en-US" w:eastAsia="zh-CN"/>
        </w:rPr>
        <w:t>5.94</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4.06</w:t>
      </w:r>
      <w:r>
        <w:rPr>
          <w:rFonts w:hint="eastAsia" w:ascii="仿宋_GB2312" w:eastAsia="仿宋_GB2312"/>
          <w:sz w:val="28"/>
          <w:szCs w:val="28"/>
        </w:rPr>
        <w:t>万元，下降</w:t>
      </w:r>
      <w:r>
        <w:rPr>
          <w:rFonts w:hint="eastAsia" w:ascii="仿宋_GB2312" w:eastAsia="仿宋_GB2312"/>
          <w:sz w:val="28"/>
          <w:szCs w:val="28"/>
          <w:lang w:val="en-US" w:eastAsia="zh-CN"/>
        </w:rPr>
        <w:t>40.6</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rPr>
      </w:pPr>
      <w:r>
        <w:rPr>
          <w:rFonts w:hint="eastAsia" w:ascii="仿宋_GB2312" w:eastAsia="仿宋_GB2312"/>
          <w:sz w:val="28"/>
          <w:szCs w:val="28"/>
        </w:rPr>
        <w:t>“其他卫生健康支出”（款）2024年度决算</w:t>
      </w:r>
      <w:r>
        <w:rPr>
          <w:rFonts w:hint="eastAsia" w:ascii="仿宋_GB2312" w:eastAsia="仿宋_GB2312"/>
          <w:sz w:val="28"/>
          <w:szCs w:val="28"/>
          <w:lang w:val="en-US" w:eastAsia="zh-CN"/>
        </w:rPr>
        <w:t>137.15</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6.17</w:t>
      </w:r>
      <w:r>
        <w:rPr>
          <w:rFonts w:hint="eastAsia" w:ascii="仿宋_GB2312" w:eastAsia="仿宋_GB2312"/>
          <w:sz w:val="28"/>
          <w:szCs w:val="28"/>
        </w:rPr>
        <w:t>万元，下降</w:t>
      </w:r>
      <w:r>
        <w:rPr>
          <w:rFonts w:hint="eastAsia" w:ascii="仿宋_GB2312" w:eastAsia="仿宋_GB2312"/>
          <w:sz w:val="28"/>
          <w:szCs w:val="28"/>
          <w:lang w:val="en-US" w:eastAsia="zh-CN"/>
        </w:rPr>
        <w:t>4.31</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6.</w:t>
      </w:r>
      <w:r>
        <w:rPr>
          <w:rFonts w:hint="eastAsia" w:ascii="仿宋_GB2312" w:eastAsia="仿宋_GB2312"/>
          <w:sz w:val="28"/>
          <w:szCs w:val="28"/>
        </w:rPr>
        <w:t>“节能环保支出”(类) 2024年度决算</w:t>
      </w:r>
      <w:r>
        <w:rPr>
          <w:rFonts w:hint="eastAsia" w:ascii="仿宋_GB2312" w:eastAsia="仿宋_GB2312"/>
          <w:sz w:val="28"/>
          <w:szCs w:val="28"/>
          <w:lang w:val="en-US" w:eastAsia="zh-CN"/>
        </w:rPr>
        <w:t>4178.54</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143.48</w:t>
      </w:r>
      <w:r>
        <w:rPr>
          <w:rFonts w:hint="eastAsia" w:ascii="仿宋_GB2312" w:eastAsia="仿宋_GB2312"/>
          <w:sz w:val="28"/>
          <w:szCs w:val="28"/>
        </w:rPr>
        <w:t>万元，增长</w:t>
      </w:r>
      <w:r>
        <w:rPr>
          <w:rFonts w:hint="eastAsia" w:ascii="仿宋_GB2312" w:eastAsia="仿宋_GB2312"/>
          <w:sz w:val="28"/>
          <w:szCs w:val="28"/>
          <w:lang w:val="en-US" w:eastAsia="zh-CN"/>
        </w:rPr>
        <w:t>3.26</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“污染防治”（款）2024年度决算</w:t>
      </w:r>
      <w:r>
        <w:rPr>
          <w:rFonts w:hint="eastAsia" w:ascii="仿宋_GB2312" w:eastAsia="仿宋_GB2312"/>
          <w:sz w:val="28"/>
          <w:szCs w:val="28"/>
          <w:lang w:val="en-US" w:eastAsia="zh-CN"/>
        </w:rPr>
        <w:t>4178.54</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143.48</w:t>
      </w:r>
      <w:r>
        <w:rPr>
          <w:rFonts w:hint="eastAsia" w:ascii="仿宋_GB2312" w:eastAsia="仿宋_GB2312"/>
          <w:sz w:val="28"/>
          <w:szCs w:val="28"/>
        </w:rPr>
        <w:t>万元，增长</w:t>
      </w:r>
      <w:r>
        <w:rPr>
          <w:rFonts w:hint="eastAsia" w:ascii="仿宋_GB2312" w:eastAsia="仿宋_GB2312"/>
          <w:sz w:val="28"/>
          <w:szCs w:val="28"/>
          <w:lang w:val="en-US" w:eastAsia="zh-CN"/>
        </w:rPr>
        <w:t>3.26</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“城乡社区支出”(类) 2024年度决算</w:t>
      </w:r>
      <w:r>
        <w:rPr>
          <w:rFonts w:hint="eastAsia" w:ascii="仿宋_GB2312" w:eastAsia="仿宋_GB2312"/>
          <w:sz w:val="28"/>
          <w:szCs w:val="28"/>
          <w:lang w:val="en-US" w:eastAsia="zh-CN"/>
        </w:rPr>
        <w:t>5446.4</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2377.03</w:t>
      </w:r>
      <w:r>
        <w:rPr>
          <w:rFonts w:hint="eastAsia" w:ascii="仿宋_GB2312" w:eastAsia="仿宋_GB2312"/>
          <w:sz w:val="28"/>
          <w:szCs w:val="28"/>
        </w:rPr>
        <w:t>万元，增长</w:t>
      </w:r>
      <w:r>
        <w:rPr>
          <w:rFonts w:hint="eastAsia" w:ascii="仿宋_GB2312" w:eastAsia="仿宋_GB2312"/>
          <w:sz w:val="28"/>
          <w:szCs w:val="28"/>
          <w:lang w:val="en-US" w:eastAsia="zh-CN"/>
        </w:rPr>
        <w:t>77.44</w:t>
      </w:r>
      <w:r>
        <w:rPr>
          <w:rFonts w:hint="eastAsia" w:ascii="仿宋_GB2312" w:eastAsia="仿宋_GB2312"/>
          <w:sz w:val="28"/>
          <w:szCs w:val="28"/>
        </w:rPr>
        <w:t>%。其中：</w:t>
      </w:r>
    </w:p>
    <w:p>
      <w:pPr>
        <w:numPr>
          <w:ilvl w:val="0"/>
          <w:numId w:val="0"/>
        </w:numPr>
        <w:spacing w:line="580" w:lineRule="exact"/>
        <w:ind w:firstLine="560" w:firstLineChars="200"/>
        <w:rPr>
          <w:rFonts w:hint="eastAsia"/>
        </w:rPr>
      </w:pPr>
      <w:r>
        <w:rPr>
          <w:rFonts w:hint="eastAsia" w:ascii="仿宋_GB2312" w:eastAsia="仿宋_GB2312"/>
          <w:sz w:val="28"/>
          <w:szCs w:val="28"/>
        </w:rPr>
        <w:t>“城乡社区管理事务”（款）2024年度决算</w:t>
      </w:r>
      <w:r>
        <w:rPr>
          <w:rFonts w:hint="eastAsia" w:ascii="仿宋_GB2312" w:eastAsia="仿宋_GB2312"/>
          <w:sz w:val="28"/>
          <w:szCs w:val="28"/>
          <w:lang w:val="en-US" w:eastAsia="zh-CN"/>
        </w:rPr>
        <w:t>2921.67</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增加1228.94</w:t>
      </w:r>
      <w:r>
        <w:rPr>
          <w:rFonts w:hint="eastAsia" w:ascii="仿宋_GB2312" w:eastAsia="仿宋_GB2312"/>
          <w:sz w:val="28"/>
          <w:szCs w:val="28"/>
        </w:rPr>
        <w:t>万元，</w:t>
      </w:r>
      <w:r>
        <w:rPr>
          <w:rFonts w:hint="eastAsia" w:ascii="仿宋_GB2312" w:eastAsia="仿宋_GB2312"/>
          <w:sz w:val="28"/>
          <w:szCs w:val="28"/>
          <w:lang w:val="en-US" w:eastAsia="zh-CN"/>
        </w:rPr>
        <w:t>增长72.6</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“城乡社区规划与管理”（款）2024年度决算</w:t>
      </w:r>
      <w:r>
        <w:rPr>
          <w:rFonts w:hint="eastAsia" w:ascii="仿宋_GB2312" w:eastAsia="仿宋_GB2312"/>
          <w:sz w:val="28"/>
          <w:szCs w:val="28"/>
          <w:lang w:val="en-US" w:eastAsia="zh-CN"/>
        </w:rPr>
        <w:t>169</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2024年度年初预算</w:t>
      </w:r>
      <w:r>
        <w:rPr>
          <w:rFonts w:hint="eastAsia" w:ascii="仿宋_GB2312" w:eastAsia="仿宋_GB2312"/>
          <w:sz w:val="28"/>
          <w:szCs w:val="28"/>
          <w:lang w:val="en-US" w:eastAsia="zh-CN"/>
        </w:rPr>
        <w:t>一致</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“城乡社区公共设施”（款）2024年度决算</w:t>
      </w:r>
      <w:r>
        <w:rPr>
          <w:rFonts w:hint="eastAsia" w:ascii="仿宋_GB2312" w:eastAsia="仿宋_GB2312"/>
          <w:sz w:val="28"/>
          <w:szCs w:val="28"/>
          <w:lang w:val="en-US" w:eastAsia="zh-CN"/>
        </w:rPr>
        <w:t>150.02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90.02</w:t>
      </w:r>
      <w:r>
        <w:rPr>
          <w:rFonts w:hint="eastAsia" w:ascii="仿宋_GB2312" w:eastAsia="仿宋_GB2312"/>
          <w:sz w:val="28"/>
          <w:szCs w:val="28"/>
        </w:rPr>
        <w:t>万元，增长</w:t>
      </w:r>
      <w:r>
        <w:rPr>
          <w:rFonts w:hint="eastAsia" w:ascii="仿宋_GB2312" w:eastAsia="仿宋_GB2312"/>
          <w:sz w:val="28"/>
          <w:szCs w:val="28"/>
          <w:lang w:val="en-US" w:eastAsia="zh-CN"/>
        </w:rPr>
        <w:t>150.03</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“城乡社区环境卫生”（款）2024年度决算</w:t>
      </w:r>
      <w:r>
        <w:rPr>
          <w:rFonts w:hint="eastAsia" w:ascii="仿宋_GB2312" w:eastAsia="仿宋_GB2312"/>
          <w:sz w:val="28"/>
          <w:szCs w:val="28"/>
          <w:lang w:val="en-US" w:eastAsia="zh-CN"/>
        </w:rPr>
        <w:t>2205.71</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1058.07</w:t>
      </w:r>
      <w:r>
        <w:rPr>
          <w:rFonts w:hint="eastAsia" w:ascii="仿宋_GB2312" w:eastAsia="仿宋_GB2312"/>
          <w:sz w:val="28"/>
          <w:szCs w:val="28"/>
        </w:rPr>
        <w:t>万元，增长</w:t>
      </w:r>
      <w:r>
        <w:rPr>
          <w:rFonts w:hint="eastAsia" w:ascii="仿宋_GB2312" w:eastAsia="仿宋_GB2312"/>
          <w:sz w:val="28"/>
          <w:szCs w:val="28"/>
          <w:lang w:val="en-US" w:eastAsia="zh-CN"/>
        </w:rPr>
        <w:t>92.2</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8.</w:t>
      </w:r>
      <w:r>
        <w:rPr>
          <w:rFonts w:hint="eastAsia" w:ascii="仿宋_GB2312" w:eastAsia="仿宋_GB2312"/>
          <w:sz w:val="28"/>
          <w:szCs w:val="28"/>
        </w:rPr>
        <w:t>“农林水支出”(类) 2024年度决算</w:t>
      </w:r>
      <w:r>
        <w:rPr>
          <w:rFonts w:hint="eastAsia" w:ascii="仿宋_GB2312" w:eastAsia="仿宋_GB2312"/>
          <w:sz w:val="28"/>
          <w:szCs w:val="28"/>
          <w:lang w:val="en-US" w:eastAsia="zh-CN"/>
        </w:rPr>
        <w:t>27629.09</w:t>
      </w:r>
      <w:r>
        <w:rPr>
          <w:rFonts w:hint="eastAsia" w:ascii="仿宋_GB2312" w:eastAsia="仿宋_GB2312"/>
          <w:sz w:val="28"/>
          <w:szCs w:val="28"/>
        </w:rPr>
        <w:t>万元，比20</w:t>
      </w:r>
      <w:r>
        <w:rPr>
          <w:rFonts w:hint="eastAsia" w:ascii="仿宋_GB2312" w:eastAsia="仿宋_GB2312"/>
          <w:sz w:val="28"/>
          <w:szCs w:val="28"/>
          <w:highlight w:val="none"/>
        </w:rPr>
        <w:t>24年度年初预算增加</w:t>
      </w:r>
      <w:r>
        <w:rPr>
          <w:rFonts w:hint="eastAsia" w:ascii="仿宋_GB2312" w:eastAsia="仿宋_GB2312"/>
          <w:sz w:val="28"/>
          <w:szCs w:val="28"/>
          <w:highlight w:val="none"/>
          <w:lang w:val="en-US" w:eastAsia="zh-CN"/>
        </w:rPr>
        <w:t>70.01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0.25</w:t>
      </w:r>
      <w:r>
        <w:rPr>
          <w:rFonts w:hint="eastAsia" w:ascii="仿宋_GB2312" w:eastAsia="仿宋_GB2312"/>
          <w:sz w:val="28"/>
          <w:szCs w:val="28"/>
          <w:highlight w:val="none"/>
        </w:rPr>
        <w:t>%。其中：</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“农业农村”（款）2024年度决算</w:t>
      </w:r>
      <w:r>
        <w:rPr>
          <w:rFonts w:hint="eastAsia" w:ascii="仿宋_GB2312" w:eastAsia="仿宋_GB2312"/>
          <w:sz w:val="28"/>
          <w:szCs w:val="28"/>
          <w:highlight w:val="none"/>
          <w:lang w:val="en-US" w:eastAsia="zh-CN"/>
        </w:rPr>
        <w:t>3844.03</w:t>
      </w:r>
      <w:r>
        <w:rPr>
          <w:rFonts w:hint="eastAsia" w:ascii="仿宋_GB2312" w:eastAsia="仿宋_GB2312"/>
          <w:sz w:val="28"/>
          <w:szCs w:val="28"/>
          <w:highlight w:val="none"/>
        </w:rPr>
        <w:t>万元，比2024年度年初预算减少</w:t>
      </w:r>
      <w:r>
        <w:rPr>
          <w:rFonts w:hint="eastAsia" w:ascii="仿宋_GB2312" w:eastAsia="仿宋_GB2312"/>
          <w:sz w:val="28"/>
          <w:szCs w:val="28"/>
          <w:highlight w:val="none"/>
          <w:lang w:val="en-US" w:eastAsia="zh-CN"/>
        </w:rPr>
        <w:t>132.5</w:t>
      </w:r>
      <w:r>
        <w:rPr>
          <w:rFonts w:hint="eastAsia" w:ascii="仿宋_GB2312" w:eastAsia="仿宋_GB2312"/>
          <w:sz w:val="28"/>
          <w:szCs w:val="28"/>
          <w:highlight w:val="none"/>
        </w:rPr>
        <w:t>万元，下降</w:t>
      </w:r>
      <w:r>
        <w:rPr>
          <w:rFonts w:hint="eastAsia" w:ascii="仿宋_GB2312" w:eastAsia="仿宋_GB2312"/>
          <w:sz w:val="28"/>
          <w:szCs w:val="28"/>
          <w:highlight w:val="none"/>
          <w:lang w:val="en-US" w:eastAsia="zh-CN"/>
        </w:rPr>
        <w:t>3.33</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项目支出减少</w:t>
      </w:r>
      <w:r>
        <w:rPr>
          <w:rFonts w:hint="eastAsia" w:ascii="仿宋_GB2312" w:eastAsia="仿宋_GB2312"/>
          <w:sz w:val="28"/>
          <w:szCs w:val="28"/>
          <w:highlight w:val="none"/>
        </w:rPr>
        <w:t>。</w:t>
      </w:r>
    </w:p>
    <w:p>
      <w:pPr>
        <w:numPr>
          <w:ilvl w:val="0"/>
          <w:numId w:val="0"/>
        </w:numPr>
        <w:spacing w:line="580" w:lineRule="exact"/>
        <w:ind w:firstLine="560" w:firstLineChars="200"/>
        <w:rPr>
          <w:rFonts w:hint="eastAsia"/>
        </w:rPr>
      </w:pPr>
      <w:r>
        <w:rPr>
          <w:rFonts w:hint="eastAsia" w:ascii="仿宋_GB2312" w:eastAsia="仿宋_GB2312"/>
          <w:sz w:val="28"/>
          <w:szCs w:val="28"/>
        </w:rPr>
        <w:t>“林业和草原</w:t>
      </w:r>
      <w:r>
        <w:rPr>
          <w:rFonts w:hint="default" w:ascii="仿宋_GB2312" w:eastAsia="仿宋_GB2312"/>
          <w:sz w:val="28"/>
          <w:szCs w:val="28"/>
          <w:lang w:val="en-US" w:eastAsia="zh-CN"/>
        </w:rPr>
        <w:t>”</w:t>
      </w:r>
      <w:r>
        <w:rPr>
          <w:rFonts w:hint="eastAsia" w:ascii="仿宋_GB2312" w:eastAsia="仿宋_GB2312"/>
          <w:sz w:val="28"/>
          <w:szCs w:val="28"/>
        </w:rPr>
        <w:t>（款）2024年度决算</w:t>
      </w:r>
      <w:r>
        <w:rPr>
          <w:rFonts w:hint="eastAsia" w:ascii="仿宋_GB2312" w:eastAsia="仿宋_GB2312"/>
          <w:sz w:val="28"/>
          <w:szCs w:val="28"/>
          <w:lang w:val="en-US" w:eastAsia="zh-CN"/>
        </w:rPr>
        <w:t>20925.86</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298.12</w:t>
      </w:r>
      <w:r>
        <w:rPr>
          <w:rFonts w:hint="eastAsia" w:ascii="仿宋_GB2312" w:eastAsia="仿宋_GB2312"/>
          <w:sz w:val="28"/>
          <w:szCs w:val="28"/>
        </w:rPr>
        <w:t>万元，增长</w:t>
      </w:r>
      <w:r>
        <w:rPr>
          <w:rFonts w:hint="eastAsia" w:ascii="仿宋_GB2312" w:eastAsia="仿宋_GB2312"/>
          <w:sz w:val="28"/>
          <w:szCs w:val="28"/>
          <w:lang w:val="en-US" w:eastAsia="zh-CN"/>
        </w:rPr>
        <w:t>1.45</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rPr>
      </w:pPr>
      <w:r>
        <w:rPr>
          <w:rFonts w:hint="eastAsia" w:ascii="仿宋_GB2312" w:eastAsia="仿宋_GB2312"/>
          <w:sz w:val="28"/>
          <w:szCs w:val="28"/>
        </w:rPr>
        <w:t>“水利</w:t>
      </w:r>
      <w:r>
        <w:rPr>
          <w:rFonts w:hint="default" w:ascii="仿宋_GB2312" w:eastAsia="仿宋_GB2312"/>
          <w:sz w:val="28"/>
          <w:szCs w:val="28"/>
          <w:lang w:val="en-US" w:eastAsia="zh-CN"/>
        </w:rPr>
        <w:t>”</w:t>
      </w:r>
      <w:r>
        <w:rPr>
          <w:rFonts w:hint="eastAsia" w:ascii="仿宋_GB2312" w:eastAsia="仿宋_GB2312"/>
          <w:sz w:val="28"/>
          <w:szCs w:val="28"/>
        </w:rPr>
        <w:t>（款）2024年度决算</w:t>
      </w:r>
      <w:r>
        <w:rPr>
          <w:rFonts w:hint="eastAsia" w:ascii="仿宋_GB2312" w:eastAsia="仿宋_GB2312"/>
          <w:sz w:val="28"/>
          <w:szCs w:val="28"/>
          <w:lang w:val="en-US" w:eastAsia="zh-CN"/>
        </w:rPr>
        <w:t>511.85</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0.46</w:t>
      </w:r>
      <w:r>
        <w:rPr>
          <w:rFonts w:hint="eastAsia" w:ascii="仿宋_GB2312" w:eastAsia="仿宋_GB2312"/>
          <w:sz w:val="28"/>
          <w:szCs w:val="28"/>
        </w:rPr>
        <w:t>万元，增长</w:t>
      </w:r>
      <w:r>
        <w:rPr>
          <w:rFonts w:hint="eastAsia" w:ascii="仿宋_GB2312" w:eastAsia="仿宋_GB2312"/>
          <w:sz w:val="28"/>
          <w:szCs w:val="28"/>
          <w:lang w:val="en-US" w:eastAsia="zh-CN"/>
        </w:rPr>
        <w:t>0.09</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“农村综合改革”（款）2024年度决算</w:t>
      </w:r>
      <w:r>
        <w:rPr>
          <w:rFonts w:hint="eastAsia" w:ascii="仿宋_GB2312" w:eastAsia="仿宋_GB2312"/>
          <w:sz w:val="28"/>
          <w:szCs w:val="28"/>
          <w:lang w:val="en-US" w:eastAsia="zh-CN"/>
        </w:rPr>
        <w:t>2311.89</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129.12</w:t>
      </w:r>
      <w:r>
        <w:rPr>
          <w:rFonts w:hint="eastAsia" w:ascii="仿宋_GB2312" w:eastAsia="仿宋_GB2312"/>
          <w:sz w:val="28"/>
          <w:szCs w:val="28"/>
        </w:rPr>
        <w:t>万元，下降</w:t>
      </w:r>
      <w:r>
        <w:rPr>
          <w:rFonts w:hint="eastAsia" w:ascii="仿宋_GB2312" w:eastAsia="仿宋_GB2312"/>
          <w:sz w:val="28"/>
          <w:szCs w:val="28"/>
          <w:lang w:val="en-US" w:eastAsia="zh-CN"/>
        </w:rPr>
        <w:t>5.29</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rPr>
      </w:pPr>
      <w:r>
        <w:rPr>
          <w:rFonts w:hint="eastAsia" w:ascii="仿宋_GB2312" w:eastAsia="仿宋_GB2312"/>
          <w:sz w:val="28"/>
          <w:szCs w:val="28"/>
        </w:rPr>
        <w:t>“普惠金融发展支出”（款）2024年度决算</w:t>
      </w:r>
      <w:r>
        <w:rPr>
          <w:rFonts w:hint="eastAsia" w:ascii="仿宋_GB2312" w:eastAsia="仿宋_GB2312"/>
          <w:sz w:val="28"/>
          <w:szCs w:val="28"/>
          <w:lang w:val="en-US" w:eastAsia="zh-CN"/>
        </w:rPr>
        <w:t>35.47</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33.07</w:t>
      </w:r>
      <w:r>
        <w:rPr>
          <w:rFonts w:hint="eastAsia" w:ascii="仿宋_GB2312" w:eastAsia="仿宋_GB2312"/>
          <w:sz w:val="28"/>
          <w:szCs w:val="28"/>
        </w:rPr>
        <w:t>万元，增长</w:t>
      </w:r>
      <w:r>
        <w:rPr>
          <w:rFonts w:hint="eastAsia" w:ascii="仿宋_GB2312" w:eastAsia="仿宋_GB2312"/>
          <w:sz w:val="28"/>
          <w:szCs w:val="28"/>
          <w:lang w:val="en-US" w:eastAsia="zh-CN"/>
        </w:rPr>
        <w:t>1377.92</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“交通运输支出”(类) 2024年度决算</w:t>
      </w:r>
      <w:r>
        <w:rPr>
          <w:rFonts w:hint="eastAsia" w:ascii="仿宋_GB2312" w:eastAsia="仿宋_GB2312"/>
          <w:sz w:val="28"/>
          <w:szCs w:val="28"/>
          <w:lang w:val="en-US" w:eastAsia="zh-CN"/>
        </w:rPr>
        <w:t>114.59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4.98</w:t>
      </w:r>
      <w:r>
        <w:rPr>
          <w:rFonts w:hint="eastAsia" w:ascii="仿宋_GB2312" w:eastAsia="仿宋_GB2312"/>
          <w:sz w:val="28"/>
          <w:szCs w:val="28"/>
        </w:rPr>
        <w:t>万元，增长</w:t>
      </w:r>
      <w:r>
        <w:rPr>
          <w:rFonts w:hint="eastAsia" w:ascii="仿宋_GB2312" w:eastAsia="仿宋_GB2312"/>
          <w:sz w:val="28"/>
          <w:szCs w:val="28"/>
          <w:lang w:val="en-US" w:eastAsia="zh-CN"/>
        </w:rPr>
        <w:t>4.54</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“铁路运输”（款）2024年度决算</w:t>
      </w:r>
      <w:r>
        <w:rPr>
          <w:rFonts w:hint="eastAsia" w:ascii="仿宋_GB2312" w:eastAsia="仿宋_GB2312"/>
          <w:sz w:val="28"/>
          <w:szCs w:val="28"/>
          <w:lang w:val="en-US" w:eastAsia="zh-CN"/>
        </w:rPr>
        <w:t>114.59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4.98</w:t>
      </w:r>
      <w:r>
        <w:rPr>
          <w:rFonts w:hint="eastAsia" w:ascii="仿宋_GB2312" w:eastAsia="仿宋_GB2312"/>
          <w:sz w:val="28"/>
          <w:szCs w:val="28"/>
        </w:rPr>
        <w:t>万元，增长</w:t>
      </w:r>
      <w:r>
        <w:rPr>
          <w:rFonts w:hint="eastAsia" w:ascii="仿宋_GB2312" w:eastAsia="仿宋_GB2312"/>
          <w:sz w:val="28"/>
          <w:szCs w:val="28"/>
          <w:lang w:val="en-US" w:eastAsia="zh-CN"/>
        </w:rPr>
        <w:t>4.54</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“自然资源海洋气象等支出”(类) 2024年度决算</w:t>
      </w:r>
      <w:r>
        <w:rPr>
          <w:rFonts w:hint="eastAsia" w:ascii="仿宋_GB2312" w:eastAsia="仿宋_GB2312"/>
          <w:sz w:val="28"/>
          <w:szCs w:val="28"/>
          <w:lang w:val="en-US" w:eastAsia="zh-CN"/>
        </w:rPr>
        <w:t>266.64</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2.19</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“自然资源事务”（款）2024年度决算</w:t>
      </w:r>
      <w:r>
        <w:rPr>
          <w:rFonts w:hint="eastAsia" w:ascii="仿宋_GB2312" w:eastAsia="仿宋_GB2312"/>
          <w:sz w:val="28"/>
          <w:szCs w:val="28"/>
          <w:lang w:val="en-US" w:eastAsia="zh-CN"/>
        </w:rPr>
        <w:t>266.64</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2.19</w:t>
      </w:r>
      <w:r>
        <w:rPr>
          <w:rFonts w:hint="eastAsia" w:ascii="仿宋_GB2312" w:eastAsia="仿宋_GB2312"/>
          <w:sz w:val="28"/>
          <w:szCs w:val="28"/>
        </w:rPr>
        <w:t>万元，下降</w:t>
      </w:r>
      <w:r>
        <w:rPr>
          <w:rFonts w:hint="eastAsia" w:ascii="仿宋_GB2312" w:eastAsia="仿宋_GB2312"/>
          <w:sz w:val="28"/>
          <w:szCs w:val="28"/>
          <w:lang w:val="en-US" w:eastAsia="zh-CN"/>
        </w:rPr>
        <w:t>0.81</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“住房保障支出”(类) 2024年度决算</w:t>
      </w:r>
      <w:r>
        <w:rPr>
          <w:rFonts w:hint="eastAsia" w:ascii="仿宋_GB2312" w:eastAsia="仿宋_GB2312"/>
          <w:sz w:val="28"/>
          <w:szCs w:val="28"/>
          <w:lang w:val="en-US" w:eastAsia="zh-CN"/>
        </w:rPr>
        <w:t>747.64</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rPr>
        <w:t>其中：</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“住房改革支出”（款）2024年度决算</w:t>
      </w:r>
      <w:r>
        <w:rPr>
          <w:rFonts w:hint="eastAsia" w:ascii="仿宋_GB2312" w:eastAsia="仿宋_GB2312"/>
          <w:sz w:val="28"/>
          <w:szCs w:val="28"/>
          <w:lang w:val="en-US" w:eastAsia="zh-CN"/>
        </w:rPr>
        <w:t>747.64</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12.</w:t>
      </w:r>
      <w:r>
        <w:rPr>
          <w:rFonts w:hint="eastAsia" w:ascii="仿宋_GB2312" w:eastAsia="仿宋_GB2312"/>
          <w:sz w:val="28"/>
          <w:szCs w:val="28"/>
        </w:rPr>
        <w:t>“灾害防治及应急管理支出”(类) 2024年度决算</w:t>
      </w:r>
      <w:r>
        <w:rPr>
          <w:rFonts w:hint="eastAsia" w:ascii="仿宋_GB2312" w:eastAsia="仿宋_GB2312"/>
          <w:sz w:val="28"/>
          <w:szCs w:val="28"/>
          <w:lang w:val="en-US" w:eastAsia="zh-CN"/>
        </w:rPr>
        <w:t>359.4</w:t>
      </w:r>
      <w:r>
        <w:rPr>
          <w:rFonts w:hint="eastAsia" w:ascii="仿宋_GB2312" w:eastAsia="仿宋_GB2312"/>
          <w:sz w:val="28"/>
          <w:szCs w:val="28"/>
        </w:rPr>
        <w:t>万元，比2024年度年初预算增加</w:t>
      </w:r>
      <w:r>
        <w:rPr>
          <w:rFonts w:hint="eastAsia" w:ascii="仿宋_GB2312" w:eastAsia="仿宋_GB2312"/>
          <w:sz w:val="28"/>
          <w:szCs w:val="28"/>
          <w:highlight w:val="none"/>
          <w:lang w:val="en-US" w:eastAsia="zh-CN"/>
        </w:rPr>
        <w:t>75.59</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26.63</w:t>
      </w:r>
      <w:r>
        <w:rPr>
          <w:rFonts w:hint="eastAsia" w:ascii="仿宋_GB2312" w:eastAsia="仿宋_GB2312"/>
          <w:sz w:val="28"/>
          <w:szCs w:val="28"/>
          <w:highlight w:val="none"/>
        </w:rPr>
        <w:t>%。其中：</w:t>
      </w:r>
    </w:p>
    <w:p>
      <w:pPr>
        <w:numPr>
          <w:ilvl w:val="0"/>
          <w:numId w:val="0"/>
        </w:numPr>
        <w:spacing w:line="580" w:lineRule="exact"/>
        <w:ind w:firstLine="560" w:firstLineChars="200"/>
      </w:pPr>
      <w:r>
        <w:rPr>
          <w:rFonts w:hint="eastAsia" w:ascii="仿宋_GB2312" w:eastAsia="仿宋_GB2312"/>
          <w:sz w:val="28"/>
          <w:szCs w:val="28"/>
          <w:highlight w:val="none"/>
        </w:rPr>
        <w:t>“应急管理事务”（款）2024年度决算</w:t>
      </w:r>
      <w:r>
        <w:rPr>
          <w:rFonts w:hint="eastAsia" w:ascii="仿宋_GB2312" w:eastAsia="仿宋_GB2312"/>
          <w:sz w:val="28"/>
          <w:szCs w:val="28"/>
          <w:highlight w:val="none"/>
          <w:lang w:val="en-US" w:eastAsia="zh-CN"/>
        </w:rPr>
        <w:t>359.4</w:t>
      </w:r>
      <w:r>
        <w:rPr>
          <w:rFonts w:hint="eastAsia" w:ascii="仿宋_GB2312" w:eastAsia="仿宋_GB2312"/>
          <w:sz w:val="28"/>
          <w:szCs w:val="28"/>
          <w:highlight w:val="none"/>
        </w:rPr>
        <w:t>万元，比2024年度年初预算增加</w:t>
      </w:r>
      <w:r>
        <w:rPr>
          <w:rFonts w:hint="eastAsia" w:ascii="仿宋_GB2312" w:eastAsia="仿宋_GB2312"/>
          <w:sz w:val="28"/>
          <w:szCs w:val="28"/>
          <w:highlight w:val="none"/>
          <w:lang w:val="en-US" w:eastAsia="zh-CN"/>
        </w:rPr>
        <w:t>75.59</w:t>
      </w:r>
      <w:r>
        <w:rPr>
          <w:rFonts w:hint="eastAsia" w:ascii="仿宋_GB2312" w:eastAsia="仿宋_GB2312"/>
          <w:sz w:val="28"/>
          <w:szCs w:val="28"/>
          <w:highlight w:val="none"/>
        </w:rPr>
        <w:t>万元</w:t>
      </w:r>
      <w:r>
        <w:rPr>
          <w:rFonts w:hint="eastAsia" w:ascii="仿宋_GB2312" w:eastAsia="仿宋_GB2312"/>
          <w:sz w:val="28"/>
          <w:szCs w:val="28"/>
        </w:rPr>
        <w:t>，增长</w:t>
      </w:r>
      <w:r>
        <w:rPr>
          <w:rFonts w:hint="eastAsia" w:ascii="仿宋_GB2312" w:eastAsia="仿宋_GB2312"/>
          <w:sz w:val="28"/>
          <w:szCs w:val="28"/>
          <w:lang w:val="en-US" w:eastAsia="zh-CN"/>
        </w:rPr>
        <w:t>26.63</w:t>
      </w:r>
      <w:r>
        <w:rPr>
          <w:rFonts w:hint="eastAsia" w:ascii="仿宋_GB2312" w:eastAsia="仿宋_GB2312"/>
          <w:sz w:val="28"/>
          <w:szCs w:val="28"/>
        </w:rPr>
        <w:t>%。主要原因：</w:t>
      </w:r>
      <w:r>
        <w:rPr>
          <w:rFonts w:hint="eastAsia" w:ascii="仿宋_GB2312" w:eastAsia="仿宋_GB2312"/>
          <w:sz w:val="28"/>
          <w:szCs w:val="28"/>
          <w:lang w:eastAsia="zh-CN"/>
        </w:rPr>
        <w:t>项目支出增加</w:t>
      </w:r>
      <w:r>
        <w:rPr>
          <w:rFonts w:hint="eastAsia" w:ascii="仿宋_GB2312" w:eastAsia="仿宋_GB2312"/>
          <w:sz w:val="28"/>
          <w:szCs w:val="28"/>
        </w:rPr>
        <w:t>。</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9294.56</w:t>
      </w:r>
      <w:r>
        <w:rPr>
          <w:rFonts w:hint="eastAsia" w:ascii="仿宋_GB2312" w:eastAsia="仿宋_GB2312"/>
          <w:sz w:val="28"/>
          <w:szCs w:val="28"/>
        </w:rPr>
        <w:t>万元，主要用于以下方面：城乡社区支出</w:t>
      </w:r>
      <w:r>
        <w:rPr>
          <w:rFonts w:hint="eastAsia" w:ascii="仿宋_GB2312" w:eastAsia="仿宋_GB2312"/>
          <w:sz w:val="28"/>
          <w:szCs w:val="28"/>
          <w:lang w:val="en-US" w:eastAsia="zh-CN"/>
        </w:rPr>
        <w:t>9244.6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99.46</w:t>
      </w:r>
      <w:r>
        <w:rPr>
          <w:rFonts w:hint="eastAsia" w:ascii="仿宋_GB2312" w:eastAsia="仿宋_GB2312"/>
          <w:sz w:val="28"/>
          <w:szCs w:val="28"/>
        </w:rPr>
        <w:t>%；</w:t>
      </w:r>
      <w:r>
        <w:rPr>
          <w:rFonts w:hint="eastAsia" w:ascii="仿宋_GB2312" w:eastAsia="仿宋_GB2312"/>
          <w:sz w:val="28"/>
          <w:szCs w:val="28"/>
          <w:lang w:val="en-US" w:eastAsia="zh-CN"/>
        </w:rPr>
        <w:t>其他支出49.96万元,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0.54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1.“城乡社区支出”（类）2024年度决算</w:t>
      </w:r>
      <w:r>
        <w:rPr>
          <w:rFonts w:hint="eastAsia" w:ascii="仿宋_GB2312" w:eastAsia="仿宋_GB2312"/>
          <w:sz w:val="28"/>
          <w:szCs w:val="28"/>
          <w:lang w:val="en-US" w:eastAsia="zh-CN"/>
        </w:rPr>
        <w:t>9244.6</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2514.92</w:t>
      </w:r>
      <w:r>
        <w:rPr>
          <w:rFonts w:hint="eastAsia" w:ascii="仿宋_GB2312" w:eastAsia="仿宋_GB2312"/>
          <w:sz w:val="28"/>
          <w:szCs w:val="28"/>
        </w:rPr>
        <w:t>万元，下降</w:t>
      </w:r>
      <w:r>
        <w:rPr>
          <w:rFonts w:hint="eastAsia" w:ascii="仿宋_GB2312" w:eastAsia="仿宋_GB2312"/>
          <w:sz w:val="28"/>
          <w:szCs w:val="28"/>
          <w:lang w:val="en-US" w:eastAsia="zh-CN"/>
        </w:rPr>
        <w:t>21.39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rPr>
        <w:t>国有土地使用权出让收入安排的支出</w:t>
      </w:r>
      <w:r>
        <w:rPr>
          <w:rFonts w:hint="eastAsia" w:ascii="仿宋_GB2312" w:eastAsia="仿宋_GB2312"/>
          <w:sz w:val="28"/>
          <w:szCs w:val="28"/>
          <w:lang w:eastAsia="zh-CN"/>
        </w:rPr>
        <w:t>”</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9244.6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年度年初预算减少</w:t>
      </w:r>
      <w:r>
        <w:rPr>
          <w:rFonts w:hint="eastAsia" w:ascii="仿宋_GB2312" w:eastAsia="仿宋_GB2312"/>
          <w:sz w:val="28"/>
          <w:szCs w:val="28"/>
          <w:lang w:val="en-US" w:eastAsia="zh-CN"/>
        </w:rPr>
        <w:t>2514.92万元，</w:t>
      </w:r>
      <w:r>
        <w:rPr>
          <w:rFonts w:hint="eastAsia" w:ascii="仿宋_GB2312" w:eastAsia="仿宋_GB2312"/>
          <w:sz w:val="28"/>
          <w:szCs w:val="28"/>
        </w:rPr>
        <w:t>下降</w:t>
      </w:r>
      <w:r>
        <w:rPr>
          <w:rFonts w:hint="eastAsia" w:ascii="仿宋_GB2312" w:eastAsia="仿宋_GB2312"/>
          <w:sz w:val="28"/>
          <w:szCs w:val="28"/>
          <w:lang w:val="en-US" w:eastAsia="zh-CN"/>
        </w:rPr>
        <w:t>21.39</w:t>
      </w:r>
      <w:r>
        <w:rPr>
          <w:rFonts w:hint="eastAsia" w:ascii="仿宋_GB2312" w:eastAsia="仿宋_GB2312"/>
          <w:sz w:val="28"/>
          <w:szCs w:val="28"/>
        </w:rPr>
        <w:t>%</w:t>
      </w:r>
      <w:r>
        <w:rPr>
          <w:rFonts w:hint="eastAsia" w:ascii="仿宋_GB2312" w:eastAsia="仿宋_GB2312"/>
          <w:sz w:val="28"/>
          <w:szCs w:val="28"/>
          <w:lang w:val="en-US" w:eastAsia="zh-CN"/>
        </w:rPr>
        <w:t>,主要原因：</w:t>
      </w:r>
      <w:r>
        <w:rPr>
          <w:rFonts w:hint="eastAsia" w:ascii="仿宋_GB2312" w:eastAsia="仿宋_GB2312"/>
          <w:sz w:val="28"/>
          <w:szCs w:val="28"/>
          <w:lang w:eastAsia="zh-CN"/>
        </w:rPr>
        <w:t>专项资金</w:t>
      </w:r>
      <w:r>
        <w:rPr>
          <w:rFonts w:hint="eastAsia" w:ascii="仿宋_GB2312" w:eastAsia="仿宋_GB2312"/>
          <w:sz w:val="28"/>
          <w:szCs w:val="28"/>
          <w:lang w:val="en-US" w:eastAsia="zh-CN"/>
        </w:rPr>
        <w:t>支出减少</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w:t>
      </w:r>
      <w:r>
        <w:rPr>
          <w:rFonts w:hint="eastAsia" w:ascii="仿宋_GB2312" w:eastAsia="仿宋_GB2312"/>
          <w:sz w:val="28"/>
          <w:szCs w:val="28"/>
          <w:lang w:eastAsia="zh-CN"/>
        </w:rPr>
        <w:t>其他支出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49.96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减少0.04万元，下降0.08%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“彩票公益金安排的支出”（款）202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49.96</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减少0.04万元，下降0.08%，主要原因：</w:t>
      </w:r>
      <w:r>
        <w:rPr>
          <w:rFonts w:hint="eastAsia" w:ascii="仿宋_GB2312" w:eastAsia="仿宋_GB2312"/>
          <w:sz w:val="28"/>
          <w:szCs w:val="28"/>
          <w:lang w:eastAsia="zh-CN"/>
        </w:rPr>
        <w:t>大兴区创建北京市全民健身示范街道及体育特色乡镇扶持专项资金支出</w:t>
      </w:r>
      <w:r>
        <w:rPr>
          <w:rFonts w:hint="eastAsia" w:ascii="仿宋_GB2312" w:eastAsia="仿宋_GB2312"/>
          <w:sz w:val="28"/>
          <w:szCs w:val="28"/>
          <w:lang w:val="en-US" w:eastAsia="zh-CN"/>
        </w:rPr>
        <w:t>减少</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ind w:firstLine="537" w:firstLineChars="192"/>
        <w:rPr>
          <w:rFonts w:hint="eastAsia" w:ascii="仿宋_GB2312" w:eastAsia="仿宋_GB2312"/>
          <w:sz w:val="28"/>
          <w:szCs w:val="28"/>
          <w:lang w:eastAsia="zh-CN"/>
        </w:rPr>
      </w:pPr>
      <w:r>
        <w:rPr>
          <w:rFonts w:hint="eastAsia" w:ascii="仿宋_GB2312" w:eastAsia="仿宋_GB2312"/>
          <w:sz w:val="28"/>
          <w:szCs w:val="28"/>
        </w:rPr>
        <w:t>本部门2024年度无国有资本经营预算财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7183.82</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6638.3万元，</w:t>
      </w:r>
      <w:r>
        <w:rPr>
          <w:rFonts w:hint="eastAsia" w:ascii="仿宋_GB2312" w:eastAsia="仿宋_GB2312"/>
          <w:sz w:val="28"/>
          <w:szCs w:val="28"/>
        </w:rPr>
        <w:t>包括基本工资</w:t>
      </w:r>
      <w:r>
        <w:rPr>
          <w:rFonts w:hint="eastAsia" w:ascii="仿宋_GB2312" w:eastAsia="仿宋_GB2312"/>
          <w:sz w:val="28"/>
          <w:szCs w:val="28"/>
          <w:lang w:val="en-US" w:eastAsia="zh-CN"/>
        </w:rPr>
        <w:t>670.02万元</w:t>
      </w:r>
      <w:r>
        <w:rPr>
          <w:rFonts w:ascii="仿宋_GB2312" w:eastAsia="仿宋_GB2312"/>
          <w:sz w:val="28"/>
          <w:szCs w:val="28"/>
        </w:rPr>
        <w:t>、津贴补贴</w:t>
      </w:r>
      <w:r>
        <w:rPr>
          <w:rFonts w:hint="eastAsia" w:ascii="仿宋_GB2312" w:eastAsia="仿宋_GB2312"/>
          <w:sz w:val="28"/>
          <w:szCs w:val="28"/>
          <w:lang w:val="en-US" w:eastAsia="zh-CN"/>
        </w:rPr>
        <w:t>2092.98万元</w:t>
      </w:r>
      <w:r>
        <w:rPr>
          <w:rFonts w:ascii="仿宋_GB2312" w:eastAsia="仿宋_GB2312"/>
          <w:sz w:val="28"/>
          <w:szCs w:val="28"/>
        </w:rPr>
        <w:t>、奖金</w:t>
      </w:r>
      <w:r>
        <w:rPr>
          <w:rFonts w:hint="eastAsia" w:ascii="仿宋_GB2312" w:eastAsia="仿宋_GB2312"/>
          <w:sz w:val="28"/>
          <w:szCs w:val="28"/>
          <w:lang w:val="en-US" w:eastAsia="zh-CN"/>
        </w:rPr>
        <w:t>374.55万元</w:t>
      </w:r>
      <w:r>
        <w:rPr>
          <w:rFonts w:ascii="仿宋_GB2312" w:eastAsia="仿宋_GB2312"/>
          <w:sz w:val="28"/>
          <w:szCs w:val="28"/>
        </w:rPr>
        <w:t>、绩效工资</w:t>
      </w:r>
      <w:r>
        <w:rPr>
          <w:rFonts w:hint="eastAsia" w:ascii="仿宋_GB2312" w:eastAsia="仿宋_GB2312"/>
          <w:sz w:val="28"/>
          <w:szCs w:val="28"/>
          <w:lang w:val="en-US" w:eastAsia="zh-CN"/>
        </w:rPr>
        <w:t>1472.97万元</w:t>
      </w:r>
      <w:r>
        <w:rPr>
          <w:rFonts w:ascii="仿宋_GB2312" w:eastAsia="仿宋_GB2312"/>
          <w:sz w:val="28"/>
          <w:szCs w:val="28"/>
        </w:rPr>
        <w:t>、、</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552.18万元、职业年金缴费273.69万元、职工基本医疗保险缴费475.89万元、公务员医疗补助缴费150.5万元、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33.6万元</w:t>
      </w:r>
      <w:r>
        <w:rPr>
          <w:rFonts w:ascii="仿宋_GB2312" w:eastAsia="仿宋_GB2312"/>
          <w:sz w:val="28"/>
          <w:szCs w:val="28"/>
        </w:rPr>
        <w:t>、</w:t>
      </w:r>
      <w:r>
        <w:rPr>
          <w:rFonts w:hint="eastAsia" w:ascii="仿宋_GB2312" w:eastAsia="仿宋_GB2312"/>
          <w:sz w:val="28"/>
          <w:szCs w:val="28"/>
          <w:lang w:eastAsia="zh-CN"/>
        </w:rPr>
        <w:t>住房公积金</w:t>
      </w:r>
      <w:r>
        <w:rPr>
          <w:rFonts w:hint="eastAsia" w:ascii="仿宋_GB2312" w:eastAsia="仿宋_GB2312"/>
          <w:sz w:val="28"/>
          <w:szCs w:val="28"/>
          <w:lang w:val="en-US" w:eastAsia="zh-CN"/>
        </w:rPr>
        <w:t>541.91万元</w:t>
      </w:r>
      <w:r>
        <w:rPr>
          <w:rFonts w:hint="eastAsia" w:ascii="仿宋_GB2312" w:eastAsia="仿宋_GB2312"/>
          <w:sz w:val="28"/>
          <w:szCs w:val="28"/>
        </w:rPr>
        <w:t>；（2）商品和服务支出</w:t>
      </w:r>
      <w:r>
        <w:rPr>
          <w:rFonts w:hint="eastAsia" w:ascii="仿宋_GB2312" w:eastAsia="仿宋_GB2312"/>
          <w:sz w:val="28"/>
          <w:szCs w:val="28"/>
          <w:lang w:val="en-US" w:eastAsia="zh-CN"/>
        </w:rPr>
        <w:t>393.93万元，</w:t>
      </w:r>
      <w:r>
        <w:rPr>
          <w:rFonts w:hint="eastAsia" w:ascii="仿宋_GB2312" w:eastAsia="仿宋_GB2312"/>
          <w:sz w:val="28"/>
          <w:szCs w:val="28"/>
        </w:rPr>
        <w:t>包括</w:t>
      </w:r>
      <w:r>
        <w:rPr>
          <w:rFonts w:ascii="仿宋_GB2312" w:eastAsia="仿宋_GB2312"/>
          <w:sz w:val="28"/>
          <w:szCs w:val="28"/>
        </w:rPr>
        <w:t>办公费</w:t>
      </w:r>
      <w:r>
        <w:rPr>
          <w:rFonts w:hint="eastAsia" w:ascii="仿宋_GB2312" w:eastAsia="仿宋_GB2312"/>
          <w:sz w:val="28"/>
          <w:szCs w:val="28"/>
          <w:lang w:val="en-US" w:eastAsia="zh-CN"/>
        </w:rPr>
        <w:t>37.79万元</w:t>
      </w:r>
      <w:r>
        <w:rPr>
          <w:rFonts w:ascii="仿宋_GB2312" w:eastAsia="仿宋_GB2312"/>
          <w:sz w:val="28"/>
          <w:szCs w:val="28"/>
        </w:rPr>
        <w:t>、印刷费</w:t>
      </w:r>
      <w:r>
        <w:rPr>
          <w:rFonts w:hint="eastAsia" w:ascii="仿宋_GB2312" w:eastAsia="仿宋_GB2312"/>
          <w:sz w:val="28"/>
          <w:szCs w:val="28"/>
          <w:lang w:val="en-US" w:eastAsia="zh-CN"/>
        </w:rPr>
        <w:t>0.25万元</w:t>
      </w:r>
      <w:r>
        <w:rPr>
          <w:rFonts w:ascii="仿宋_GB2312" w:eastAsia="仿宋_GB2312"/>
          <w:sz w:val="28"/>
          <w:szCs w:val="28"/>
        </w:rPr>
        <w:t>、电费</w:t>
      </w:r>
      <w:r>
        <w:rPr>
          <w:rFonts w:hint="eastAsia" w:ascii="仿宋_GB2312" w:eastAsia="仿宋_GB2312"/>
          <w:sz w:val="28"/>
          <w:szCs w:val="28"/>
          <w:lang w:val="en-US" w:eastAsia="zh-CN"/>
        </w:rPr>
        <w:t>80万元</w:t>
      </w:r>
      <w:r>
        <w:rPr>
          <w:rFonts w:ascii="仿宋_GB2312" w:eastAsia="仿宋_GB2312"/>
          <w:sz w:val="28"/>
          <w:szCs w:val="28"/>
        </w:rPr>
        <w:t>、邮电费</w:t>
      </w:r>
      <w:r>
        <w:rPr>
          <w:rFonts w:hint="eastAsia" w:ascii="仿宋_GB2312" w:eastAsia="仿宋_GB2312"/>
          <w:sz w:val="28"/>
          <w:szCs w:val="28"/>
          <w:lang w:val="en-US" w:eastAsia="zh-CN"/>
        </w:rPr>
        <w:t>16.17万元</w:t>
      </w:r>
      <w:r>
        <w:rPr>
          <w:rFonts w:ascii="仿宋_GB2312" w:eastAsia="仿宋_GB2312"/>
          <w:sz w:val="28"/>
          <w:szCs w:val="28"/>
        </w:rPr>
        <w:t>、取暖费</w:t>
      </w:r>
      <w:r>
        <w:rPr>
          <w:rFonts w:hint="eastAsia" w:ascii="仿宋_GB2312" w:eastAsia="仿宋_GB2312"/>
          <w:sz w:val="28"/>
          <w:szCs w:val="28"/>
          <w:lang w:val="en-US" w:eastAsia="zh-CN"/>
        </w:rPr>
        <w:t>63.45万元</w:t>
      </w:r>
      <w:r>
        <w:rPr>
          <w:rFonts w:ascii="仿宋_GB2312" w:eastAsia="仿宋_GB2312"/>
          <w:sz w:val="28"/>
          <w:szCs w:val="28"/>
        </w:rPr>
        <w:t>、差旅费</w:t>
      </w:r>
      <w:r>
        <w:rPr>
          <w:rFonts w:hint="eastAsia" w:ascii="仿宋_GB2312" w:eastAsia="仿宋_GB2312"/>
          <w:sz w:val="28"/>
          <w:szCs w:val="28"/>
          <w:lang w:val="en-US" w:eastAsia="zh-CN"/>
        </w:rPr>
        <w:t>5.29万元</w:t>
      </w:r>
      <w:r>
        <w:rPr>
          <w:rFonts w:ascii="仿宋_GB2312" w:eastAsia="仿宋_GB2312"/>
          <w:sz w:val="28"/>
          <w:szCs w:val="28"/>
        </w:rPr>
        <w:t>、维修（护）费</w:t>
      </w:r>
      <w:r>
        <w:rPr>
          <w:rFonts w:hint="eastAsia" w:ascii="仿宋_GB2312" w:eastAsia="仿宋_GB2312"/>
          <w:sz w:val="28"/>
          <w:szCs w:val="28"/>
          <w:lang w:val="en-US" w:eastAsia="zh-CN"/>
        </w:rPr>
        <w:t>7.49万元</w:t>
      </w:r>
      <w:r>
        <w:rPr>
          <w:rFonts w:ascii="仿宋_GB2312" w:eastAsia="仿宋_GB2312"/>
          <w:sz w:val="28"/>
          <w:szCs w:val="28"/>
        </w:rPr>
        <w:t>、工会经费</w:t>
      </w:r>
      <w:r>
        <w:rPr>
          <w:rFonts w:hint="eastAsia" w:ascii="仿宋_GB2312" w:eastAsia="仿宋_GB2312"/>
          <w:sz w:val="28"/>
          <w:szCs w:val="28"/>
          <w:lang w:val="en-US" w:eastAsia="zh-CN"/>
        </w:rPr>
        <w:t>69.07万元</w:t>
      </w:r>
      <w:r>
        <w:rPr>
          <w:rFonts w:ascii="仿宋_GB2312" w:eastAsia="仿宋_GB2312"/>
          <w:sz w:val="28"/>
          <w:szCs w:val="28"/>
        </w:rPr>
        <w:t>、福利费</w:t>
      </w:r>
      <w:r>
        <w:rPr>
          <w:rFonts w:hint="eastAsia" w:ascii="仿宋_GB2312" w:eastAsia="仿宋_GB2312"/>
          <w:sz w:val="28"/>
          <w:szCs w:val="28"/>
          <w:lang w:val="en-US" w:eastAsia="zh-CN"/>
        </w:rPr>
        <w:t>20.75万元</w:t>
      </w:r>
      <w:r>
        <w:rPr>
          <w:rFonts w:ascii="仿宋_GB2312" w:eastAsia="仿宋_GB2312"/>
          <w:sz w:val="28"/>
          <w:szCs w:val="28"/>
        </w:rPr>
        <w:t>、公务用车运行维护费</w:t>
      </w:r>
      <w:r>
        <w:rPr>
          <w:rFonts w:hint="eastAsia" w:ascii="仿宋_GB2312" w:eastAsia="仿宋_GB2312"/>
          <w:sz w:val="28"/>
          <w:szCs w:val="28"/>
          <w:lang w:val="en-US" w:eastAsia="zh-CN"/>
        </w:rPr>
        <w:t>29.2万元</w:t>
      </w:r>
      <w:r>
        <w:rPr>
          <w:rFonts w:ascii="仿宋_GB2312" w:eastAsia="仿宋_GB2312"/>
          <w:sz w:val="28"/>
          <w:szCs w:val="28"/>
        </w:rPr>
        <w:t>、其他交通费</w:t>
      </w:r>
      <w:r>
        <w:rPr>
          <w:rFonts w:hint="eastAsia" w:ascii="仿宋_GB2312" w:eastAsia="仿宋_GB2312"/>
          <w:sz w:val="28"/>
          <w:szCs w:val="28"/>
          <w:lang w:val="en-US" w:eastAsia="zh-CN"/>
        </w:rPr>
        <w:t>62.67万元</w:t>
      </w:r>
      <w:r>
        <w:rPr>
          <w:rFonts w:ascii="仿宋_GB2312" w:eastAsia="仿宋_GB2312"/>
          <w:sz w:val="28"/>
          <w:szCs w:val="28"/>
        </w:rPr>
        <w:t>、其他商品和服务</w:t>
      </w:r>
      <w:r>
        <w:rPr>
          <w:rFonts w:hint="eastAsia" w:ascii="仿宋_GB2312" w:eastAsia="仿宋_GB2312"/>
          <w:sz w:val="28"/>
          <w:szCs w:val="28"/>
          <w:lang w:val="en-US" w:eastAsia="zh-CN"/>
        </w:rPr>
        <w:t>1.8万元</w:t>
      </w:r>
      <w:r>
        <w:rPr>
          <w:rFonts w:hint="eastAsia" w:ascii="仿宋_GB2312" w:eastAsia="仿宋_GB2312"/>
          <w:sz w:val="28"/>
          <w:szCs w:val="28"/>
        </w:rPr>
        <w:t>；（3）对个人和家庭补助支出</w:t>
      </w:r>
      <w:r>
        <w:rPr>
          <w:rFonts w:hint="eastAsia" w:ascii="仿宋_GB2312" w:eastAsia="仿宋_GB2312"/>
          <w:sz w:val="28"/>
          <w:szCs w:val="28"/>
          <w:lang w:val="en-US" w:eastAsia="zh-CN"/>
        </w:rPr>
        <w:t>151.59万元，</w:t>
      </w:r>
      <w:r>
        <w:rPr>
          <w:rFonts w:hint="eastAsia" w:ascii="仿宋_GB2312" w:eastAsia="仿宋_GB2312"/>
          <w:sz w:val="28"/>
          <w:szCs w:val="28"/>
        </w:rPr>
        <w:t>包括</w:t>
      </w:r>
      <w:r>
        <w:rPr>
          <w:rFonts w:ascii="仿宋_GB2312" w:eastAsia="仿宋_GB2312"/>
          <w:sz w:val="28"/>
          <w:szCs w:val="28"/>
        </w:rPr>
        <w:t>退休费</w:t>
      </w:r>
      <w:r>
        <w:rPr>
          <w:rFonts w:hint="eastAsia" w:ascii="仿宋_GB2312" w:eastAsia="仿宋_GB2312"/>
          <w:sz w:val="28"/>
          <w:szCs w:val="28"/>
          <w:lang w:val="en-US" w:eastAsia="zh-CN"/>
        </w:rPr>
        <w:t>101.36万元</w:t>
      </w:r>
      <w:r>
        <w:rPr>
          <w:rFonts w:ascii="仿宋_GB2312" w:eastAsia="仿宋_GB2312"/>
          <w:sz w:val="28"/>
          <w:szCs w:val="28"/>
        </w:rPr>
        <w:t>、抚恤金</w:t>
      </w:r>
      <w:r>
        <w:rPr>
          <w:rFonts w:hint="eastAsia" w:ascii="仿宋_GB2312" w:eastAsia="仿宋_GB2312"/>
          <w:sz w:val="28"/>
          <w:szCs w:val="28"/>
          <w:lang w:val="en-US" w:eastAsia="zh-CN"/>
        </w:rPr>
        <w:t>50.14万元</w:t>
      </w:r>
      <w:r>
        <w:rPr>
          <w:rFonts w:ascii="仿宋_GB2312" w:eastAsia="仿宋_GB2312"/>
          <w:sz w:val="28"/>
          <w:szCs w:val="28"/>
        </w:rPr>
        <w:t>、奖励金</w:t>
      </w:r>
      <w:r>
        <w:rPr>
          <w:rFonts w:hint="eastAsia" w:ascii="仿宋_GB2312" w:eastAsia="仿宋_GB2312"/>
          <w:sz w:val="28"/>
          <w:szCs w:val="28"/>
          <w:lang w:val="en-US" w:eastAsia="zh-CN"/>
        </w:rPr>
        <w:t>0.09万元。</w:t>
      </w: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“三公”经费包括本部门所属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w:t>
      </w:r>
      <w:r>
        <w:rPr>
          <w:rFonts w:hint="eastAsia" w:ascii="仿宋_GB2312" w:eastAsia="仿宋_GB2312"/>
          <w:sz w:val="28"/>
          <w:szCs w:val="28"/>
          <w:lang w:val="en-US" w:eastAsia="zh-CN"/>
        </w:rPr>
        <w:t>125.8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37.3</w:t>
      </w:r>
      <w:r>
        <w:rPr>
          <w:rFonts w:hint="eastAsia" w:ascii="仿宋_GB2312" w:eastAsia="仿宋_GB2312"/>
          <w:sz w:val="28"/>
          <w:szCs w:val="28"/>
        </w:rPr>
        <w:t>万元增加</w:t>
      </w:r>
      <w:r>
        <w:rPr>
          <w:rFonts w:hint="eastAsia" w:ascii="仿宋_GB2312" w:eastAsia="仿宋_GB2312"/>
          <w:sz w:val="28"/>
          <w:szCs w:val="28"/>
          <w:lang w:val="en-US" w:eastAsia="zh-CN"/>
        </w:rPr>
        <w:t>88.5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val="en-US" w:eastAsia="zh-CN"/>
        </w:rPr>
        <w:t>2024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因公出国（境）费用支出</w:t>
      </w:r>
      <w:r>
        <w:rPr>
          <w:rFonts w:hint="eastAsia" w:ascii="仿宋_GB2312" w:eastAsia="仿宋_GB2312"/>
          <w:sz w:val="28"/>
          <w:szCs w:val="28"/>
          <w:lang w:eastAsia="zh-CN"/>
        </w:rPr>
        <w:t>，</w:t>
      </w:r>
      <w:r>
        <w:rPr>
          <w:rFonts w:hint="eastAsia" w:ascii="仿宋_GB2312" w:eastAsia="仿宋_GB2312"/>
          <w:sz w:val="28"/>
          <w:szCs w:val="28"/>
        </w:rPr>
        <w:t>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公务接待费</w:t>
      </w:r>
      <w:r>
        <w:rPr>
          <w:rFonts w:hint="eastAsia" w:ascii="仿宋_GB2312" w:eastAsia="仿宋_GB2312"/>
          <w:sz w:val="28"/>
          <w:szCs w:val="28"/>
          <w:lang w:eastAsia="zh-CN"/>
        </w:rPr>
        <w:t>支出</w:t>
      </w:r>
      <w:r>
        <w:rPr>
          <w:rFonts w:hint="eastAsia" w:ascii="仿宋_GB2312" w:eastAsia="仿宋_GB2312"/>
          <w:sz w:val="28"/>
          <w:szCs w:val="28"/>
        </w:rPr>
        <w:t>。公务接待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125.8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万元增加</w:t>
      </w:r>
      <w:r>
        <w:rPr>
          <w:rFonts w:hint="eastAsia" w:ascii="仿宋_GB2312" w:eastAsia="仿宋_GB2312"/>
          <w:sz w:val="28"/>
          <w:szCs w:val="28"/>
          <w:lang w:val="en-US" w:eastAsia="zh-CN"/>
        </w:rPr>
        <w:t>89.5</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96.6</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96.6</w:t>
      </w:r>
      <w:r>
        <w:rPr>
          <w:rFonts w:hint="eastAsia" w:ascii="仿宋_GB2312" w:eastAsia="仿宋_GB2312"/>
          <w:sz w:val="28"/>
          <w:szCs w:val="28"/>
        </w:rPr>
        <w:t>万元。主要原因：</w:t>
      </w:r>
      <w:r>
        <w:rPr>
          <w:rFonts w:hint="eastAsia" w:ascii="仿宋_GB2312" w:eastAsia="仿宋_GB2312"/>
          <w:sz w:val="28"/>
          <w:szCs w:val="28"/>
          <w:highlight w:val="none"/>
        </w:rPr>
        <w:t>根据公务用车车况和实际需求，调整公务用车购置</w:t>
      </w:r>
      <w:r>
        <w:rPr>
          <w:rFonts w:hint="eastAsia" w:ascii="仿宋_GB2312" w:eastAsia="仿宋_GB2312"/>
          <w:sz w:val="28"/>
          <w:szCs w:val="28"/>
        </w:rPr>
        <w:t>，2024年度购置</w:t>
      </w:r>
      <w:r>
        <w:rPr>
          <w:rFonts w:hint="eastAsia" w:ascii="仿宋_GB2312" w:eastAsia="仿宋_GB2312"/>
          <w:sz w:val="28"/>
          <w:szCs w:val="28"/>
          <w:lang w:val="en-US" w:eastAsia="zh-CN"/>
        </w:rPr>
        <w:t>7</w:t>
      </w:r>
      <w:r>
        <w:rPr>
          <w:rFonts w:hint="eastAsia" w:ascii="仿宋_GB2312" w:eastAsia="仿宋_GB2312"/>
          <w:sz w:val="28"/>
          <w:szCs w:val="28"/>
        </w:rPr>
        <w:t>辆，车均购置费</w:t>
      </w:r>
      <w:r>
        <w:rPr>
          <w:rFonts w:hint="eastAsia" w:ascii="仿宋_GB2312" w:eastAsia="仿宋_GB2312"/>
          <w:sz w:val="28"/>
          <w:szCs w:val="28"/>
          <w:lang w:val="en-US" w:eastAsia="zh-CN"/>
        </w:rPr>
        <w:t>13.8</w:t>
      </w:r>
      <w:r>
        <w:rPr>
          <w:rFonts w:hint="eastAsia" w:ascii="仿宋_GB2312" w:eastAsia="仿宋_GB2312"/>
          <w:sz w:val="28"/>
          <w:szCs w:val="28"/>
        </w:rPr>
        <w:t>万元。公务用车运行维护费2024年度决算数</w:t>
      </w:r>
      <w:r>
        <w:rPr>
          <w:rFonts w:hint="eastAsia" w:ascii="仿宋_GB2312" w:eastAsia="仿宋_GB2312"/>
          <w:sz w:val="28"/>
          <w:szCs w:val="28"/>
          <w:lang w:val="en-US" w:eastAsia="zh-CN"/>
        </w:rPr>
        <w:t>29.2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万元减少</w:t>
      </w:r>
      <w:r>
        <w:rPr>
          <w:rFonts w:hint="eastAsia" w:ascii="仿宋_GB2312" w:eastAsia="仿宋_GB2312"/>
          <w:sz w:val="28"/>
          <w:szCs w:val="28"/>
          <w:lang w:val="en-US" w:eastAsia="zh-CN"/>
        </w:rPr>
        <w:t>7.1</w:t>
      </w:r>
      <w:r>
        <w:rPr>
          <w:rFonts w:hint="eastAsia" w:ascii="仿宋_GB2312" w:eastAsia="仿宋_GB2312"/>
          <w:sz w:val="28"/>
          <w:szCs w:val="28"/>
        </w:rPr>
        <w:t>万元，主要原因：</w:t>
      </w:r>
      <w:r>
        <w:rPr>
          <w:rFonts w:hint="eastAsia" w:ascii="仿宋_GB2312" w:eastAsia="仿宋_GB2312"/>
          <w:sz w:val="28"/>
          <w:szCs w:val="28"/>
          <w:lang w:val="en-US" w:eastAsia="zh-CN"/>
        </w:rPr>
        <w:t>落实政府过紧日子要求，</w:t>
      </w:r>
      <w:r>
        <w:rPr>
          <w:rFonts w:hint="eastAsia" w:ascii="仿宋_GB2312" w:eastAsia="仿宋_GB2312"/>
          <w:color w:val="000000"/>
          <w:sz w:val="28"/>
          <w:szCs w:val="28"/>
          <w:highlight w:val="none"/>
          <w:u w:val="none"/>
        </w:rPr>
        <w:t>厉行</w:t>
      </w:r>
      <w:r>
        <w:rPr>
          <w:rFonts w:hint="eastAsia" w:ascii="仿宋_GB2312" w:eastAsia="仿宋_GB2312"/>
          <w:color w:val="000000"/>
          <w:sz w:val="28"/>
          <w:szCs w:val="28"/>
          <w:highlight w:val="none"/>
          <w:u w:val="none"/>
          <w:lang w:val="en-US" w:eastAsia="zh-CN"/>
        </w:rPr>
        <w:t>勤俭节约要求</w:t>
      </w:r>
      <w:r>
        <w:rPr>
          <w:rFonts w:hint="eastAsia" w:ascii="仿宋_GB2312" w:eastAsia="仿宋_GB2312"/>
          <w:color w:val="000000"/>
          <w:sz w:val="28"/>
          <w:szCs w:val="28"/>
          <w:highlight w:val="none"/>
          <w:u w:val="none"/>
        </w:rPr>
        <w:t>,严控“三公”经费支出，压缩公务用车运行维护费</w:t>
      </w:r>
      <w:r>
        <w:rPr>
          <w:rFonts w:hint="eastAsia" w:ascii="仿宋_GB2312" w:eastAsia="仿宋_GB2312"/>
          <w:sz w:val="28"/>
          <w:szCs w:val="28"/>
        </w:rPr>
        <w:t>。2024年度公务用车运行维护费中，公务用车加油</w:t>
      </w:r>
      <w:r>
        <w:rPr>
          <w:rFonts w:hint="eastAsia" w:ascii="仿宋_GB2312" w:eastAsia="仿宋_GB2312"/>
          <w:sz w:val="28"/>
          <w:szCs w:val="28"/>
          <w:lang w:val="en-US" w:eastAsia="zh-CN"/>
        </w:rPr>
        <w:t>3.59</w:t>
      </w:r>
      <w:r>
        <w:rPr>
          <w:rFonts w:hint="eastAsia" w:ascii="仿宋_GB2312" w:eastAsia="仿宋_GB2312"/>
          <w:sz w:val="28"/>
          <w:szCs w:val="28"/>
        </w:rPr>
        <w:t>万元，公务用车维修</w:t>
      </w:r>
      <w:r>
        <w:rPr>
          <w:rFonts w:hint="eastAsia" w:ascii="仿宋_GB2312" w:eastAsia="仿宋_GB2312"/>
          <w:sz w:val="28"/>
          <w:szCs w:val="28"/>
          <w:lang w:val="en-US" w:eastAsia="zh-CN"/>
        </w:rPr>
        <w:t>22.66</w:t>
      </w:r>
      <w:r>
        <w:rPr>
          <w:rFonts w:hint="eastAsia" w:ascii="仿宋_GB2312" w:eastAsia="仿宋_GB2312"/>
          <w:sz w:val="28"/>
          <w:szCs w:val="28"/>
        </w:rPr>
        <w:t>万元，公务用车保险</w:t>
      </w:r>
      <w:r>
        <w:rPr>
          <w:rFonts w:hint="eastAsia" w:ascii="仿宋_GB2312" w:eastAsia="仿宋_GB2312"/>
          <w:sz w:val="28"/>
          <w:szCs w:val="28"/>
          <w:lang w:val="en-US" w:eastAsia="zh-CN"/>
        </w:rPr>
        <w:t>2.43</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0.52</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11</w:t>
      </w:r>
      <w:r>
        <w:rPr>
          <w:rFonts w:hint="eastAsia" w:ascii="仿宋_GB2312" w:eastAsia="仿宋_GB2312"/>
          <w:sz w:val="28"/>
          <w:szCs w:val="28"/>
        </w:rPr>
        <w:t>辆，车均运行维护费</w:t>
      </w:r>
      <w:r>
        <w:rPr>
          <w:rFonts w:hint="eastAsia" w:ascii="仿宋_GB2312" w:eastAsia="仿宋_GB2312"/>
          <w:sz w:val="28"/>
          <w:szCs w:val="28"/>
          <w:lang w:val="en-US" w:eastAsia="zh-CN"/>
        </w:rPr>
        <w:t>2.65</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w:t>
      </w:r>
      <w:bookmarkStart w:id="0" w:name="_GoBack"/>
      <w:bookmarkEnd w:id="0"/>
      <w:r>
        <w:rPr>
          <w:rFonts w:hint="eastAsia" w:ascii="仿宋_GB2312" w:eastAsia="仿宋_GB2312"/>
          <w:sz w:val="28"/>
          <w:szCs w:val="28"/>
        </w:rPr>
        <w:t>024年度使用财政拨款安排的基本支出中的日常公用经费支出</w:t>
      </w:r>
      <w:r>
        <w:rPr>
          <w:rFonts w:hint="eastAsia" w:ascii="仿宋_GB2312" w:eastAsia="仿宋_GB2312"/>
          <w:sz w:val="28"/>
          <w:szCs w:val="28"/>
          <w:highlight w:val="none"/>
        </w:rPr>
        <w:t>，合计</w:t>
      </w:r>
      <w:r>
        <w:rPr>
          <w:rFonts w:hint="eastAsia" w:ascii="仿宋_GB2312" w:eastAsia="仿宋_GB2312"/>
          <w:sz w:val="28"/>
          <w:szCs w:val="28"/>
          <w:highlight w:val="none"/>
          <w:lang w:val="en-US" w:eastAsia="zh-CN"/>
        </w:rPr>
        <w:t>392.13</w:t>
      </w:r>
      <w:r>
        <w:rPr>
          <w:rFonts w:hint="eastAsia" w:ascii="仿宋_GB2312" w:eastAsia="仿宋_GB2312"/>
          <w:sz w:val="28"/>
          <w:szCs w:val="28"/>
          <w:highlight w:val="none"/>
        </w:rPr>
        <w:t>万元，比上年减少</w:t>
      </w:r>
      <w:r>
        <w:rPr>
          <w:rFonts w:hint="eastAsia" w:ascii="仿宋_GB2312" w:eastAsia="仿宋_GB2312"/>
          <w:sz w:val="28"/>
          <w:szCs w:val="28"/>
          <w:highlight w:val="none"/>
          <w:lang w:val="en-US" w:eastAsia="zh-CN"/>
        </w:rPr>
        <w:t>15.6</w:t>
      </w:r>
      <w:r>
        <w:rPr>
          <w:rFonts w:hint="eastAsia" w:ascii="仿宋_GB2312" w:eastAsia="仿宋_GB2312"/>
          <w:sz w:val="28"/>
          <w:szCs w:val="28"/>
          <w:highlight w:val="none"/>
        </w:rPr>
        <w:t>万</w:t>
      </w:r>
      <w:r>
        <w:rPr>
          <w:rFonts w:hint="eastAsia" w:ascii="仿宋_GB2312" w:eastAsia="仿宋_GB2312"/>
          <w:sz w:val="28"/>
          <w:szCs w:val="28"/>
        </w:rPr>
        <w:t>元，减少原因：</w:t>
      </w:r>
      <w:r>
        <w:rPr>
          <w:rFonts w:hint="eastAsia" w:ascii="仿宋_GB2312" w:eastAsia="仿宋_GB2312"/>
          <w:color w:val="000000"/>
          <w:sz w:val="28"/>
          <w:szCs w:val="28"/>
          <w:highlight w:val="none"/>
          <w:u w:val="none"/>
        </w:rPr>
        <w:t>厉行</w:t>
      </w:r>
      <w:r>
        <w:rPr>
          <w:rFonts w:hint="eastAsia" w:ascii="仿宋_GB2312" w:eastAsia="仿宋_GB2312"/>
          <w:color w:val="000000"/>
          <w:sz w:val="28"/>
          <w:szCs w:val="28"/>
          <w:highlight w:val="none"/>
          <w:u w:val="none"/>
          <w:lang w:val="en-US" w:eastAsia="zh-CN"/>
        </w:rPr>
        <w:t>勤俭节约要求</w:t>
      </w:r>
      <w:r>
        <w:rPr>
          <w:rFonts w:hint="eastAsia" w:ascii="仿宋_GB2312" w:eastAsia="仿宋_GB2312"/>
          <w:color w:val="000000"/>
          <w:sz w:val="28"/>
          <w:szCs w:val="28"/>
          <w:highlight w:val="none"/>
          <w:u w:val="none"/>
        </w:rPr>
        <w:t>,</w:t>
      </w:r>
      <w:r>
        <w:rPr>
          <w:rFonts w:hint="eastAsia" w:ascii="仿宋_GB2312" w:eastAsia="仿宋_GB2312"/>
          <w:color w:val="000000"/>
          <w:sz w:val="28"/>
          <w:szCs w:val="28"/>
          <w:highlight w:val="none"/>
          <w:u w:val="none"/>
          <w:lang w:val="en-US" w:eastAsia="zh-CN"/>
        </w:rPr>
        <w:t>压减机关运行</w:t>
      </w:r>
      <w:r>
        <w:rPr>
          <w:rFonts w:hint="eastAsia" w:ascii="仿宋_GB2312" w:eastAsia="仿宋_GB2312"/>
          <w:color w:val="000000"/>
          <w:sz w:val="28"/>
          <w:szCs w:val="28"/>
          <w:highlight w:val="none"/>
          <w:u w:val="none"/>
        </w:rPr>
        <w:t>经费支出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8781.</w:t>
      </w:r>
      <w:r>
        <w:rPr>
          <w:rFonts w:hint="eastAsia" w:ascii="仿宋_GB2312" w:eastAsia="仿宋_GB2312"/>
          <w:sz w:val="28"/>
          <w:szCs w:val="28"/>
          <w:highlight w:val="none"/>
          <w:lang w:val="en-US" w:eastAsia="zh-CN"/>
        </w:rPr>
        <w:t>58</w:t>
      </w:r>
      <w:r>
        <w:rPr>
          <w:rFonts w:hint="eastAsia" w:ascii="仿宋_GB2312" w:eastAsia="仿宋_GB2312"/>
          <w:sz w:val="28"/>
          <w:szCs w:val="28"/>
          <w:highlight w:val="none"/>
        </w:rPr>
        <w:t>万元</w:t>
      </w:r>
      <w:r>
        <w:rPr>
          <w:rFonts w:hint="eastAsia" w:ascii="仿宋_GB2312" w:eastAsia="仿宋_GB2312"/>
          <w:sz w:val="28"/>
          <w:szCs w:val="28"/>
        </w:rPr>
        <w:t>，其中：政府采购货物支出</w:t>
      </w:r>
      <w:r>
        <w:rPr>
          <w:rFonts w:hint="eastAsia" w:ascii="仿宋_GB2312" w:eastAsia="仿宋_GB2312"/>
          <w:sz w:val="28"/>
          <w:szCs w:val="28"/>
          <w:lang w:val="en-US" w:eastAsia="zh-CN"/>
        </w:rPr>
        <w:t>1312.76</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7468.82</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7990.06</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90.99</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6595.01</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75.1</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7</w:t>
      </w:r>
      <w:r>
        <w:rPr>
          <w:rFonts w:hint="eastAsia" w:ascii="仿宋_GB2312" w:eastAsia="仿宋_GB2312"/>
          <w:sz w:val="28"/>
          <w:szCs w:val="28"/>
        </w:rPr>
        <w:t>台，共计</w:t>
      </w:r>
      <w:r>
        <w:rPr>
          <w:rFonts w:hint="eastAsia" w:ascii="仿宋_GB2312" w:eastAsia="仿宋_GB2312"/>
          <w:sz w:val="28"/>
          <w:szCs w:val="28"/>
          <w:lang w:val="en-US" w:eastAsia="zh-CN"/>
        </w:rPr>
        <w:t>96.6</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万元。截至2024年底，本部门固定资产总额</w:t>
      </w:r>
      <w:r>
        <w:rPr>
          <w:rFonts w:hint="eastAsia" w:ascii="仿宋_GB2312" w:eastAsia="仿宋_GB2312"/>
          <w:sz w:val="28"/>
          <w:szCs w:val="28"/>
          <w:lang w:val="en-US" w:eastAsia="zh-CN"/>
        </w:rPr>
        <w:t>16823.89</w:t>
      </w:r>
      <w:r>
        <w:rPr>
          <w:rFonts w:hint="eastAsia" w:ascii="仿宋_GB2312" w:eastAsia="仿宋_GB2312"/>
          <w:sz w:val="28"/>
          <w:szCs w:val="28"/>
        </w:rPr>
        <w:t>万元，其中车辆</w:t>
      </w:r>
      <w:r>
        <w:rPr>
          <w:rFonts w:hint="eastAsia" w:ascii="仿宋_GB2312" w:eastAsia="仿宋_GB2312"/>
          <w:sz w:val="28"/>
          <w:szCs w:val="28"/>
          <w:lang w:val="en-US" w:eastAsia="zh-CN"/>
        </w:rPr>
        <w:t>54</w:t>
      </w:r>
      <w:r>
        <w:rPr>
          <w:rFonts w:hint="eastAsia" w:ascii="仿宋_GB2312" w:eastAsia="仿宋_GB2312"/>
          <w:sz w:val="28"/>
          <w:szCs w:val="28"/>
        </w:rPr>
        <w:t>台，共计</w:t>
      </w:r>
      <w:r>
        <w:rPr>
          <w:rFonts w:hint="eastAsia" w:ascii="仿宋_GB2312" w:eastAsia="仿宋_GB2312"/>
          <w:sz w:val="28"/>
          <w:szCs w:val="28"/>
          <w:lang w:val="en-US" w:eastAsia="zh-CN"/>
        </w:rPr>
        <w:t>931.69</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sz w:val="28"/>
          <w:szCs w:val="28"/>
        </w:rPr>
      </w:pPr>
      <w:r>
        <w:rPr>
          <w:rFonts w:ascii="仿宋_GB2312" w:eastAsia="仿宋_GB2312"/>
          <w:sz w:val="28"/>
          <w:szCs w:val="28"/>
        </w:rPr>
        <w:t>202</w:t>
      </w:r>
      <w:r>
        <w:rPr>
          <w:rFonts w:hint="eastAsia" w:ascii="仿宋_GB2312" w:eastAsia="仿宋_GB2312"/>
          <w:sz w:val="28"/>
          <w:szCs w:val="28"/>
        </w:rPr>
        <w:t>5</w:t>
      </w:r>
      <w:r>
        <w:rPr>
          <w:rFonts w:ascii="仿宋_GB2312" w:eastAsia="仿宋_GB2312"/>
          <w:sz w:val="28"/>
          <w:szCs w:val="28"/>
        </w:rPr>
        <w:t>年</w:t>
      </w:r>
      <w:r>
        <w:rPr>
          <w:rFonts w:hint="eastAsia" w:ascii="仿宋_GB2312" w:eastAsia="仿宋_GB2312"/>
          <w:sz w:val="28"/>
          <w:szCs w:val="28"/>
        </w:rPr>
        <w:t>，</w:t>
      </w:r>
      <w:r>
        <w:rPr>
          <w:rFonts w:ascii="仿宋_GB2312" w:eastAsia="仿宋_GB2312"/>
          <w:sz w:val="28"/>
          <w:szCs w:val="28"/>
        </w:rPr>
        <w:t>本部门对202</w:t>
      </w:r>
      <w:r>
        <w:rPr>
          <w:rFonts w:hint="eastAsia" w:ascii="仿宋_GB2312" w:eastAsia="仿宋_GB2312"/>
          <w:sz w:val="28"/>
          <w:szCs w:val="28"/>
        </w:rPr>
        <w:t>4</w:t>
      </w:r>
      <w:r>
        <w:rPr>
          <w:rFonts w:ascii="仿宋_GB2312" w:eastAsia="仿宋_GB2312"/>
          <w:sz w:val="28"/>
          <w:szCs w:val="28"/>
        </w:rPr>
        <w:t>年度部门项目支出实施了绩效评价，</w:t>
      </w:r>
      <w:r>
        <w:rPr>
          <w:rFonts w:hint="eastAsia" w:ascii="仿宋_GB2312" w:eastAsia="仿宋_GB2312"/>
          <w:sz w:val="28"/>
          <w:szCs w:val="28"/>
        </w:rPr>
        <w:t>单位自评</w:t>
      </w:r>
      <w:r>
        <w:rPr>
          <w:rFonts w:hint="eastAsia" w:ascii="仿宋_GB2312" w:eastAsia="仿宋_GB2312"/>
          <w:sz w:val="28"/>
          <w:szCs w:val="28"/>
          <w:lang w:val="en-US" w:eastAsia="zh-CN"/>
        </w:rPr>
        <w:t>362</w:t>
      </w:r>
      <w:r>
        <w:rPr>
          <w:rFonts w:ascii="仿宋_GB2312" w:eastAsia="仿宋_GB2312"/>
          <w:sz w:val="28"/>
          <w:szCs w:val="28"/>
        </w:rPr>
        <w:t>个，占部门项目总数的</w:t>
      </w:r>
      <w:r>
        <w:rPr>
          <w:rFonts w:hint="eastAsia" w:ascii="仿宋_GB2312" w:eastAsia="仿宋_GB2312"/>
          <w:sz w:val="28"/>
          <w:szCs w:val="28"/>
          <w:lang w:val="en-US" w:eastAsia="zh-CN"/>
        </w:rPr>
        <w:t>100</w:t>
      </w:r>
      <w:r>
        <w:rPr>
          <w:rFonts w:ascii="仿宋_GB2312" w:eastAsia="仿宋_GB2312"/>
          <w:sz w:val="28"/>
          <w:szCs w:val="28"/>
        </w:rPr>
        <w:t xml:space="preserve"> %，涉及金额</w:t>
      </w:r>
      <w:r>
        <w:rPr>
          <w:rFonts w:hint="eastAsia" w:ascii="仿宋_GB2312" w:eastAsia="仿宋_GB2312"/>
          <w:sz w:val="28"/>
          <w:szCs w:val="28"/>
          <w:lang w:val="en-US" w:eastAsia="zh-CN"/>
        </w:rPr>
        <w:t>58559.81</w:t>
      </w:r>
      <w:r>
        <w:rPr>
          <w:rFonts w:ascii="仿宋_GB2312" w:eastAsia="仿宋_GB2312"/>
          <w:sz w:val="28"/>
          <w:szCs w:val="28"/>
        </w:rPr>
        <w:t>万元。评价得分在90分（含90分）以上的</w:t>
      </w:r>
      <w:r>
        <w:rPr>
          <w:rFonts w:hint="eastAsia" w:ascii="仿宋_GB2312" w:eastAsia="仿宋_GB2312"/>
          <w:sz w:val="28"/>
          <w:szCs w:val="28"/>
          <w:lang w:val="en-US" w:eastAsia="zh-CN"/>
        </w:rPr>
        <w:t>362</w:t>
      </w:r>
      <w:r>
        <w:rPr>
          <w:rFonts w:ascii="仿宋_GB2312" w:eastAsia="仿宋_GB2312"/>
          <w:sz w:val="28"/>
          <w:szCs w:val="28"/>
        </w:rPr>
        <w:t>个、评价得分在80-90分（含80分）的</w:t>
      </w:r>
      <w:r>
        <w:rPr>
          <w:rFonts w:hint="eastAsia" w:ascii="仿宋_GB2312" w:eastAsia="仿宋_GB2312"/>
          <w:sz w:val="28"/>
          <w:szCs w:val="28"/>
          <w:lang w:val="en-US" w:eastAsia="zh-CN"/>
        </w:rPr>
        <w:t>0</w:t>
      </w:r>
      <w:r>
        <w:rPr>
          <w:rFonts w:ascii="仿宋_GB2312" w:eastAsia="仿宋_GB2312"/>
          <w:sz w:val="28"/>
          <w:szCs w:val="28"/>
        </w:rPr>
        <w:t>个、评价得分在60-80分（含60分）的</w:t>
      </w:r>
      <w:r>
        <w:rPr>
          <w:rFonts w:hint="eastAsia" w:ascii="仿宋_GB2312" w:eastAsia="仿宋_GB2312"/>
          <w:sz w:val="28"/>
          <w:szCs w:val="28"/>
          <w:lang w:val="en-US" w:eastAsia="zh-CN"/>
        </w:rPr>
        <w:t>0</w:t>
      </w:r>
      <w:r>
        <w:rPr>
          <w:rFonts w:ascii="仿宋_GB2312" w:eastAsia="仿宋_GB2312"/>
          <w:sz w:val="28"/>
          <w:szCs w:val="28"/>
        </w:rPr>
        <w:t>个、评价得分在60分以下的</w:t>
      </w:r>
      <w:r>
        <w:rPr>
          <w:rFonts w:hint="eastAsia" w:ascii="仿宋_GB2312" w:eastAsia="仿宋_GB2312"/>
          <w:sz w:val="28"/>
          <w:szCs w:val="28"/>
          <w:lang w:val="en-US" w:eastAsia="zh-CN"/>
        </w:rPr>
        <w:t>0</w:t>
      </w:r>
      <w:r>
        <w:rPr>
          <w:rFonts w:ascii="仿宋_GB2312" w:eastAsia="仿宋_GB2312"/>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本部门202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无重点行政事业性收费情况。</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10</w:t>
      </w:r>
      <w:r>
        <w:rPr>
          <w:rFonts w:hint="eastAsia" w:ascii="仿宋_GB2312" w:eastAsia="仿宋_GB2312"/>
          <w:sz w:val="28"/>
          <w:szCs w:val="28"/>
        </w:rPr>
        <w:t>项，金额</w:t>
      </w:r>
      <w:r>
        <w:rPr>
          <w:rFonts w:hint="eastAsia" w:ascii="仿宋_GB2312" w:eastAsia="仿宋_GB2312"/>
          <w:sz w:val="28"/>
          <w:szCs w:val="28"/>
          <w:lang w:val="en-US" w:eastAsia="zh-CN"/>
        </w:rPr>
        <w:t>2053.54</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w:t>
      </w:r>
      <w:r>
        <w:rPr>
          <w:rFonts w:hint="eastAsia" w:ascii="仿宋_GB2312" w:eastAsia="仿宋_GB2312"/>
          <w:sz w:val="28"/>
          <w:szCs w:val="28"/>
          <w:lang w:eastAsia="zh-CN"/>
        </w:rPr>
        <w:t>支</w:t>
      </w:r>
      <w:r>
        <w:rPr>
          <w:rFonts w:hint="eastAsia" w:ascii="仿宋_GB2312" w:eastAsia="仿宋_GB2312"/>
          <w:sz w:val="28"/>
          <w:szCs w:val="28"/>
        </w:rPr>
        <w:t>出功能分类</w:t>
      </w:r>
      <w:r>
        <w:rPr>
          <w:rFonts w:hint="eastAsia" w:ascii="仿宋_GB2312" w:eastAsia="仿宋_GB2312"/>
          <w:b w:val="0"/>
          <w:bCs/>
          <w:sz w:val="28"/>
          <w:szCs w:val="28"/>
        </w:rPr>
        <w:t>项级</w:t>
      </w:r>
      <w:r>
        <w:rPr>
          <w:rFonts w:hint="eastAsia" w:ascii="仿宋_GB2312" w:eastAsia="仿宋_GB2312"/>
          <w:sz w:val="28"/>
          <w:szCs w:val="28"/>
        </w:rPr>
        <w:t>科目名词解释：</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一般公共服务支出（类）人大事务（款）代表工作（项）：反映人大代表开展各类视察等方面的支出。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一般公共服务支出（类）人大事务（款）其他人大事务支出（项）：反映除上述项目以外的其他人大事务支出。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一般公共服务支出（类）统计信息事务（款）统计抽样调查（项）：反映统计抽样调查队开展各类统计调查工作的支出。</w:t>
      </w:r>
    </w:p>
    <w:p>
      <w:pPr>
        <w:ind w:firstLine="420" w:firstLineChars="150"/>
        <w:rPr>
          <w:rFonts w:hint="eastAsia" w:ascii="仿宋_GB2312" w:eastAsia="仿宋_GB2312"/>
          <w:sz w:val="28"/>
          <w:szCs w:val="28"/>
          <w:highlight w:val="none"/>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8）</w:t>
      </w:r>
      <w:r>
        <w:rPr>
          <w:rFonts w:hint="eastAsia" w:ascii="仿宋_GB2312" w:eastAsia="仿宋_GB2312"/>
          <w:sz w:val="28"/>
          <w:szCs w:val="28"/>
          <w:highlight w:val="none"/>
          <w:lang w:eastAsia="zh-CN"/>
        </w:rPr>
        <w:t>一般公共服务支出（类）</w:t>
      </w:r>
      <w:r>
        <w:rPr>
          <w:rFonts w:hint="eastAsia" w:ascii="仿宋_GB2312" w:eastAsia="仿宋_GB2312"/>
          <w:sz w:val="28"/>
          <w:szCs w:val="28"/>
          <w:highlight w:val="none"/>
          <w:lang w:val="en-US" w:eastAsia="zh-CN"/>
        </w:rPr>
        <w:t>信访业务</w:t>
      </w:r>
      <w:r>
        <w:rPr>
          <w:rFonts w:hint="eastAsia" w:ascii="仿宋_GB2312" w:eastAsia="仿宋_GB2312"/>
          <w:sz w:val="28"/>
          <w:szCs w:val="28"/>
          <w:highlight w:val="none"/>
          <w:lang w:eastAsia="zh-CN"/>
        </w:rPr>
        <w:t>（款）</w:t>
      </w:r>
      <w:r>
        <w:rPr>
          <w:rFonts w:hint="eastAsia" w:ascii="仿宋_GB2312" w:eastAsia="仿宋_GB2312"/>
          <w:sz w:val="28"/>
          <w:szCs w:val="28"/>
          <w:highlight w:val="none"/>
          <w:lang w:val="en-US" w:eastAsia="zh-CN"/>
        </w:rPr>
        <w:t>信访业务</w:t>
      </w:r>
      <w:r>
        <w:rPr>
          <w:rFonts w:hint="eastAsia" w:ascii="仿宋_GB2312" w:eastAsia="仿宋_GB2312"/>
          <w:sz w:val="28"/>
          <w:szCs w:val="28"/>
          <w:highlight w:val="none"/>
          <w:lang w:eastAsia="zh-CN"/>
        </w:rPr>
        <w:t>（项）：反映</w:t>
      </w:r>
      <w:r>
        <w:rPr>
          <w:rFonts w:hint="eastAsia" w:ascii="仿宋_GB2312" w:eastAsia="仿宋_GB2312"/>
          <w:sz w:val="28"/>
          <w:szCs w:val="28"/>
          <w:highlight w:val="none"/>
          <w:lang w:val="en-US" w:eastAsia="zh-CN"/>
        </w:rPr>
        <w:t>各级政府用于接待群众来信来访方面的支出</w:t>
      </w:r>
      <w:r>
        <w:rPr>
          <w:rFonts w:hint="eastAsia" w:ascii="仿宋_GB2312" w:eastAsia="仿宋_GB2312"/>
          <w:sz w:val="28"/>
          <w:szCs w:val="28"/>
          <w:highlight w:val="none"/>
          <w:lang w:eastAsia="zh-CN"/>
        </w:rPr>
        <w:t>。</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9）</w:t>
      </w:r>
      <w:r>
        <w:rPr>
          <w:rFonts w:hint="eastAsia" w:ascii="仿宋_GB2312" w:eastAsia="仿宋_GB2312"/>
          <w:sz w:val="28"/>
          <w:szCs w:val="28"/>
          <w:lang w:eastAsia="zh-CN"/>
        </w:rPr>
        <w:t>一般公共服务支出（类）商贸事务（款）招商引资（项）：反映用于招商引资、优化经济环境等方面的支出。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一般公共服务支出（类）民族事务（款）民族工作专项（项）：反映用于民族事务管理方面的专项支出。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11）</w:t>
      </w:r>
      <w:r>
        <w:rPr>
          <w:rFonts w:hint="eastAsia" w:ascii="仿宋_GB2312" w:eastAsia="仿宋_GB2312"/>
          <w:sz w:val="28"/>
          <w:szCs w:val="28"/>
          <w:lang w:eastAsia="zh-CN"/>
        </w:rPr>
        <w:t>一般公共服务支出（类）民族事务（款）其他民族事务支出（项）：反映除上述项目以外其他用于民族事务方面的支出。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12）</w:t>
      </w:r>
      <w:r>
        <w:rPr>
          <w:rFonts w:hint="eastAsia" w:ascii="仿宋_GB2312" w:eastAsia="仿宋_GB2312"/>
          <w:sz w:val="28"/>
          <w:szCs w:val="28"/>
          <w:lang w:eastAsia="zh-CN"/>
        </w:rPr>
        <w:t>一般公共服务支出（类）群众团体事务（款）其他群众团体事务支出（项）：反映除上述项目以外其他用于群众团体事务方面的支出。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13）</w:t>
      </w:r>
      <w:r>
        <w:rPr>
          <w:rFonts w:hint="eastAsia" w:ascii="仿宋_GB2312" w:eastAsia="仿宋_GB2312"/>
          <w:sz w:val="28"/>
          <w:szCs w:val="28"/>
          <w:lang w:eastAsia="zh-CN"/>
        </w:rPr>
        <w:t>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14）</w:t>
      </w:r>
      <w:r>
        <w:rPr>
          <w:rFonts w:hint="eastAsia" w:ascii="仿宋_GB2312" w:eastAsia="仿宋_GB2312"/>
          <w:sz w:val="28"/>
          <w:szCs w:val="28"/>
          <w:lang w:eastAsia="zh-CN"/>
        </w:rPr>
        <w:t>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（15）一般公共服务支出（类）社会工作事务（款）一般行政管理事务（项）：反映行政单位（包括实行公务员管理的事业单位）未单独设置项级科目的其他项目支出。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p>
    <w:p>
      <w:pPr>
        <w:pStyle w:val="2"/>
        <w:rPr>
          <w:rFonts w:hint="eastAsia"/>
          <w:lang w:eastAsia="zh-CN"/>
        </w:rPr>
      </w:pP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16）</w:t>
      </w:r>
      <w:r>
        <w:rPr>
          <w:rFonts w:hint="eastAsia" w:ascii="仿宋_GB2312" w:eastAsia="仿宋_GB2312"/>
          <w:sz w:val="28"/>
          <w:szCs w:val="28"/>
          <w:lang w:eastAsia="zh-CN"/>
        </w:rPr>
        <w:t>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17）</w:t>
      </w:r>
      <w:r>
        <w:rPr>
          <w:rFonts w:hint="eastAsia" w:ascii="仿宋_GB2312" w:eastAsia="仿宋_GB2312"/>
          <w:sz w:val="28"/>
          <w:szCs w:val="28"/>
          <w:lang w:eastAsia="zh-CN"/>
        </w:rPr>
        <w:t>公共安全支出（类）其他公共安全支出（款）其他公共安全支出（项）：反映除上述项目以外其他用于公共安全方面的支出。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18）</w:t>
      </w:r>
      <w:r>
        <w:rPr>
          <w:rFonts w:hint="eastAsia" w:ascii="仿宋_GB2312" w:eastAsia="仿宋_GB2312"/>
          <w:sz w:val="28"/>
          <w:szCs w:val="28"/>
          <w:lang w:eastAsia="zh-CN"/>
        </w:rPr>
        <w:t>文化旅游体育与传媒支出（类）文化和旅游（款）文化和旅游市场管理（项）：反映文化和旅游执法检查等文化旅游市场管理方面的支出。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19）</w:t>
      </w:r>
      <w:r>
        <w:rPr>
          <w:rFonts w:hint="eastAsia" w:ascii="仿宋_GB2312" w:eastAsia="仿宋_GB2312"/>
          <w:sz w:val="28"/>
          <w:szCs w:val="28"/>
          <w:lang w:eastAsia="zh-CN"/>
        </w:rPr>
        <w:t>文化旅游体育与传媒支出（类）文化和旅游（款）其他文化和旅游支出（项）：反映除上述项目以外其他用于文化和旅游方面的支出。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20）</w:t>
      </w:r>
      <w:r>
        <w:rPr>
          <w:rFonts w:hint="eastAsia" w:ascii="仿宋_GB2312" w:eastAsia="仿宋_GB2312"/>
          <w:sz w:val="28"/>
          <w:szCs w:val="28"/>
          <w:lang w:eastAsia="zh-CN"/>
        </w:rPr>
        <w:t>文化旅游体育与传媒支出（类）文物（款）文物保护（项）：反映考古发掘及文物保护方面的支出。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21）</w:t>
      </w: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w:t>
      </w:r>
      <w:r>
        <w:rPr>
          <w:rFonts w:hint="eastAsia" w:ascii="仿宋_GB2312" w:eastAsia="仿宋_GB2312"/>
          <w:sz w:val="28"/>
          <w:szCs w:val="28"/>
        </w:rPr>
        <w:t>（款）其他民政管理事务支出（项）：</w:t>
      </w:r>
      <w:r>
        <w:rPr>
          <w:rFonts w:hint="eastAsia" w:ascii="仿宋_GB2312" w:eastAsia="仿宋_GB2312"/>
          <w:sz w:val="28"/>
          <w:szCs w:val="28"/>
          <w:lang w:eastAsia="zh-CN"/>
        </w:rPr>
        <w:t>反映除上述项目以外其他用于民政管理事务的支出。</w:t>
      </w:r>
    </w:p>
    <w:p>
      <w:pPr>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22）</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23）</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单位离退休（项）：反映事业单位开支的离退休经费。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24）</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w:t>
      </w:r>
      <w:r>
        <w:rPr>
          <w:rFonts w:hint="eastAsia" w:ascii="仿宋_GB2312" w:eastAsia="仿宋_GB2312"/>
          <w:sz w:val="28"/>
          <w:szCs w:val="28"/>
        </w:rPr>
        <w:t>事业单位</w:t>
      </w:r>
      <w:r>
        <w:rPr>
          <w:rFonts w:hint="eastAsia" w:ascii="仿宋_GB2312" w:eastAsia="仿宋_GB2312"/>
          <w:sz w:val="28"/>
          <w:szCs w:val="28"/>
          <w:lang w:eastAsia="zh-CN"/>
        </w:rPr>
        <w:t>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（25）</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eastAsia="zh-CN"/>
        </w:rPr>
        <w:t>机关</w:t>
      </w:r>
      <w:r>
        <w:rPr>
          <w:rFonts w:hint="eastAsia" w:ascii="仿宋_GB2312" w:eastAsia="仿宋_GB2312"/>
          <w:sz w:val="28"/>
          <w:szCs w:val="28"/>
        </w:rPr>
        <w:t>事业单位</w:t>
      </w:r>
      <w:r>
        <w:rPr>
          <w:rFonts w:hint="eastAsia" w:ascii="仿宋_GB2312" w:eastAsia="仿宋_GB2312"/>
          <w:sz w:val="28"/>
          <w:szCs w:val="28"/>
          <w:lang w:eastAsia="zh-CN"/>
        </w:rPr>
        <w:t>实施养老保险制度由单位实际缴纳的职业年金支出。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（26）</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w:t>
      </w:r>
      <w:r>
        <w:rPr>
          <w:rFonts w:hint="eastAsia" w:ascii="仿宋_GB2312" w:eastAsia="仿宋_GB2312"/>
          <w:sz w:val="28"/>
          <w:szCs w:val="28"/>
        </w:rPr>
        <w:t>（项）：反映</w:t>
      </w:r>
      <w:r>
        <w:rPr>
          <w:rFonts w:hint="eastAsia" w:ascii="仿宋_GB2312" w:eastAsia="仿宋_GB2312"/>
          <w:sz w:val="28"/>
          <w:szCs w:val="28"/>
          <w:lang w:eastAsia="zh-CN"/>
        </w:rPr>
        <w:t>除上述项目以外其他用于</w:t>
      </w:r>
      <w:r>
        <w:rPr>
          <w:rFonts w:hint="eastAsia" w:ascii="仿宋_GB2312" w:eastAsia="仿宋_GB2312"/>
          <w:sz w:val="28"/>
          <w:szCs w:val="28"/>
        </w:rPr>
        <w:t>行政事业单位养老</w:t>
      </w:r>
      <w:r>
        <w:rPr>
          <w:rFonts w:hint="eastAsia" w:ascii="仿宋_GB2312" w:eastAsia="仿宋_GB2312"/>
          <w:sz w:val="28"/>
          <w:szCs w:val="28"/>
          <w:lang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（27）</w:t>
      </w:r>
      <w:r>
        <w:rPr>
          <w:rFonts w:hint="eastAsia" w:ascii="仿宋_GB2312" w:eastAsia="仿宋_GB2312"/>
          <w:sz w:val="28"/>
          <w:szCs w:val="28"/>
        </w:rPr>
        <w:t>社会保障和就业支出（类）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公益性岗位补贴</w:t>
      </w:r>
      <w:r>
        <w:rPr>
          <w:rFonts w:hint="eastAsia" w:ascii="仿宋_GB2312" w:eastAsia="仿宋_GB2312"/>
          <w:sz w:val="28"/>
          <w:szCs w:val="28"/>
        </w:rPr>
        <w:t>（项）：反映</w:t>
      </w:r>
      <w:r>
        <w:rPr>
          <w:rFonts w:hint="eastAsia" w:ascii="仿宋_GB2312" w:eastAsia="仿宋_GB2312"/>
          <w:sz w:val="28"/>
          <w:szCs w:val="28"/>
          <w:lang w:eastAsia="zh-CN"/>
        </w:rPr>
        <w:t>财政对符合条件的就业困难人员在公益性岗位就业给予的岗位补贴支出。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（28）</w:t>
      </w:r>
      <w:r>
        <w:rPr>
          <w:rFonts w:hint="eastAsia" w:ascii="仿宋_GB2312" w:eastAsia="仿宋_GB2312"/>
          <w:sz w:val="28"/>
          <w:szCs w:val="28"/>
        </w:rPr>
        <w:t>社会保障和就业支出（类）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其他就业补助支出</w:t>
      </w:r>
      <w:r>
        <w:rPr>
          <w:rFonts w:hint="eastAsia" w:ascii="仿宋_GB2312" w:eastAsia="仿宋_GB2312"/>
          <w:sz w:val="28"/>
          <w:szCs w:val="28"/>
        </w:rPr>
        <w:t>（项）：反映</w:t>
      </w:r>
      <w:r>
        <w:rPr>
          <w:rFonts w:hint="eastAsia" w:ascii="仿宋_GB2312" w:eastAsia="仿宋_GB2312"/>
          <w:sz w:val="28"/>
          <w:szCs w:val="28"/>
          <w:lang w:eastAsia="zh-CN"/>
        </w:rPr>
        <w:t>除上述项目以外按规定确定的其他用于促进就业的补助支出。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（29）社会保障和就业支出（类）抚恤（款）义务兵优待（项）：反映用于义务兵优待方面的支出。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（30）社会保障和就业支出（类）抚恤（款）其他优抚支出（项）：反映除上述项目以外其他用于优抚方面的支出，包括向优抚对象发放的价格临时补贴、老烈士子女、老党员定期生活补助等支出。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（31）社会保障和就业支出（类）退役安置（款）退役士兵安置（项）：反映按规定用于伤残义务兵的一次性建房补助，对符合条件的退役士兵、转业军官的安置支出。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（32）社会保障和就业支出（类）社会福利（款）老年福利（项）：反映对老年人提供福利服务方面的支出，包括为经济困难的高龄、失能等老年人提供基本养老服务保障的资金补助等支出。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（33）社会保障和就业支出（类）社会福利（款）殡葬（项）：反映殡葬管理和殡葬服务方面的支出，包括民政部门直属的殡仪馆、公墓、殡葬管理服务机构的支出。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34）社会保障和就业支出（类）社会福利（款）养老服务（项）：反映财政在养老服务方面的支出，包括支持居家养老服务、社区养老服务和机构养老服务的支出，对养老服务机构的运营、建设补助支出等，不包括对社会福利事业单位的补助支出。</w:t>
      </w:r>
    </w:p>
    <w:p>
      <w:pPr>
        <w:pStyle w:val="2"/>
        <w:rPr>
          <w:rFonts w:hint="default"/>
          <w:lang w:val="en-US" w:eastAsia="zh-CN"/>
        </w:rPr>
      </w:pP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（35）社会保障和就业支出（类）社会福利（款）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反映除上述项目以其他用于社会福利方面的支出。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（36）</w:t>
      </w:r>
      <w:r>
        <w:rPr>
          <w:rFonts w:hint="eastAsia" w:ascii="仿宋_GB2312" w:eastAsia="仿宋_GB2312"/>
          <w:sz w:val="28"/>
          <w:szCs w:val="28"/>
          <w:highlight w:val="none"/>
          <w:lang w:val="en-US" w:eastAsia="zh-CN"/>
        </w:rPr>
        <w:t>社会保障和就业支出（类）残疾人事业（款）</w:t>
      </w:r>
      <w:r>
        <w:rPr>
          <w:rFonts w:hint="eastAsia" w:ascii="仿宋_GB2312" w:eastAsia="仿宋_GB2312"/>
          <w:sz w:val="28"/>
          <w:szCs w:val="28"/>
          <w:highlight w:val="none"/>
        </w:rPr>
        <w:t>残疾人</w:t>
      </w:r>
      <w:r>
        <w:rPr>
          <w:rFonts w:hint="eastAsia" w:ascii="仿宋_GB2312" w:eastAsia="仿宋_GB2312"/>
          <w:sz w:val="28"/>
          <w:szCs w:val="28"/>
          <w:highlight w:val="none"/>
          <w:lang w:val="en-US" w:eastAsia="zh-CN"/>
        </w:rPr>
        <w:t>体育</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反映残疾人联合会用于残疾人体育方面的支出。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（37）社会保障和就业支出（类）残疾人事业（款）</w:t>
      </w:r>
      <w:r>
        <w:rPr>
          <w:rFonts w:hint="eastAsia" w:ascii="仿宋_GB2312" w:eastAsia="仿宋_GB2312"/>
          <w:sz w:val="28"/>
          <w:szCs w:val="28"/>
        </w:rPr>
        <w:t>残疾人</w:t>
      </w:r>
      <w:r>
        <w:rPr>
          <w:rFonts w:hint="eastAsia" w:ascii="仿宋_GB2312" w:eastAsia="仿宋_GB2312"/>
          <w:sz w:val="28"/>
          <w:szCs w:val="28"/>
          <w:lang w:eastAsia="zh-CN"/>
        </w:rPr>
        <w:t>就业（</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反映残疾人联合会用于残疾人就业方面的支出。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（38）社会保障和就业支出（类）残疾人事业（款）其他残疾人事业支出（项）：反映除上述项目以其他用于残疾人事业方面的支出。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highlight w:val="none"/>
          <w:lang w:val="en-US" w:eastAsia="zh-CN"/>
        </w:rPr>
        <w:t>（39）社</w:t>
      </w:r>
      <w:r>
        <w:rPr>
          <w:rFonts w:hint="eastAsia" w:ascii="仿宋_GB2312" w:eastAsia="仿宋_GB2312"/>
          <w:sz w:val="28"/>
          <w:szCs w:val="28"/>
          <w:lang w:val="en-US" w:eastAsia="zh-CN"/>
        </w:rPr>
        <w:t>会保障和就业支出（类）残疾人事业（款）残疾人生活和护理补贴（项）：反映困难残疾人生活补贴和重度残疾人护理补贴支出。</w:t>
      </w:r>
    </w:p>
    <w:p>
      <w:pPr>
        <w:rPr>
          <w:rFonts w:hint="eastAsia" w:ascii="仿宋_GB2312" w:eastAsia="仿宋_GB2312"/>
          <w:sz w:val="28"/>
          <w:szCs w:val="28"/>
          <w:lang w:val="en-US" w:eastAsia="zh-CN"/>
        </w:rPr>
      </w:pPr>
      <w:r>
        <w:rPr>
          <w:rFonts w:hint="eastAsia" w:ascii="仿宋_GB2312" w:eastAsia="仿宋_GB2312"/>
          <w:sz w:val="28"/>
          <w:szCs w:val="28"/>
          <w:lang w:val="en-US" w:eastAsia="zh-CN"/>
        </w:rPr>
        <w:t xml:space="preserve">   （40）社会保障和就业支出（类）最低生活保障（款）农村最低生活保障金支出（项）：反映用于农村最低生活保障对象的最低生活保障金支出。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（41）社会保障和就业支出（类）临时救助（款）临时救助支出（项）：反映用于城乡生活困难居民的临时救助支出。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（42）社会保障和就业支出（类）特困人员救助供养（款）农村特困人员救助供养支出（项）：反映用于农村特困人员救助供养支出。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（43）社会保障和就业支出（类）其他社会保障和就业支出（款）其他社会保障和就业支出（项）：反映除上述项目以外其他用于社会保障和就业方面的支出。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（44）卫生健康支出（类）基层医疗卫生机构（款）乡镇卫生院（项）：反映用于乡镇卫生院的支出。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（45）卫生健康支出（类）基层医疗卫生机构（款）其他基层医疗卫生机构支出（项）：反映除上述项目以外的其他用于基层医疗卫生机构的支出。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（46）卫生健康支出（类）公共卫生（款）基本公共卫生服务（项）：反映基本公共卫生服务的支出。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（47）卫生健康支出（类）公共卫生（款）重大公共卫生服务（项）：反映重大疾病、重大传染病预防控制等重大公共服务项目支出。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（48）卫生健康支出（类）公共卫生（款）突发公共卫生事件应急处理（项）：反映用于突发公共卫生事件应急处置方面的支出。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（49）卫生健康支出（类）公共卫生（款）其他公共卫生支出（项）：反映除上述项目以外的其他用于公共卫生支出方面的支出。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（50）卫生健康支出（类）中医药（款）中医（民族医）药专项（项）：反映中医（民族医）药方面的专项的支出。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（51）卫生健康支出（类）计划生育事务（款）其他计划生育事务支出（项）：反映除上述项目以外的其他用于计划生育管理事务方面的支出。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53）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（54）卫生健康支出（类）行政事业单位医疗（款）公务员医疗补助（项）：反映财政部门安排的公务员医疗补助经费。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（55）卫生健康支出（类）优抚对象医疗（款）优抚对象医疗补助（项）：反映按规定补助优抚对象的医疗经费。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（56）卫生健康支出（类）其他卫生健康支出（款）其他卫生健康支出（项）：反映除上述项目以外的其他用于卫生健康方面的支出。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（57）节能环保支出（类）污染防治（款）大气（项）：反映政府在治理空气污染、汽车尾气、酸雨、二氧化硫、沙尘暴等方面的支出。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（58）节能环保支出（类）污染防治（款）水体（项）：反映政府在排水、污水处理、水污染防治、湖库生态环境保护、水源地保护、国土江河综合整治、河流治理与保护、地下水修复与保护等方面的支出。</w:t>
      </w:r>
    </w:p>
    <w:p>
      <w:pPr>
        <w:pStyle w:val="2"/>
        <w:rPr>
          <w:rFonts w:hint="eastAsia"/>
          <w:lang w:val="en-US" w:eastAsia="zh-CN"/>
        </w:rPr>
      </w:pP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（59）城乡社区支出（类）城乡社区管理事务（款）城管执法（项）：反映城市管理综合行政执法、加强城市市容和环境卫生管理等方面的支出。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（60）城乡社区支出（类）城乡社区管理事务（款）其他城乡社区管理事务支出（项）：反映除上述项目以外的其他用于城乡社区管理事务方面的支出。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（61）城乡社区支出（类）城乡社区规划与管理（款）城乡社区规划与管理（项）：反映城乡社区、防灾减灾、历史名城规划制定与管理等方面的支出。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（62）城乡社区支出（类）城乡社区公共设施（款）其他城乡社区公共设施支出（项）：反映除上述项目以外的其他用于城乡社区公共设施方面的支出。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（63）城乡社区支出（类）城乡社区环境卫生（款）城乡社区环境卫生（项）：反映城乡社区道路清扫、垃圾清运与处理、公厕建设与维护、园林绿化等方面的支出。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64）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（65）城乡社区支出（类）国有土地使用权出让收入安排的支出（款）城市建设支出（项）：反映土地出让收人用于完善国有土地使用功能的配套设施建设和城市基础设施建设支出。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66）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67）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（68）城乡社区支出（类）国有土地使用权出让收入安排的支出（款）农业农村生态环境支出（项）：反映土地出让收入用于农村人居环境整治、与农业农村直接相关的山水林田湖草生态保护修复等方面的支出。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lang w:val="en-US" w:eastAsia="zh-CN"/>
        </w:rPr>
        <w:t>（69）</w:t>
      </w:r>
      <w:r>
        <w:rPr>
          <w:rFonts w:hint="eastAsia" w:ascii="仿宋_GB2312" w:eastAsia="仿宋_GB2312"/>
          <w:sz w:val="28"/>
          <w:szCs w:val="28"/>
          <w:highlight w:val="none"/>
          <w:lang w:val="en-US" w:eastAsia="zh-CN"/>
        </w:rPr>
        <w:t>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（70）农林水支出（类）农业农村（款）农产品质量安全（项）：反映用于农产品及其投入品的质量安全评估、监测、抽查、认证、应急处置，相关标准的制定、修订、实施、监管等方面的支出。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（71）农林水支出（类）农业农村（款）农业生产发展（项）：反映用于耕地地力保护、适度规模经营、农机购置与应用补贴、优势特色主导产业发展、畜牧水产发展、农村一-三产业和命兴融合等方面的支出。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（72）农林水支出（类）农业农村（款）农村社会事业（项）：反映用于农村社会事业发展的支出。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（73）农林水支出（类）农业农村（款）农业生态资源保护（项）：反映用于草原草场利用，渔业水域资源环境保护，农业品种改良提升，以及农业生物资源调研收集、鉴定评价、保存利用等方面的支出。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（74）农林水支出（类）农业农村（款）耕地建设与利用（项）：反映用于农田建设和田间水利相关工程建设、盐碱地综合利用、黑土地保护、耕地轮作休耕、耕地质量提升等方面的支出。</w:t>
      </w:r>
    </w:p>
    <w:p>
      <w:pP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   （75）农林水支出（类）农业农村（款）其他农业农村支出（项）：反映除上述项目以外其他用于农业农村方面的支出。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（76）农林水支出（类）林业和草原（款）森林资源培育（项）：反映育苗(种)、造林、抚育、退化林修复、义务植树以及生物质能源建设等方面的支出。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（77）农林水支出（类）林业和草原（款）林业草原防灾减灾（项）：反映用于病虫害等有害生物灾害、森林草原防火、野生动物疫病灾害等方面的支出。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（78）农林水支出（类）林业和草原（款）其他林业和草原支出（项）：反映除上述项目以外其他用于林业和草原方面的支出。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（79）农林水支出（类）水利（款）水资源节约管理与保护（项）：反映水资源节约、监管、配置、调度、保护和基础管理工作的支出。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（80）农林水支出（类）水利（款）其他水利支出（项）：反映除上述项目以外其他用于水利方面的支出。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（81）农林水支出（类）农村综合改革（款）对村民委员会和村党支部的补助（项）：反映各级财政对村民委员会和村党支部的补助支出，以及支持建立县级基本财力保障机制安排的村级组织运转奖补资金。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（82）农林水支出（类）普惠金融发展支出（款）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（83）交通运输支出（类）铁路运输（款）</w:t>
      </w:r>
      <w:r>
        <w:rPr>
          <w:rFonts w:hint="eastAsia" w:ascii="仿宋_GB2312" w:eastAsia="仿宋_GB2312"/>
          <w:sz w:val="28"/>
          <w:szCs w:val="28"/>
          <w:highlight w:val="none"/>
        </w:rPr>
        <w:t>铁路安全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反映涉及铁路安全方面的支出。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（84）自然资源海洋气象等支出（类）自然资源事务（款）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（85）住房保障支出（类）住房改革支出（款）</w:t>
      </w:r>
      <w:r>
        <w:rPr>
          <w:rFonts w:hint="eastAsia" w:ascii="仿宋_GB2312" w:eastAsia="仿宋_GB2312"/>
          <w:sz w:val="28"/>
          <w:szCs w:val="28"/>
          <w:highlight w:val="none"/>
        </w:rPr>
        <w:t>住房公积金</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反映行政事业单位按人力资源和社会保障部、财政部规定的基本工资和津贴补贴以及规定比例为职工缴纳的住房公积金。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（86）住房保障支出（类）住房改革支出（款）</w:t>
      </w:r>
      <w:r>
        <w:rPr>
          <w:rFonts w:hint="eastAsia" w:ascii="仿宋_GB2312" w:eastAsia="仿宋_GB2312"/>
          <w:sz w:val="28"/>
          <w:szCs w:val="28"/>
          <w:highlight w:val="none"/>
        </w:rPr>
        <w:t>购房补贴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反映按房改政策规定，行政事业单位向符合条件职工（含退休人员）、军队（含武警）向转役复员离退休人员发放的用于购买住房的补贴。</w:t>
      </w:r>
    </w:p>
    <w:p>
      <w:pPr>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 xml:space="preserve">   （87）灾害防治及应急管理支出（类）应急管理事务（款）安全监管（项）：反映安全生产综合监督管理和工贸行业安全生产监督管理方面的支出。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（88）其他支出（类）彩票公益金安排的支出（款）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反映用于用于体育事业的彩票公益金支出。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hint="eastAsia" w:ascii="黑体" w:eastAsia="黑体"/>
          <w:sz w:val="28"/>
          <w:szCs w:val="28"/>
        </w:rPr>
      </w:pPr>
    </w:p>
    <w:p>
      <w:pPr>
        <w:ind w:firstLine="560" w:firstLineChars="200"/>
        <w:rPr>
          <w:rFonts w:hint="eastAsia" w:ascii="黑体" w:eastAsia="黑体"/>
          <w:sz w:val="28"/>
          <w:szCs w:val="28"/>
        </w:rPr>
      </w:pPr>
      <w:r>
        <w:rPr>
          <w:rFonts w:hint="eastAsia" w:ascii="黑体" w:eastAsia="黑体"/>
          <w:sz w:val="28"/>
          <w:szCs w:val="28"/>
        </w:rPr>
        <w:t>一</w:t>
      </w:r>
      <w:r>
        <w:rPr>
          <w:rFonts w:ascii="黑体" w:eastAsia="黑体"/>
          <w:sz w:val="28"/>
          <w:szCs w:val="28"/>
        </w:rPr>
        <w:t>、</w:t>
      </w:r>
      <w:r>
        <w:rPr>
          <w:rFonts w:hint="eastAsia" w:ascii="黑体" w:eastAsia="黑体"/>
          <w:sz w:val="28"/>
          <w:szCs w:val="28"/>
        </w:rPr>
        <w:t>部门整体绩效评价报告</w:t>
      </w:r>
    </w:p>
    <w:p>
      <w:pPr>
        <w:ind w:firstLine="560" w:firstLineChars="200"/>
        <w:rPr>
          <w:rFonts w:hint="eastAsia" w:ascii="黑体" w:eastAsia="黑体"/>
          <w:sz w:val="28"/>
          <w:szCs w:val="28"/>
        </w:rPr>
      </w:pPr>
      <w:r>
        <w:rPr>
          <w:rFonts w:hint="eastAsia" w:ascii="黑体" w:eastAsia="黑体"/>
          <w:sz w:val="28"/>
          <w:szCs w:val="28"/>
        </w:rPr>
        <w:t>二</w:t>
      </w:r>
      <w:r>
        <w:rPr>
          <w:rFonts w:ascii="黑体" w:eastAsia="黑体"/>
          <w:sz w:val="28"/>
          <w:szCs w:val="28"/>
        </w:rPr>
        <w:t>、</w:t>
      </w:r>
      <w:r>
        <w:rPr>
          <w:rFonts w:hint="eastAsia" w:ascii="黑体" w:eastAsia="黑体"/>
          <w:sz w:val="28"/>
          <w:szCs w:val="28"/>
        </w:rPr>
        <w:t>项目支出部门绩效评价报告</w:t>
      </w:r>
    </w:p>
    <w:p>
      <w:pPr>
        <w:ind w:firstLine="560" w:firstLineChars="200"/>
        <w:rPr>
          <w:rFonts w:hint="eastAsia" w:ascii="黑体" w:eastAsia="黑体"/>
          <w:sz w:val="28"/>
          <w:szCs w:val="28"/>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580" w:lineRule="exact"/>
        <w:ind w:firstLine="560" w:firstLineChars="200"/>
        <w:rPr>
          <w:rFonts w:hint="eastAsia" w:ascii="仿宋_GB2312" w:hAnsi="仿宋_GB2312" w:eastAsia="仿宋_GB2312" w:cs="仿宋_GB2312"/>
          <w:sz w:val="28"/>
          <w:szCs w:val="28"/>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560" w:lineRule="exact"/>
        <w:jc w:val="left"/>
        <w:rPr>
          <w:rFonts w:hint="eastAsia" w:ascii="方正黑体_GBK" w:hAnsi="方正黑体_GBK" w:eastAsia="方正黑体_GBK" w:cs="方正黑体_GBK"/>
          <w:sz w:val="32"/>
          <w:szCs w:val="32"/>
        </w:rPr>
      </w:pPr>
    </w:p>
    <w:p>
      <w:pPr>
        <w:spacing w:line="560" w:lineRule="exact"/>
        <w:jc w:val="left"/>
        <w:rPr>
          <w:rFonts w:hint="eastAsia" w:ascii="方正黑体_GBK" w:hAnsi="方正黑体_GBK" w:eastAsia="方正黑体_GBK" w:cs="方正黑体_GBK"/>
          <w:sz w:val="32"/>
          <w:szCs w:val="32"/>
        </w:rPr>
      </w:pPr>
    </w:p>
    <w:p>
      <w:pPr>
        <w:pStyle w:val="2"/>
        <w:rPr>
          <w:rFonts w:hint="eastAsia" w:ascii="方正黑体_GBK" w:hAnsi="方正黑体_GBK" w:eastAsia="方正黑体_GBK" w:cs="方正黑体_GBK"/>
          <w:sz w:val="32"/>
          <w:szCs w:val="32"/>
        </w:rPr>
      </w:pPr>
    </w:p>
    <w:p>
      <w:pPr>
        <w:pStyle w:val="2"/>
        <w:rPr>
          <w:rFonts w:hint="eastAsia" w:ascii="方正黑体_GBK" w:hAnsi="方正黑体_GBK" w:eastAsia="方正黑体_GBK" w:cs="方正黑体_GBK"/>
          <w:sz w:val="32"/>
          <w:szCs w:val="32"/>
        </w:rPr>
      </w:pPr>
    </w:p>
    <w:p>
      <w:pPr>
        <w:spacing w:line="480" w:lineRule="exact"/>
        <w:jc w:val="center"/>
        <w:rPr>
          <w:rFonts w:hint="eastAsia" w:ascii="宋体" w:hAnsi="宋体" w:cs="宋体"/>
          <w:b/>
          <w:bCs/>
          <w:sz w:val="32"/>
          <w:szCs w:val="32"/>
        </w:rPr>
      </w:pPr>
      <w:r>
        <w:rPr>
          <w:rFonts w:hint="eastAsia" w:ascii="宋体" w:hAnsi="宋体" w:cs="宋体"/>
          <w:b/>
          <w:bCs/>
          <w:sz w:val="32"/>
          <w:szCs w:val="32"/>
        </w:rPr>
        <w:t>部门整体绩效评价报告</w:t>
      </w:r>
    </w:p>
    <w:p>
      <w:pPr>
        <w:spacing w:line="480" w:lineRule="exact"/>
        <w:jc w:val="center"/>
        <w:rPr>
          <w:rFonts w:ascii="仿宋_GB2312"/>
          <w:szCs w:val="30"/>
        </w:rPr>
      </w:pPr>
    </w:p>
    <w:p>
      <w:pPr>
        <w:spacing w:line="480" w:lineRule="exact"/>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一、部门概况</w:t>
      </w:r>
    </w:p>
    <w:p>
      <w:p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（一）机构设置及职责工作任务情况</w:t>
      </w:r>
    </w:p>
    <w:p>
      <w:pPr>
        <w:spacing w:line="580" w:lineRule="exact"/>
        <w:ind w:left="560"/>
        <w:rPr>
          <w:rFonts w:hint="eastAsia" w:ascii="仿宋_GB2312" w:eastAsia="仿宋_GB2312"/>
          <w:kern w:val="0"/>
          <w:sz w:val="28"/>
          <w:szCs w:val="28"/>
        </w:rPr>
      </w:pPr>
      <w:r>
        <w:rPr>
          <w:rFonts w:hint="eastAsia" w:ascii="仿宋_GB2312" w:eastAsia="仿宋_GB2312"/>
          <w:kern w:val="0"/>
          <w:sz w:val="28"/>
          <w:szCs w:val="28"/>
          <w:lang w:val="en-US" w:eastAsia="zh-CN"/>
        </w:rPr>
        <w:t>1.</w:t>
      </w:r>
      <w:r>
        <w:rPr>
          <w:rFonts w:hint="eastAsia" w:ascii="仿宋_GB2312" w:eastAsia="仿宋_GB2312"/>
          <w:kern w:val="0"/>
          <w:sz w:val="28"/>
          <w:szCs w:val="28"/>
        </w:rPr>
        <w:t>单位性质、机构设置及人员情况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hAnsi="Times New Roman" w:eastAsia="仿宋_GB2312" w:cs="Times New Roman"/>
          <w:kern w:val="0"/>
          <w:sz w:val="28"/>
          <w:szCs w:val="28"/>
        </w:rPr>
        <w:t>安定镇人民政府为行政机关单位，内设机构</w:t>
      </w:r>
      <w:r>
        <w:rPr>
          <w:rFonts w:hint="eastAsia" w:ascii="仿宋_GB2312" w:hAnsi="Times New Roman" w:eastAsia="仿宋_GB2312" w:cs="Times New Roman"/>
          <w:kern w:val="0"/>
          <w:sz w:val="28"/>
          <w:szCs w:val="28"/>
          <w:lang w:val="en-US" w:eastAsia="zh-CN"/>
        </w:rPr>
        <w:t>8</w:t>
      </w:r>
      <w:r>
        <w:rPr>
          <w:rFonts w:hint="eastAsia" w:ascii="仿宋_GB2312" w:hAnsi="Times New Roman" w:eastAsia="仿宋_GB2312" w:cs="Times New Roman"/>
          <w:kern w:val="0"/>
          <w:sz w:val="28"/>
          <w:szCs w:val="28"/>
        </w:rPr>
        <w:t>个，包括</w:t>
      </w:r>
      <w:r>
        <w:rPr>
          <w:rFonts w:hint="eastAsia" w:ascii="仿宋_GB2312" w:hAnsi="仿宋_GB2312" w:eastAsia="仿宋_GB2312" w:cs="仿宋_GB2312"/>
          <w:color w:val="auto"/>
          <w:kern w:val="0"/>
          <w:sz w:val="28"/>
          <w:szCs w:val="28"/>
          <w:highlight w:val="none"/>
          <w:lang w:eastAsia="zh-CN"/>
        </w:rPr>
        <w:t>：区监委派出安定镇监察办公室、</w:t>
      </w:r>
      <w:r>
        <w:rPr>
          <w:rFonts w:hint="eastAsia" w:ascii="仿宋_GB2312" w:hAnsi="仿宋_GB2312" w:eastAsia="仿宋_GB2312" w:cs="仿宋_GB2312"/>
          <w:color w:val="auto"/>
          <w:kern w:val="0"/>
          <w:sz w:val="28"/>
          <w:szCs w:val="28"/>
          <w:highlight w:val="none"/>
          <w:lang w:val="en-US" w:eastAsia="zh-CN"/>
        </w:rPr>
        <w:t>党群工作办公室、平安建设办公室、城乡建设办公室、农业农村办公室、经济发展办公室、民生保障和社区建设办公室、综合保障办公</w:t>
      </w:r>
      <w:r>
        <w:rPr>
          <w:rFonts w:hint="eastAsia" w:ascii="仿宋_GB2312" w:hAnsi="Times New Roman" w:eastAsia="仿宋_GB2312" w:cs="Times New Roman"/>
          <w:kern w:val="0"/>
          <w:sz w:val="28"/>
          <w:szCs w:val="28"/>
          <w:lang w:val="en-US" w:eastAsia="zh-CN"/>
        </w:rPr>
        <w:t>室；</w:t>
      </w:r>
      <w:r>
        <w:rPr>
          <w:rFonts w:hint="eastAsia" w:ascii="仿宋_GB2312" w:hAnsi="Times New Roman" w:eastAsia="仿宋_GB2312" w:cs="Times New Roman"/>
          <w:kern w:val="0"/>
          <w:sz w:val="28"/>
          <w:szCs w:val="28"/>
        </w:rPr>
        <w:t>所属机构</w:t>
      </w:r>
      <w:r>
        <w:rPr>
          <w:rFonts w:hint="eastAsia" w:ascii="仿宋_GB2312" w:hAnsi="Times New Roman" w:eastAsia="仿宋_GB2312" w:cs="Times New Roman"/>
          <w:kern w:val="0"/>
          <w:sz w:val="28"/>
          <w:szCs w:val="28"/>
          <w:lang w:val="en-US" w:eastAsia="zh-CN"/>
        </w:rPr>
        <w:t>6</w:t>
      </w:r>
      <w:r>
        <w:rPr>
          <w:rFonts w:hint="eastAsia" w:ascii="仿宋_GB2312" w:hAnsi="Times New Roman" w:eastAsia="仿宋_GB2312" w:cs="Times New Roman"/>
          <w:kern w:val="0"/>
          <w:sz w:val="28"/>
          <w:szCs w:val="28"/>
        </w:rPr>
        <w:t>个</w:t>
      </w:r>
      <w:r>
        <w:rPr>
          <w:rFonts w:hint="eastAsia" w:ascii="仿宋_GB2312" w:hAnsi="Times New Roman" w:eastAsia="仿宋_GB2312" w:cs="Times New Roman"/>
          <w:kern w:val="0"/>
          <w:sz w:val="28"/>
          <w:szCs w:val="28"/>
          <w:lang w:eastAsia="zh-CN"/>
        </w:rPr>
        <w:t>，</w:t>
      </w:r>
      <w:r>
        <w:rPr>
          <w:rFonts w:hint="eastAsia" w:ascii="仿宋_GB2312" w:hAnsi="Times New Roman" w:eastAsia="仿宋_GB2312" w:cs="Times New Roman"/>
          <w:kern w:val="0"/>
          <w:sz w:val="28"/>
          <w:szCs w:val="28"/>
        </w:rPr>
        <w:t>包括</w:t>
      </w:r>
      <w:r>
        <w:rPr>
          <w:rFonts w:hint="eastAsia" w:ascii="仿宋_GB2312" w:hAnsi="Times New Roman" w:eastAsia="仿宋_GB2312" w:cs="Times New Roman"/>
          <w:kern w:val="0"/>
          <w:sz w:val="28"/>
          <w:szCs w:val="28"/>
          <w:lang w:val="en-US" w:eastAsia="zh-CN"/>
        </w:rPr>
        <w:t>市民活动中心、市民诉求处置中心、便民服务中心、城镇建设服务中心、产业发展服务中心、综合行政执法队，</w:t>
      </w:r>
      <w:r>
        <w:rPr>
          <w:rFonts w:hint="eastAsia" w:ascii="仿宋_GB2312" w:hAnsi="Times New Roman" w:eastAsia="仿宋_GB2312" w:cs="Times New Roman"/>
          <w:kern w:val="0"/>
          <w:sz w:val="28"/>
          <w:szCs w:val="28"/>
        </w:rPr>
        <w:t>及安定卫生院1个事业单位</w:t>
      </w:r>
      <w:r>
        <w:rPr>
          <w:rFonts w:hint="eastAsia" w:ascii="仿宋_GB2312" w:hAnsi="Times New Roman" w:eastAsia="仿宋_GB2312" w:cs="Times New Roman"/>
          <w:kern w:val="0"/>
          <w:sz w:val="28"/>
          <w:szCs w:val="28"/>
          <w:lang w:eastAsia="zh-CN"/>
        </w:rPr>
        <w:t>。</w:t>
      </w:r>
    </w:p>
    <w:p>
      <w:pPr>
        <w:spacing w:line="620" w:lineRule="exact"/>
        <w:ind w:firstLine="560" w:firstLineChars="200"/>
        <w:rPr>
          <w:rFonts w:hint="eastAsia" w:ascii="仿宋_GB2312" w:eastAsia="仿宋_GB2312"/>
          <w:color w:val="000000"/>
          <w:sz w:val="28"/>
          <w:szCs w:val="28"/>
        </w:rPr>
      </w:pPr>
      <w:r>
        <w:rPr>
          <w:rFonts w:hint="eastAsia" w:ascii="仿宋_GB2312" w:eastAsia="仿宋_GB2312"/>
          <w:sz w:val="28"/>
          <w:szCs w:val="28"/>
          <w:lang w:val="en-US" w:eastAsia="zh-CN"/>
        </w:rPr>
        <w:t>2.</w:t>
      </w:r>
      <w:r>
        <w:rPr>
          <w:rFonts w:hint="eastAsia" w:ascii="仿宋_GB2312" w:eastAsia="仿宋_GB2312"/>
          <w:sz w:val="28"/>
          <w:szCs w:val="28"/>
        </w:rPr>
        <w:t>职责工作任务情况</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1）</w:t>
      </w:r>
      <w:r>
        <w:rPr>
          <w:rFonts w:hint="eastAsia" w:ascii="仿宋_GB2312" w:eastAsia="仿宋_GB2312"/>
          <w:color w:val="000000"/>
          <w:sz w:val="28"/>
          <w:szCs w:val="28"/>
        </w:rPr>
        <w:t>贯彻执行国家的法律、法规、规章和市、区人民政府的决定、命令、指示。</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2）</w:t>
      </w:r>
      <w:r>
        <w:rPr>
          <w:rFonts w:hint="eastAsia" w:ascii="仿宋_GB2312" w:eastAsia="仿宋_GB2312"/>
          <w:color w:val="000000"/>
          <w:sz w:val="28"/>
          <w:szCs w:val="28"/>
        </w:rPr>
        <w:t>执行本镇人民代表大会的各项决议。</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制定全镇经济社会发展中、长期规划和年度计划，并组织实施。</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4）</w:t>
      </w:r>
      <w:r>
        <w:rPr>
          <w:rFonts w:hint="eastAsia" w:ascii="仿宋_GB2312" w:eastAsia="仿宋_GB2312"/>
          <w:color w:val="000000"/>
          <w:sz w:val="28"/>
          <w:szCs w:val="28"/>
        </w:rPr>
        <w:t>负责辖区内的经济、教育、科学、文化、体育、卫生、人口和计划生育、财政工作和民政、优抚、残疾人的服务管理、劳动和社会保障、住房保障等工作。</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5）</w:t>
      </w:r>
      <w:r>
        <w:rPr>
          <w:rFonts w:hint="eastAsia" w:ascii="仿宋_GB2312" w:eastAsia="仿宋_GB2312"/>
          <w:color w:val="000000"/>
          <w:sz w:val="28"/>
          <w:szCs w:val="28"/>
        </w:rPr>
        <w:t>负责辖区内社会建设工作和社区建设与管理工作。</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6）</w:t>
      </w:r>
      <w:r>
        <w:rPr>
          <w:rFonts w:hint="eastAsia" w:ascii="仿宋_GB2312" w:eastAsia="仿宋_GB2312"/>
          <w:color w:val="000000"/>
          <w:sz w:val="28"/>
          <w:szCs w:val="28"/>
        </w:rPr>
        <w:t>负责辖区内农村和城镇的规划建设与管理工作。</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7）</w:t>
      </w:r>
      <w:r>
        <w:rPr>
          <w:rFonts w:hint="eastAsia" w:ascii="仿宋_GB2312" w:eastAsia="仿宋_GB2312"/>
          <w:color w:val="000000"/>
          <w:sz w:val="28"/>
          <w:szCs w:val="28"/>
        </w:rPr>
        <w:t>负责公安、司法、社会治安综合治理以及环保、环卫、交通、能源、安全、防火、防汛等工作。</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8）</w:t>
      </w:r>
      <w:r>
        <w:rPr>
          <w:rFonts w:hint="eastAsia" w:ascii="仿宋_GB2312" w:eastAsia="仿宋_GB2312"/>
          <w:color w:val="000000"/>
          <w:sz w:val="28"/>
          <w:szCs w:val="28"/>
        </w:rPr>
        <w:t>保护全民所有和集体所有财产，保护公民私人所有的合法财产，维护社会秩序，保障公民的人身权利、民主权利和其他权利，保护各种经济组织的合法权益，保障少数民族的权利和尊重少数民族的风俗习惯。</w:t>
      </w:r>
    </w:p>
    <w:p>
      <w:pPr>
        <w:widowControl/>
        <w:spacing w:before="156" w:beforeLines="50" w:after="156" w:afterLines="50" w:line="560" w:lineRule="exact"/>
        <w:ind w:firstLine="560" w:firstLineChars="200"/>
        <w:jc w:val="both"/>
        <w:rPr>
          <w:rFonts w:hint="eastAsia" w:ascii="仿宋_GB2312" w:eastAsia="仿宋_GB2312"/>
          <w:color w:val="000000"/>
          <w:sz w:val="28"/>
          <w:szCs w:val="28"/>
        </w:rPr>
      </w:pP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9）</w:t>
      </w:r>
      <w:r>
        <w:rPr>
          <w:rFonts w:hint="eastAsia" w:ascii="仿宋_GB2312" w:eastAsia="仿宋_GB2312"/>
          <w:color w:val="000000"/>
          <w:sz w:val="28"/>
          <w:szCs w:val="28"/>
        </w:rPr>
        <w:t>保障宪法和法律赋予妇女的男女平等、同工同酬和婚姻自由等各项权利。</w:t>
      </w:r>
    </w:p>
    <w:p>
      <w:pPr>
        <w:tabs>
          <w:tab w:val="center" w:pos="6979"/>
        </w:tabs>
        <w:spacing w:line="580" w:lineRule="exact"/>
        <w:ind w:firstLine="565" w:firstLineChars="202"/>
        <w:rPr>
          <w:rFonts w:hint="eastAsia" w:ascii="仿宋_GB2312" w:eastAsia="仿宋_GB2312"/>
          <w:color w:val="000000"/>
          <w:sz w:val="28"/>
          <w:szCs w:val="28"/>
        </w:rPr>
      </w:pPr>
      <w:r>
        <w:rPr>
          <w:rFonts w:hint="eastAsia" w:ascii="仿宋_GB2312" w:eastAsia="仿宋_GB2312"/>
          <w:color w:val="000000"/>
          <w:sz w:val="28"/>
          <w:szCs w:val="28"/>
          <w:lang w:val="en-US" w:eastAsia="zh-CN"/>
        </w:rPr>
        <w:t>（10）</w:t>
      </w:r>
      <w:r>
        <w:rPr>
          <w:rFonts w:hint="eastAsia" w:ascii="仿宋_GB2312" w:eastAsia="仿宋_GB2312"/>
          <w:color w:val="000000"/>
          <w:sz w:val="28"/>
          <w:szCs w:val="28"/>
        </w:rPr>
        <w:t>完成上级人民政府交办的其他任务。</w:t>
      </w:r>
    </w:p>
    <w:p>
      <w:pPr>
        <w:pStyle w:val="2"/>
        <w:rPr>
          <w:rFonts w:hint="eastAsia"/>
        </w:rPr>
      </w:pPr>
    </w:p>
    <w:p>
      <w:pPr>
        <w:numPr>
          <w:ilvl w:val="0"/>
          <w:numId w:val="1"/>
        </w:numPr>
        <w:spacing w:line="4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部门整体绩效目标设立情况。</w:t>
      </w:r>
    </w:p>
    <w:p>
      <w:pPr>
        <w:keepNext w:val="0"/>
        <w:keepLines w:val="0"/>
        <w:pageBreakBefore w:val="0"/>
        <w:widowControl/>
        <w:numPr>
          <w:ilvl w:val="0"/>
          <w:numId w:val="0"/>
        </w:numPr>
        <w:kinsoku/>
        <w:wordWrap/>
        <w:overflowPunct/>
        <w:topLinePunct w:val="0"/>
        <w:autoSpaceDE/>
        <w:autoSpaceDN/>
        <w:bidi w:val="0"/>
        <w:adjustRightInd/>
        <w:spacing w:before="156" w:beforeLines="50" w:after="156" w:afterLines="50" w:line="560" w:lineRule="exact"/>
        <w:jc w:val="both"/>
        <w:textAlignment w:val="auto"/>
        <w:rPr>
          <w:rFonts w:hint="eastAsia" w:ascii="仿宋_GB2312" w:hAnsi="仿宋_GB2312" w:eastAsia="仿宋_GB2312" w:cs="仿宋_GB2312"/>
          <w:color w:val="000000"/>
          <w:sz w:val="28"/>
          <w:szCs w:val="28"/>
          <w:highlight w:val="none"/>
          <w:lang w:val="en-US" w:eastAsia="zh-CN"/>
        </w:rPr>
      </w:pPr>
      <w:r>
        <w:rPr>
          <w:rFonts w:hint="eastAsia" w:ascii="仿宋_GB2312" w:hAnsi="仿宋_GB2312" w:eastAsia="仿宋_GB2312" w:cs="仿宋_GB2312"/>
          <w:color w:val="000000"/>
          <w:sz w:val="28"/>
          <w:szCs w:val="28"/>
          <w:highlight w:val="none"/>
          <w:lang w:val="en-US" w:eastAsia="zh-CN"/>
        </w:rPr>
        <w:t xml:space="preserve">    1.投资促进：坚持强产业、优服务，凝聚经济发展新动能。一是全力以赴抓招商。积极主动“走出去”“请进来”，拓展招商引资渠道，推动更多大项目、好项目进驻我镇。二是坚定不移推项目。坚持“项目为王”的理念，积极向上争取资金，提高项目开工率、竣工率、投产率。三是贴心尽心优服务。不断完善企业“服务包”制度，加大企业走访服务力度，提供“保姆式”服务，为企业投资兴业保驾护航。</w:t>
      </w:r>
    </w:p>
    <w:p>
      <w:pPr>
        <w:pStyle w:val="2"/>
        <w:keepNext w:val="0"/>
        <w:keepLines w:val="0"/>
        <w:pageBreakBefore w:val="0"/>
        <w:numPr>
          <w:ilvl w:val="0"/>
          <w:numId w:val="0"/>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2.基层治理：坚持强基础、优环境，构建城乡融合新格局。一是做深做实乡村振兴。依托本级财力和积极向上争取资金，着力在美丽乡村、基础设施、公共服务等方面一体化推进。二是做精做细环境治理。严格落实农村人居环境长效管护机制，统筹抓好公厕管护、生活污水治理、垃圾分类等，持续巩固“双创”成果。三是做强做优现代农业。依托古桑资源优势，全力推进“桑资源综合利用开发”，持续延伸桑产业发展链条。</w:t>
      </w:r>
    </w:p>
    <w:p>
      <w:pPr>
        <w:pStyle w:val="2"/>
        <w:keepNext w:val="0"/>
        <w:keepLines w:val="0"/>
        <w:pageBreakBefore w:val="0"/>
        <w:numPr>
          <w:ilvl w:val="0"/>
          <w:numId w:val="0"/>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3.民生保障：坚持惠民生、增福祉，实现社会事业取得新成效。一是持续加强民生保障。完善困难群众救助帮扶机制，健全残疾人关爱服务体系，建立村级温馨家园1家，不断夯实社会群体社会保障基础。二是持续推进文化惠民。举办第二十三届桑椹旅游文化节，同步开发更多精品旅游线路，加强对外宣传推介，提升古桑品牌文化影响力。三是持续深化为民服务。加大就业帮扶力度，常态化开展职业技能培训；全力推动“政务好差评”制度走深走实，提高群众办事获得感。</w:t>
      </w:r>
    </w:p>
    <w:p>
      <w:pPr>
        <w:pStyle w:val="2"/>
        <w:keepNext w:val="0"/>
        <w:keepLines w:val="0"/>
        <w:pageBreakBefore w:val="0"/>
        <w:numPr>
          <w:ilvl w:val="0"/>
          <w:numId w:val="0"/>
        </w:numPr>
        <w:kinsoku/>
        <w:wordWrap/>
        <w:overflowPunct/>
        <w:topLinePunct w:val="0"/>
        <w:autoSpaceDE/>
        <w:autoSpaceDN/>
        <w:bidi w:val="0"/>
        <w:adjustRightInd/>
        <w:spacing w:line="560" w:lineRule="exac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 xml:space="preserve">   4.平安建设：坚持防风险、强治理，构建社会治理新格局。一是提升平安建设成效。依托综合指挥调度中心和智慧社区建设，实现对矛盾风险的实时监控、综合分析、指挥处置，让智慧管理为基层治理赋能增效。二是防范化解风险隐患。强化矛盾纠纷调处，全力化解信访积案。加强社会治安整体防控，常态化开展扫黑除恶，严厉打击电信网络诈骗、非法集资、恶意欠薪等违法行为，提升基层治理水平。三是巩固安全生产防线。严格落实安全生产责任制，加大精准执法力度，常态化开展安全生产大检查，加强对重点行业、重点领域安全监管，严防安全事故发生。</w:t>
      </w:r>
    </w:p>
    <w:p>
      <w:pPr>
        <w:spacing w:line="480" w:lineRule="exact"/>
        <w:ind w:firstLine="560" w:firstLineChars="200"/>
        <w:rPr>
          <w:rFonts w:ascii="黑体" w:hAnsi="黑体" w:eastAsia="黑体" w:cs="宋体"/>
          <w:color w:val="000000"/>
          <w:kern w:val="0"/>
          <w:sz w:val="28"/>
          <w:szCs w:val="28"/>
        </w:rPr>
      </w:pPr>
      <w:r>
        <w:rPr>
          <w:rFonts w:hint="eastAsia" w:ascii="黑体" w:hAnsi="黑体" w:eastAsia="黑体" w:cs="宋体"/>
          <w:color w:val="000000"/>
          <w:kern w:val="0"/>
          <w:sz w:val="28"/>
          <w:szCs w:val="28"/>
        </w:rPr>
        <w:t>二</w:t>
      </w:r>
      <w:r>
        <w:rPr>
          <w:rFonts w:ascii="黑体" w:hAnsi="黑体" w:eastAsia="黑体" w:cs="宋体"/>
          <w:color w:val="000000"/>
          <w:kern w:val="0"/>
          <w:sz w:val="28"/>
          <w:szCs w:val="28"/>
        </w:rPr>
        <w:t>、</w:t>
      </w:r>
      <w:r>
        <w:rPr>
          <w:rFonts w:hint="eastAsia" w:ascii="黑体" w:hAnsi="黑体" w:eastAsia="黑体" w:cs="宋体"/>
          <w:color w:val="000000"/>
          <w:kern w:val="0"/>
          <w:sz w:val="28"/>
          <w:szCs w:val="28"/>
        </w:rPr>
        <w:t>当年</w:t>
      </w:r>
      <w:r>
        <w:rPr>
          <w:rFonts w:ascii="黑体" w:hAnsi="黑体" w:eastAsia="黑体" w:cs="宋体"/>
          <w:color w:val="000000"/>
          <w:kern w:val="0"/>
          <w:sz w:val="28"/>
          <w:szCs w:val="28"/>
        </w:rPr>
        <w:t>预算执行情况</w:t>
      </w:r>
    </w:p>
    <w:p>
      <w:pPr>
        <w:spacing w:line="480" w:lineRule="exact"/>
        <w:ind w:firstLine="560" w:firstLineChars="200"/>
        <w:rPr>
          <w:rFonts w:ascii="仿宋_GB2312" w:hAnsi="宋体" w:eastAsia="仿宋_GB2312" w:cs="宋体"/>
          <w:color w:val="000000"/>
          <w:kern w:val="0"/>
          <w:sz w:val="32"/>
          <w:szCs w:val="32"/>
        </w:rPr>
      </w:pPr>
      <w:r>
        <w:rPr>
          <w:rFonts w:hint="eastAsia" w:ascii="仿宋_GB2312" w:hAnsi="仿宋_GB2312" w:eastAsia="仿宋_GB2312" w:cs="仿宋_GB2312"/>
          <w:color w:val="000000"/>
          <w:kern w:val="0"/>
          <w:sz w:val="28"/>
          <w:szCs w:val="28"/>
        </w:rPr>
        <w:t>2024年全年预算数</w:t>
      </w:r>
      <w:r>
        <w:rPr>
          <w:rFonts w:hint="eastAsia" w:ascii="仿宋_GB2312" w:hAnsi="仿宋_GB2312" w:eastAsia="仿宋_GB2312" w:cs="仿宋_GB2312"/>
          <w:color w:val="000000"/>
          <w:kern w:val="0"/>
          <w:sz w:val="28"/>
          <w:szCs w:val="28"/>
          <w:lang w:val="en-US" w:eastAsia="zh-CN"/>
        </w:rPr>
        <w:t>73619.98</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color w:val="000000"/>
          <w:kern w:val="0"/>
          <w:sz w:val="28"/>
          <w:szCs w:val="28"/>
          <w:lang w:val="en-US" w:eastAsia="zh-CN"/>
        </w:rPr>
        <w:t>7415.9</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color w:val="000000"/>
          <w:kern w:val="0"/>
          <w:sz w:val="28"/>
          <w:szCs w:val="28"/>
          <w:lang w:val="en-US" w:eastAsia="zh-CN"/>
        </w:rPr>
        <w:t>66204.08</w:t>
      </w:r>
      <w:r>
        <w:rPr>
          <w:rFonts w:hint="eastAsia" w:ascii="仿宋_GB2312" w:hAnsi="仿宋_GB2312" w:eastAsia="仿宋_GB2312" w:cs="仿宋_GB2312"/>
          <w:color w:val="000000"/>
          <w:kern w:val="0"/>
          <w:sz w:val="28"/>
          <w:szCs w:val="28"/>
        </w:rPr>
        <w:t>万元。资金总体支出</w:t>
      </w:r>
      <w:r>
        <w:rPr>
          <w:rFonts w:hint="eastAsia" w:ascii="仿宋_GB2312" w:hAnsi="仿宋_GB2312" w:eastAsia="仿宋_GB2312" w:cs="仿宋_GB2312"/>
          <w:color w:val="000000"/>
          <w:kern w:val="0"/>
          <w:sz w:val="28"/>
          <w:szCs w:val="28"/>
          <w:lang w:val="en-US" w:eastAsia="zh-CN"/>
        </w:rPr>
        <w:t>65203.02</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color w:val="000000"/>
          <w:kern w:val="0"/>
          <w:sz w:val="28"/>
          <w:szCs w:val="28"/>
          <w:lang w:val="en-US" w:eastAsia="zh-CN"/>
        </w:rPr>
        <w:t>7183.82</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color w:val="000000"/>
          <w:kern w:val="0"/>
          <w:sz w:val="28"/>
          <w:szCs w:val="28"/>
          <w:lang w:val="en-US" w:eastAsia="zh-CN"/>
        </w:rPr>
        <w:t>58019.2</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color w:val="000000"/>
          <w:kern w:val="0"/>
          <w:sz w:val="28"/>
          <w:szCs w:val="28"/>
          <w:lang w:val="en-US" w:eastAsia="zh-CN"/>
        </w:rPr>
        <w:t>89.93%</w:t>
      </w:r>
      <w:r>
        <w:rPr>
          <w:rFonts w:hint="eastAsia" w:ascii="仿宋_GB2312" w:hAnsi="仿宋_GB2312" w:eastAsia="仿宋_GB2312" w:cs="仿宋_GB2312"/>
          <w:color w:val="000000"/>
          <w:kern w:val="0"/>
          <w:sz w:val="28"/>
          <w:szCs w:val="28"/>
        </w:rPr>
        <w:t>。</w:t>
      </w:r>
    </w:p>
    <w:p>
      <w:pPr>
        <w:spacing w:line="480" w:lineRule="exact"/>
        <w:ind w:left="105" w:leftChars="50" w:firstLine="420" w:firstLineChars="150"/>
        <w:rPr>
          <w:rFonts w:ascii="黑体" w:hAnsi="黑体" w:eastAsia="黑体" w:cs="宋体"/>
          <w:color w:val="000000"/>
          <w:kern w:val="0"/>
          <w:sz w:val="28"/>
          <w:szCs w:val="28"/>
        </w:rPr>
      </w:pPr>
      <w:r>
        <w:rPr>
          <w:rFonts w:hint="eastAsia" w:ascii="黑体" w:hAnsi="黑体" w:eastAsia="黑体" w:cs="宋体"/>
          <w:color w:val="000000"/>
          <w:kern w:val="0"/>
          <w:sz w:val="28"/>
          <w:szCs w:val="28"/>
        </w:rPr>
        <w:t>三</w:t>
      </w:r>
      <w:r>
        <w:rPr>
          <w:rFonts w:ascii="黑体" w:hAnsi="黑体" w:eastAsia="黑体" w:cs="宋体"/>
          <w:color w:val="000000"/>
          <w:kern w:val="0"/>
          <w:sz w:val="28"/>
          <w:szCs w:val="28"/>
        </w:rPr>
        <w:t>、整体绩效目标实现情况</w:t>
      </w:r>
    </w:p>
    <w:p>
      <w:pPr>
        <w:spacing w:line="4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（一）</w:t>
      </w:r>
      <w:r>
        <w:rPr>
          <w:rFonts w:hint="eastAsia" w:ascii="仿宋_GB2312" w:hAnsi="仿宋_GB2312" w:eastAsia="仿宋_GB2312" w:cs="仿宋_GB2312"/>
          <w:color w:val="000000"/>
          <w:sz w:val="28"/>
          <w:szCs w:val="28"/>
          <w:highlight w:val="none"/>
          <w:lang w:val="en-US" w:eastAsia="zh-CN"/>
        </w:rPr>
        <w:t>投资促进</w:t>
      </w:r>
      <w:r>
        <w:rPr>
          <w:rFonts w:hint="eastAsia" w:ascii="仿宋_GB2312" w:hAnsi="仿宋_GB2312" w:eastAsia="仿宋_GB2312" w:cs="仿宋_GB2312"/>
          <w:sz w:val="28"/>
          <w:szCs w:val="28"/>
        </w:rPr>
        <w:t>完成情况分析</w:t>
      </w:r>
      <w:r>
        <w:rPr>
          <w:rFonts w:hint="eastAsia" w:ascii="仿宋_GB2312" w:hAnsi="仿宋_GB2312" w:eastAsia="仿宋_GB2312" w:cs="仿宋_GB2312"/>
          <w:color w:val="000000"/>
          <w:kern w:val="0"/>
          <w:sz w:val="28"/>
          <w:szCs w:val="28"/>
        </w:rPr>
        <w:t xml:space="preserve"> </w:t>
      </w:r>
    </w:p>
    <w:p>
      <w:pPr>
        <w:pStyle w:val="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b/>
          <w:bCs/>
          <w:color w:val="000000"/>
          <w:kern w:val="0"/>
          <w:sz w:val="28"/>
          <w:szCs w:val="28"/>
          <w:lang w:val="en-US" w:eastAsia="zh-CN" w:bidi="ar-SA"/>
        </w:rPr>
        <w:t>招商引资精准发力。</w:t>
      </w:r>
      <w:r>
        <w:rPr>
          <w:rFonts w:hint="eastAsia" w:ascii="仿宋_GB2312" w:hAnsi="仿宋_GB2312" w:eastAsia="仿宋_GB2312" w:cs="仿宋_GB2312"/>
          <w:color w:val="000000"/>
          <w:kern w:val="0"/>
          <w:sz w:val="28"/>
          <w:szCs w:val="28"/>
          <w:lang w:val="en-US" w:eastAsia="zh-CN" w:bidi="ar-SA"/>
        </w:rPr>
        <w:t>突出链条化、精准化招商，持续完善招商图谱，全年新注册企业189家，其中重点企业21家，千万级企业7家，新引进税源企业3家，入库企业22家。</w:t>
      </w:r>
      <w:r>
        <w:rPr>
          <w:rFonts w:hint="eastAsia" w:ascii="仿宋_GB2312" w:hAnsi="仿宋_GB2312" w:eastAsia="仿宋_GB2312" w:cs="仿宋_GB2312"/>
          <w:b/>
          <w:bCs/>
          <w:color w:val="000000"/>
          <w:kern w:val="0"/>
          <w:sz w:val="28"/>
          <w:szCs w:val="28"/>
          <w:lang w:val="en-US" w:eastAsia="zh-CN" w:bidi="ar-SA"/>
        </w:rPr>
        <w:t>项目建设持续发力。</w:t>
      </w:r>
      <w:r>
        <w:rPr>
          <w:rFonts w:hint="eastAsia" w:ascii="仿宋_GB2312" w:hAnsi="仿宋_GB2312" w:eastAsia="仿宋_GB2312" w:cs="仿宋_GB2312"/>
          <w:color w:val="000000"/>
          <w:kern w:val="0"/>
          <w:sz w:val="28"/>
          <w:szCs w:val="28"/>
          <w:lang w:val="en-US" w:eastAsia="zh-CN" w:bidi="ar-SA"/>
        </w:rPr>
        <w:t>聚焦关键环节，强化部门协同，高标准打造北京商业航天基地，完成产业5年规划、启动园区二期开发，同步推进航天国兆北京商业航天产业基地创新中心项目。借力循环经济产业园新发展动力源，全市首个生物质绿氢项目落地园区。</w:t>
      </w:r>
      <w:r>
        <w:rPr>
          <w:rFonts w:hint="eastAsia" w:ascii="仿宋_GB2312" w:hAnsi="仿宋_GB2312" w:eastAsia="仿宋_GB2312" w:cs="仿宋_GB2312"/>
          <w:b/>
          <w:bCs/>
          <w:i w:val="0"/>
          <w:iCs w:val="0"/>
          <w:color w:val="000000"/>
          <w:kern w:val="0"/>
          <w:sz w:val="28"/>
          <w:szCs w:val="28"/>
          <w:lang w:val="en-US" w:eastAsia="zh-CN" w:bidi="ar-SA"/>
        </w:rPr>
        <w:t>营商环境持续优化。</w:t>
      </w:r>
      <w:r>
        <w:rPr>
          <w:rFonts w:hint="eastAsia" w:ascii="仿宋_GB2312" w:hAnsi="仿宋_GB2312" w:eastAsia="仿宋_GB2312" w:cs="仿宋_GB2312"/>
          <w:color w:val="000000"/>
          <w:kern w:val="0"/>
          <w:sz w:val="28"/>
          <w:szCs w:val="28"/>
          <w:lang w:val="en-US" w:eastAsia="zh-CN" w:bidi="ar-SA"/>
        </w:rPr>
        <w:t>坚持把企业服务工作作为“一把手”工程来抓，制定“一对一包企深耕计划”，通过“点对点指导、面对面沟通方式”，为企业出良策、办实事、解难题，全年累计办理服务事项300余次，成功举办商业航天与应用技术创新交流会暨优秀成果发布会、企业家交流活动等，真正实现了政府搭台、平台赋能、企业联动。</w:t>
      </w:r>
    </w:p>
    <w:p>
      <w:pPr>
        <w:numPr>
          <w:ilvl w:val="0"/>
          <w:numId w:val="0"/>
        </w:numPr>
        <w:spacing w:line="480" w:lineRule="exact"/>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（二）基层治理</w:t>
      </w:r>
      <w:r>
        <w:rPr>
          <w:rFonts w:hint="eastAsia" w:ascii="仿宋_GB2312" w:hAnsi="仿宋_GB2312" w:eastAsia="仿宋_GB2312" w:cs="仿宋_GB2312"/>
          <w:sz w:val="28"/>
          <w:szCs w:val="28"/>
        </w:rPr>
        <w:t>实现情况分析</w:t>
      </w:r>
    </w:p>
    <w:p>
      <w:pPr>
        <w:pStyle w:val="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b/>
          <w:bCs/>
          <w:color w:val="000000"/>
          <w:kern w:val="0"/>
          <w:sz w:val="28"/>
          <w:szCs w:val="28"/>
          <w:lang w:val="en-US" w:eastAsia="zh-CN" w:bidi="ar-SA"/>
        </w:rPr>
        <w:t>持续改善生态环境。</w:t>
      </w:r>
      <w:r>
        <w:rPr>
          <w:rFonts w:hint="eastAsia" w:ascii="仿宋_GB2312" w:hAnsi="仿宋_GB2312" w:eastAsia="仿宋_GB2312" w:cs="仿宋_GB2312"/>
          <w:b w:val="0"/>
          <w:bCs w:val="0"/>
          <w:color w:val="000000"/>
          <w:kern w:val="0"/>
          <w:sz w:val="28"/>
          <w:szCs w:val="28"/>
          <w:lang w:val="en-US" w:eastAsia="zh-CN" w:bidi="ar-SA"/>
        </w:rPr>
        <w:t>厚植绿色发展优势，全力做好平原造林养护管理，增强区域生态涵养功能，建设保育小区1处、村头片林景观游憩功能提升3处，全镇森林覆盖率达49%，林长制工作在全区督查考核中获得优秀等级，排名第二。</w:t>
      </w:r>
      <w:r>
        <w:rPr>
          <w:rFonts w:hint="eastAsia" w:ascii="仿宋_GB2312" w:hAnsi="仿宋_GB2312" w:eastAsia="仿宋_GB2312" w:cs="仿宋_GB2312"/>
          <w:b/>
          <w:bCs/>
          <w:color w:val="000000"/>
          <w:kern w:val="0"/>
          <w:sz w:val="28"/>
          <w:szCs w:val="28"/>
          <w:lang w:val="en-US" w:eastAsia="zh-CN" w:bidi="ar-SA"/>
        </w:rPr>
        <w:t>持续深化环境整治。</w:t>
      </w:r>
      <w:r>
        <w:rPr>
          <w:rFonts w:hint="eastAsia" w:ascii="仿宋_GB2312" w:hAnsi="仿宋_GB2312" w:eastAsia="仿宋_GB2312" w:cs="仿宋_GB2312"/>
          <w:color w:val="000000"/>
          <w:kern w:val="0"/>
          <w:sz w:val="28"/>
          <w:szCs w:val="28"/>
          <w:lang w:val="en-US" w:eastAsia="zh-CN" w:bidi="ar-SA"/>
        </w:rPr>
        <w:t>深入开展垃圾分类入户宣传，率先实施低值可回收物兑换活动，推广循环利用理念，促进垃圾分类源头减量。</w:t>
      </w:r>
      <w:r>
        <w:rPr>
          <w:rFonts w:hint="eastAsia" w:ascii="仿宋_GB2312" w:hAnsi="仿宋_GB2312" w:eastAsia="仿宋_GB2312" w:cs="仿宋_GB2312"/>
          <w:b/>
          <w:bCs/>
          <w:color w:val="000000"/>
          <w:kern w:val="0"/>
          <w:sz w:val="28"/>
          <w:szCs w:val="28"/>
          <w:lang w:val="en-US" w:eastAsia="zh-CN" w:bidi="ar-SA"/>
        </w:rPr>
        <w:t>现代农业稳步发展。</w:t>
      </w:r>
      <w:r>
        <w:rPr>
          <w:rFonts w:hint="eastAsia" w:ascii="仿宋_GB2312" w:hAnsi="仿宋_GB2312" w:eastAsia="仿宋_GB2312" w:cs="仿宋_GB2312"/>
          <w:color w:val="000000"/>
          <w:kern w:val="0"/>
          <w:sz w:val="28"/>
          <w:szCs w:val="28"/>
          <w:lang w:val="en-US" w:eastAsia="zh-CN" w:bidi="ar-SA"/>
        </w:rPr>
        <w:t>建成6900余亩高标准农田，增加高效节水灌溉设施设备，切实改善农业生产条件。推深做实“田长制”，建立健全长效管护机制，严控农田环境污染及农地非农化利用乱象，不断提高农业标准化建设水平。积极推进“百千工程”，申报市级优秀标准化基地2家，获评4星级休闲农业园区称号2家。</w:t>
      </w:r>
    </w:p>
    <w:p>
      <w:pPr>
        <w:numPr>
          <w:ilvl w:val="0"/>
          <w:numId w:val="0"/>
        </w:numPr>
        <w:spacing w:line="480" w:lineRule="exact"/>
        <w:ind w:left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（三）民生保障</w:t>
      </w:r>
      <w:r>
        <w:rPr>
          <w:rFonts w:hint="eastAsia" w:ascii="仿宋_GB2312" w:hAnsi="仿宋_GB2312" w:eastAsia="仿宋_GB2312" w:cs="仿宋_GB2312"/>
          <w:sz w:val="28"/>
          <w:szCs w:val="28"/>
        </w:rPr>
        <w:t>实现情况分析</w:t>
      </w:r>
    </w:p>
    <w:p>
      <w:pPr>
        <w:pStyle w:val="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b/>
          <w:bCs/>
          <w:color w:val="000000"/>
          <w:kern w:val="0"/>
          <w:sz w:val="28"/>
          <w:szCs w:val="28"/>
          <w:lang w:val="en-US" w:eastAsia="zh-CN" w:bidi="ar-SA"/>
        </w:rPr>
        <w:t>社会保障暖心惠民。</w:t>
      </w:r>
      <w:r>
        <w:rPr>
          <w:rFonts w:hint="eastAsia" w:ascii="仿宋_GB2312" w:hAnsi="仿宋_GB2312" w:eastAsia="仿宋_GB2312" w:cs="仿宋_GB2312"/>
          <w:color w:val="000000"/>
          <w:kern w:val="0"/>
          <w:sz w:val="28"/>
          <w:szCs w:val="28"/>
          <w:lang w:val="en-US" w:eastAsia="zh-CN" w:bidi="ar-SA"/>
        </w:rPr>
        <w:t>首个宅基地改革试点御林东苑回迁安置房正式交付，入住率达99.5%。提升养老服务水平，完成幸福晚年驿站及养老家庭照护床位服务签约791人，新建家庭照护床位200张。健全残疾人关爱服务体系，组织残障人士开展康复知识、职业技能等培训400余场，后安定村温馨家园顺利开园。加大就业稳岗力度，举办招聘会12场，提供就业岗位1062个，促进城乡劳动力就业1154人，实现“家门口智慧就业服务”小程序村村全覆盖，全力帮扶困难人员、高校毕业生等重点群体高质量充分就业。</w:t>
      </w:r>
      <w:r>
        <w:rPr>
          <w:rFonts w:hint="eastAsia" w:ascii="仿宋_GB2312" w:hAnsi="仿宋_GB2312" w:eastAsia="仿宋_GB2312" w:cs="仿宋_GB2312"/>
          <w:b/>
          <w:bCs/>
          <w:color w:val="000000"/>
          <w:kern w:val="0"/>
          <w:sz w:val="28"/>
          <w:szCs w:val="28"/>
          <w:lang w:val="en-US" w:eastAsia="zh-CN" w:bidi="ar-SA"/>
        </w:rPr>
        <w:t>公共服务贴心便民。</w:t>
      </w:r>
      <w:r>
        <w:rPr>
          <w:rFonts w:hint="eastAsia" w:ascii="仿宋_GB2312" w:hAnsi="仿宋_GB2312" w:eastAsia="仿宋_GB2312" w:cs="仿宋_GB2312"/>
          <w:color w:val="000000"/>
          <w:kern w:val="0"/>
          <w:sz w:val="28"/>
          <w:szCs w:val="28"/>
          <w:lang w:val="en-US" w:eastAsia="zh-CN" w:bidi="ar-SA"/>
        </w:rPr>
        <w:t>持续深化“放管服”改革，不断优化镇级服务大厅软硬件设施，积极推进村级政务服务站建设，全面推行“灵活办”“上门办”“畅通办”等服务模式，提高办事效率，累计办结服务事项8000余件。</w:t>
      </w:r>
    </w:p>
    <w:p>
      <w:pPr>
        <w:spacing w:line="4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四</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平安建设</w:t>
      </w:r>
      <w:r>
        <w:rPr>
          <w:rFonts w:hint="eastAsia" w:ascii="仿宋_GB2312" w:hAnsi="仿宋_GB2312" w:eastAsia="仿宋_GB2312" w:cs="仿宋_GB2312"/>
          <w:sz w:val="28"/>
          <w:szCs w:val="28"/>
        </w:rPr>
        <w:t>实现情况分析</w:t>
      </w:r>
    </w:p>
    <w:p>
      <w:pPr>
        <w:pStyle w:val="2"/>
        <w:keepNext w:val="0"/>
        <w:keepLines w:val="0"/>
        <w:pageBreakBefore w:val="0"/>
        <w:widowControl w:val="0"/>
        <w:kinsoku/>
        <w:wordWrap/>
        <w:overflowPunct/>
        <w:topLinePunct w:val="0"/>
        <w:autoSpaceDE/>
        <w:autoSpaceDN/>
        <w:bidi w:val="0"/>
        <w:adjustRightInd/>
        <w:snapToGrid w:val="0"/>
        <w:spacing w:line="480" w:lineRule="exact"/>
        <w:ind w:firstLine="560" w:firstLineChars="20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b/>
          <w:bCs/>
          <w:color w:val="000000"/>
          <w:kern w:val="0"/>
          <w:sz w:val="28"/>
          <w:szCs w:val="28"/>
          <w:lang w:val="en-US" w:eastAsia="zh-CN" w:bidi="ar-SA"/>
        </w:rPr>
        <w:t>社会治理安心护民。</w:t>
      </w:r>
      <w:r>
        <w:rPr>
          <w:rFonts w:hint="eastAsia" w:ascii="仿宋_GB2312" w:hAnsi="仿宋_GB2312" w:eastAsia="仿宋_GB2312" w:cs="仿宋_GB2312"/>
          <w:color w:val="000000"/>
          <w:kern w:val="0"/>
          <w:sz w:val="28"/>
          <w:szCs w:val="28"/>
          <w:lang w:val="en-US" w:eastAsia="zh-CN" w:bidi="ar-SA"/>
        </w:rPr>
        <w:t>圆满完成全国“两会”、党的二十届三中全会、建国75周年等重大会议期间安保维稳工作，持续开展出租房屋管理、违规电动三四轮综合治理、交通隐患排查、反邪教、禁毒等工作，推动平安建设工作落地见效。依托“五办”工作法及“三每”督办考核制度抓好接诉即办工作，全年召开专题调度会百余次，解决率、满意率实现双提升。深化党员网格化服务机制，强化矛盾纠纷调处，全力化解信访积案。加强社会治安整体防控，常态化开展扫黑除恶，严厉打击电信网络诈骗、非法集资、恶意欠薪等违法行为，提升基层治理水平。严格落实安全生产责任制，扎实开展安全生产治本攻坚三年行动，加强对重点行业、重点领域安全监管，集中开展消防安全“一警六员”技能培训，严防安全事故发生。</w:t>
      </w:r>
    </w:p>
    <w:p>
      <w:pPr>
        <w:spacing w:line="480" w:lineRule="exact"/>
        <w:ind w:left="105" w:leftChars="50" w:firstLine="420" w:firstLineChars="15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四</w:t>
      </w:r>
      <w:r>
        <w:rPr>
          <w:rFonts w:ascii="黑体" w:hAnsi="黑体" w:eastAsia="黑体" w:cs="宋体"/>
          <w:color w:val="000000"/>
          <w:kern w:val="0"/>
          <w:sz w:val="28"/>
          <w:szCs w:val="28"/>
        </w:rPr>
        <w:t>、预算管理</w:t>
      </w:r>
      <w:r>
        <w:rPr>
          <w:rFonts w:hint="eastAsia" w:ascii="黑体" w:hAnsi="黑体" w:eastAsia="黑体" w:cs="宋体"/>
          <w:color w:val="000000"/>
          <w:kern w:val="0"/>
          <w:sz w:val="28"/>
          <w:szCs w:val="28"/>
        </w:rPr>
        <w:t>情况分</w:t>
      </w:r>
      <w:r>
        <w:rPr>
          <w:rFonts w:ascii="黑体" w:hAnsi="黑体" w:eastAsia="黑体" w:cs="宋体"/>
          <w:color w:val="000000"/>
          <w:kern w:val="0"/>
          <w:sz w:val="28"/>
          <w:szCs w:val="28"/>
        </w:rPr>
        <w:t>析</w:t>
      </w:r>
    </w:p>
    <w:p>
      <w:pPr>
        <w:keepNext w:val="0"/>
        <w:keepLines w:val="0"/>
        <w:pageBreakBefore w:val="0"/>
        <w:widowControl w:val="0"/>
        <w:kinsoku/>
        <w:wordWrap/>
        <w:overflowPunct/>
        <w:topLinePunct w:val="0"/>
        <w:autoSpaceDE/>
        <w:autoSpaceDN/>
        <w:bidi w:val="0"/>
        <w:adjustRightInd/>
        <w:spacing w:line="560" w:lineRule="exact"/>
        <w:ind w:left="105" w:leftChars="50" w:firstLine="420" w:firstLineChars="15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（一）财务管理</w:t>
      </w:r>
    </w:p>
    <w:p>
      <w:pPr>
        <w:keepNext w:val="0"/>
        <w:keepLines w:val="0"/>
        <w:pageBreakBefore w:val="0"/>
        <w:widowControl w:val="0"/>
        <w:kinsoku/>
        <w:wordWrap/>
        <w:overflowPunct/>
        <w:topLinePunct w:val="0"/>
        <w:autoSpaceDE/>
        <w:autoSpaceDN/>
        <w:bidi w:val="0"/>
        <w:adjustRightInd/>
        <w:spacing w:line="56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1.财务管理制度健全性</w:t>
      </w:r>
    </w:p>
    <w:p>
      <w:pPr>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lang w:val="en-US" w:eastAsia="zh-CN"/>
        </w:rPr>
        <w:t>2024年我镇</w:t>
      </w:r>
      <w:r>
        <w:rPr>
          <w:rFonts w:hint="eastAsia" w:ascii="仿宋_GB2312" w:eastAsia="仿宋_GB2312"/>
          <w:sz w:val="28"/>
          <w:szCs w:val="28"/>
          <w:lang w:eastAsia="zh-CN"/>
        </w:rPr>
        <w:t>统筹协调主责科室全面梳理修订内部控制制度及内部控制手册，进一步加强财政财务监督，规范我镇财政财务行为。</w:t>
      </w:r>
    </w:p>
    <w:p>
      <w:pPr>
        <w:keepNext w:val="0"/>
        <w:keepLines w:val="0"/>
        <w:pageBreakBefore w:val="0"/>
        <w:widowControl w:val="0"/>
        <w:numPr>
          <w:ilvl w:val="0"/>
          <w:numId w:val="2"/>
        </w:numPr>
        <w:kinsoku/>
        <w:wordWrap/>
        <w:overflowPunct/>
        <w:topLinePunct w:val="0"/>
        <w:autoSpaceDE/>
        <w:autoSpaceDN/>
        <w:bidi w:val="0"/>
        <w:adjustRightInd/>
        <w:spacing w:line="560" w:lineRule="exact"/>
        <w:ind w:firstLine="537" w:firstLineChars="192"/>
        <w:textAlignment w:val="auto"/>
        <w:rPr>
          <w:rFonts w:hint="eastAsia" w:ascii="仿宋_GB2312" w:eastAsia="仿宋_GB2312"/>
          <w:sz w:val="28"/>
          <w:szCs w:val="28"/>
        </w:rPr>
      </w:pPr>
      <w:r>
        <w:rPr>
          <w:rFonts w:hint="eastAsia" w:ascii="仿宋_GB2312" w:eastAsia="仿宋_GB2312"/>
          <w:sz w:val="28"/>
          <w:szCs w:val="28"/>
        </w:rPr>
        <w:t>资金使用合规性和安全性</w:t>
      </w:r>
    </w:p>
    <w:p>
      <w:pPr>
        <w:keepNext w:val="0"/>
        <w:keepLines w:val="0"/>
        <w:pageBreakBefore w:val="0"/>
        <w:widowControl w:val="0"/>
        <w:numPr>
          <w:ilvl w:val="0"/>
          <w:numId w:val="0"/>
        </w:numPr>
        <w:kinsoku/>
        <w:wordWrap/>
        <w:overflowPunct/>
        <w:topLinePunct w:val="0"/>
        <w:autoSpaceDE/>
        <w:autoSpaceDN/>
        <w:bidi w:val="0"/>
        <w:adjustRightInd/>
        <w:spacing w:line="560" w:lineRule="exact"/>
        <w:ind w:firstLine="560" w:firstLineChars="200"/>
        <w:textAlignment w:val="auto"/>
        <w:rPr>
          <w:rFonts w:hint="default" w:ascii="仿宋_GB2312" w:eastAsia="仿宋_GB2312"/>
          <w:sz w:val="28"/>
          <w:szCs w:val="28"/>
          <w:lang w:val="en-US" w:eastAsia="zh-CN"/>
        </w:rPr>
      </w:pPr>
      <w:r>
        <w:rPr>
          <w:rFonts w:hint="eastAsia" w:ascii="仿宋_GB2312" w:eastAsia="仿宋_GB2312"/>
          <w:sz w:val="28"/>
          <w:szCs w:val="28"/>
          <w:lang w:eastAsia="zh-CN"/>
        </w:rPr>
        <w:t>我镇依据《行政单位财务规则》、《会计法》、《行政事业单位内部控制规范（试行）》等相关法律法规以及“三重一大”决策管理制度，重新修订了《北京市大兴区安定镇人民政府财务管理办法》及《北京市大兴区安定镇人民政府收支管理制度》，进一步规范单位资金支出管理，明确资金支出审批程序和审批权限，控制资金风险，保障资金使用合规性和安全性。</w:t>
      </w:r>
    </w:p>
    <w:p>
      <w:pPr>
        <w:keepNext w:val="0"/>
        <w:keepLines w:val="0"/>
        <w:pageBreakBefore w:val="0"/>
        <w:widowControl w:val="0"/>
        <w:numPr>
          <w:ilvl w:val="0"/>
          <w:numId w:val="2"/>
        </w:numPr>
        <w:kinsoku/>
        <w:wordWrap/>
        <w:overflowPunct/>
        <w:topLinePunct w:val="0"/>
        <w:autoSpaceDE/>
        <w:autoSpaceDN/>
        <w:bidi w:val="0"/>
        <w:adjustRightInd/>
        <w:spacing w:line="560" w:lineRule="exact"/>
        <w:ind w:left="0" w:leftChars="0" w:firstLine="537" w:firstLineChars="192"/>
        <w:textAlignment w:val="auto"/>
        <w:rPr>
          <w:rFonts w:hint="eastAsia" w:ascii="仿宋_GB2312" w:eastAsia="仿宋_GB2312"/>
          <w:sz w:val="28"/>
          <w:szCs w:val="28"/>
        </w:rPr>
      </w:pPr>
      <w:r>
        <w:rPr>
          <w:rFonts w:hint="eastAsia" w:ascii="仿宋_GB2312" w:eastAsia="仿宋_GB2312"/>
          <w:sz w:val="28"/>
          <w:szCs w:val="28"/>
        </w:rPr>
        <w:t>会计基础信息完善性</w:t>
      </w:r>
    </w:p>
    <w:p>
      <w:pPr>
        <w:pStyle w:val="2"/>
        <w:keepNext w:val="0"/>
        <w:keepLines w:val="0"/>
        <w:pageBreakBefore w:val="0"/>
        <w:widowControl w:val="0"/>
        <w:kinsoku/>
        <w:wordWrap/>
        <w:overflowPunct/>
        <w:topLinePunct w:val="0"/>
        <w:autoSpaceDE/>
        <w:autoSpaceDN/>
        <w:bidi w:val="0"/>
        <w:adjustRightInd/>
        <w:spacing w:line="560" w:lineRule="exact"/>
        <w:ind w:firstLine="560" w:firstLineChars="200"/>
        <w:textAlignment w:val="auto"/>
        <w:rPr>
          <w:rFonts w:hint="eastAsia"/>
        </w:rPr>
      </w:pPr>
      <w:r>
        <w:rPr>
          <w:rFonts w:hint="eastAsia" w:ascii="仿宋_GB2312" w:eastAsia="仿宋_GB2312"/>
          <w:sz w:val="28"/>
          <w:szCs w:val="28"/>
          <w:lang w:eastAsia="zh-CN"/>
        </w:rPr>
        <w:t>我镇</w:t>
      </w:r>
      <w:r>
        <w:rPr>
          <w:rFonts w:hint="eastAsia" w:ascii="仿宋_GB2312" w:eastAsia="仿宋_GB2312"/>
          <w:color w:val="auto"/>
          <w:sz w:val="28"/>
          <w:szCs w:val="28"/>
          <w:highlight w:val="none"/>
          <w:lang w:val="en-US" w:eastAsia="zh-CN"/>
        </w:rPr>
        <w:t>严格执行政府</w:t>
      </w:r>
      <w:r>
        <w:rPr>
          <w:rFonts w:hint="eastAsia" w:ascii="仿宋_GB2312" w:hAnsi="宋体" w:eastAsia="仿宋_GB2312" w:cs="宋体"/>
          <w:color w:val="auto"/>
          <w:kern w:val="0"/>
          <w:sz w:val="28"/>
          <w:szCs w:val="28"/>
          <w:highlight w:val="none"/>
        </w:rPr>
        <w:t>会计制度和准则</w:t>
      </w:r>
      <w:r>
        <w:rPr>
          <w:rFonts w:hint="eastAsia" w:ascii="仿宋_GB2312" w:hAnsi="宋体" w:eastAsia="仿宋_GB2312" w:cs="宋体"/>
          <w:color w:val="auto"/>
          <w:kern w:val="0"/>
          <w:sz w:val="28"/>
          <w:szCs w:val="28"/>
          <w:highlight w:val="none"/>
          <w:lang w:eastAsia="zh-CN"/>
        </w:rPr>
        <w:t>，</w:t>
      </w:r>
      <w:r>
        <w:rPr>
          <w:rFonts w:hint="eastAsia" w:ascii="仿宋_GB2312" w:hAnsi="宋体" w:eastAsia="仿宋_GB2312" w:cs="宋体"/>
          <w:color w:val="auto"/>
          <w:kern w:val="0"/>
          <w:sz w:val="28"/>
          <w:szCs w:val="28"/>
          <w:highlight w:val="none"/>
          <w:lang w:val="en-US" w:eastAsia="zh-CN"/>
        </w:rPr>
        <w:t>保证会计基础信息真实、完整、准确。</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w:t>
      </w:r>
      <w:r>
        <w:rPr>
          <w:rFonts w:hint="eastAsia" w:ascii="仿宋_GB2312" w:hAnsi="仿宋_GB2312" w:eastAsia="仿宋_GB2312" w:cs="仿宋_GB2312"/>
          <w:sz w:val="28"/>
          <w:szCs w:val="28"/>
        </w:rPr>
        <w:t>资产管理</w:t>
      </w:r>
    </w:p>
    <w:p>
      <w:pPr>
        <w:keepNext w:val="0"/>
        <w:keepLines w:val="0"/>
        <w:pageBreakBefore w:val="0"/>
        <w:widowControl w:val="0"/>
        <w:numPr>
          <w:ilvl w:val="0"/>
          <w:numId w:val="0"/>
        </w:numPr>
        <w:tabs>
          <w:tab w:val="center" w:pos="6979"/>
        </w:tabs>
        <w:kinsoku/>
        <w:wordWrap/>
        <w:overflowPunct/>
        <w:topLinePunct w:val="0"/>
        <w:autoSpaceDE/>
        <w:autoSpaceDN/>
        <w:bidi w:val="0"/>
        <w:adjustRightInd/>
        <w:spacing w:line="560" w:lineRule="exact"/>
        <w:ind w:firstLine="560" w:firstLineChars="200"/>
        <w:textAlignment w:val="auto"/>
        <w:rPr>
          <w:rFonts w:hint="eastAsia"/>
        </w:rPr>
      </w:pPr>
      <w:r>
        <w:rPr>
          <w:rFonts w:hint="eastAsia" w:ascii="仿宋_GB2312" w:eastAsia="仿宋_GB2312"/>
          <w:sz w:val="28"/>
          <w:szCs w:val="28"/>
          <w:lang w:eastAsia="zh-CN"/>
        </w:rPr>
        <w:t>我镇严格按照区财政局规定的标准和要求配置资产，对购置的资产及时进行验收、登记和账务处理，明确固定资产管理控制，规范固定资产出入库、盘点、内部调拨、报废等流程。</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Chars="200"/>
        <w:textAlignment w:val="auto"/>
        <w:rPr>
          <w:rFonts w:hint="eastAsia"/>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绩效管理</w:t>
      </w:r>
    </w:p>
    <w:p>
      <w:pPr>
        <w:pStyle w:val="2"/>
        <w:keepNext w:val="0"/>
        <w:keepLines w:val="0"/>
        <w:pageBreakBefore w:val="0"/>
        <w:widowControl w:val="0"/>
        <w:numPr>
          <w:ilvl w:val="0"/>
          <w:numId w:val="0"/>
        </w:numPr>
        <w:kinsoku/>
        <w:wordWrap/>
        <w:overflowPunct/>
        <w:topLinePunct w:val="0"/>
        <w:autoSpaceDE/>
        <w:autoSpaceDN/>
        <w:bidi w:val="0"/>
        <w:adjustRightInd/>
        <w:spacing w:line="560" w:lineRule="exact"/>
        <w:ind w:firstLine="560" w:firstLineChars="200"/>
        <w:jc w:val="both"/>
        <w:textAlignment w:val="auto"/>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我镇将绩效理念贯穿预算管理全流程：一是强化源头管控，在预算编制阶段严格绩效目标审核，确保项目立项科学精准；二是注重过程监管，在预算执行阶段加强动态监控，及时纠偏，保障资金使用效益；三是突出结果导向，在决算阶段强化绩效评价结果运用，切实做到</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花钱必问效、无效必问责</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。通过构建</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预算编制有目标、执行过程有监控、完成结果有评价、评价结果有应用</w:t>
      </w:r>
      <w:r>
        <w:rPr>
          <w:rFonts w:hint="eastAsia" w:ascii="仿宋_GB2312" w:eastAsia="仿宋_GB2312" w:cs="Times New Roman"/>
          <w:kern w:val="2"/>
          <w:sz w:val="28"/>
          <w:szCs w:val="28"/>
          <w:lang w:val="en-US" w:eastAsia="zh-CN" w:bidi="ar-SA"/>
        </w:rPr>
        <w:t>”</w:t>
      </w:r>
      <w:r>
        <w:rPr>
          <w:rFonts w:hint="eastAsia" w:ascii="仿宋_GB2312" w:hAnsi="Times New Roman" w:eastAsia="仿宋_GB2312" w:cs="Times New Roman"/>
          <w:kern w:val="2"/>
          <w:sz w:val="28"/>
          <w:szCs w:val="28"/>
          <w:lang w:val="en-US" w:eastAsia="zh-CN" w:bidi="ar-SA"/>
        </w:rPr>
        <w:t>的全链条绩效管理体系，有效提升了财政资金配置效率和使用效益。</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Chars="200"/>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部门预决算差异率</w:t>
      </w:r>
    </w:p>
    <w:p>
      <w:pPr>
        <w:spacing w:line="600" w:lineRule="exact"/>
        <w:ind w:left="105" w:leftChars="50" w:firstLine="420" w:firstLineChars="150"/>
        <w:rPr>
          <w:rFonts w:hint="eastAsia"/>
        </w:rPr>
      </w:pPr>
      <w:r>
        <w:rPr>
          <w:rFonts w:hint="eastAsia" w:ascii="仿宋_GB2312" w:hAnsi="宋体" w:eastAsia="仿宋_GB2312" w:cs="宋体"/>
          <w:color w:val="000000"/>
          <w:kern w:val="0"/>
          <w:sz w:val="28"/>
          <w:szCs w:val="28"/>
          <w:highlight w:val="none"/>
        </w:rPr>
        <w:t>202</w:t>
      </w:r>
      <w:r>
        <w:rPr>
          <w:rFonts w:hint="eastAsia" w:ascii="仿宋_GB2312" w:hAnsi="宋体" w:eastAsia="仿宋_GB2312" w:cs="宋体"/>
          <w:color w:val="000000"/>
          <w:kern w:val="0"/>
          <w:sz w:val="28"/>
          <w:szCs w:val="28"/>
          <w:highlight w:val="none"/>
          <w:lang w:val="en-US" w:eastAsia="zh-CN"/>
        </w:rPr>
        <w:t>4</w:t>
      </w:r>
      <w:r>
        <w:rPr>
          <w:rFonts w:hint="eastAsia" w:ascii="仿宋_GB2312" w:hAnsi="宋体" w:eastAsia="仿宋_GB2312" w:cs="宋体"/>
          <w:color w:val="000000"/>
          <w:kern w:val="0"/>
          <w:sz w:val="28"/>
          <w:szCs w:val="28"/>
          <w:highlight w:val="none"/>
        </w:rPr>
        <w:t>年</w:t>
      </w:r>
      <w:r>
        <w:rPr>
          <w:rFonts w:hint="eastAsia" w:ascii="仿宋_GB2312" w:hAnsi="宋体" w:eastAsia="仿宋_GB2312" w:cs="宋体"/>
          <w:color w:val="000000"/>
          <w:kern w:val="0"/>
          <w:sz w:val="28"/>
          <w:szCs w:val="28"/>
          <w:highlight w:val="none"/>
          <w:lang w:eastAsia="zh-CN"/>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73619.98</w:t>
      </w:r>
      <w:r>
        <w:rPr>
          <w:rFonts w:hint="eastAsia" w:ascii="仿宋_GB2312" w:hAnsi="宋体" w:eastAsia="仿宋_GB2312" w:cs="宋体"/>
          <w:color w:val="000000"/>
          <w:kern w:val="0"/>
          <w:sz w:val="28"/>
          <w:szCs w:val="28"/>
          <w:highlight w:val="none"/>
        </w:rPr>
        <w:t>万元</w:t>
      </w:r>
      <w:r>
        <w:rPr>
          <w:rFonts w:ascii="仿宋_GB2312" w:hAnsi="宋体" w:eastAsia="仿宋_GB2312" w:cs="宋体"/>
          <w:color w:val="000000"/>
          <w:kern w:val="0"/>
          <w:sz w:val="28"/>
          <w:szCs w:val="28"/>
          <w:highlight w:val="none"/>
        </w:rPr>
        <w:t>，资金总体</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65203.02</w:t>
      </w:r>
      <w:r>
        <w:rPr>
          <w:rFonts w:ascii="仿宋_GB2312" w:hAnsi="宋体" w:eastAsia="仿宋_GB2312" w:cs="宋体"/>
          <w:color w:val="000000"/>
          <w:kern w:val="0"/>
          <w:sz w:val="28"/>
          <w:szCs w:val="28"/>
          <w:highlight w:val="none"/>
        </w:rPr>
        <w:t>万元，</w:t>
      </w:r>
      <w:r>
        <w:rPr>
          <w:rFonts w:hint="eastAsia" w:ascii="仿宋_GB2312" w:hAnsi="Calibri" w:eastAsia="仿宋_GB2312"/>
          <w:sz w:val="28"/>
          <w:szCs w:val="28"/>
          <w:highlight w:val="none"/>
        </w:rPr>
        <w:t>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年部门预决算差异率（绝对值）</w:t>
      </w:r>
      <w:r>
        <w:rPr>
          <w:rFonts w:hint="eastAsia" w:ascii="仿宋_GB2312" w:hAnsi="Calibri" w:eastAsia="仿宋_GB2312"/>
          <w:sz w:val="28"/>
          <w:szCs w:val="28"/>
          <w:highlight w:val="none"/>
          <w:lang w:eastAsia="zh-CN"/>
        </w:rPr>
        <w:t>为</w:t>
      </w:r>
      <w:r>
        <w:rPr>
          <w:rFonts w:hint="eastAsia" w:ascii="仿宋_GB2312" w:hAnsi="Calibri" w:eastAsia="仿宋_GB2312"/>
          <w:sz w:val="28"/>
          <w:szCs w:val="28"/>
          <w:highlight w:val="none"/>
          <w:lang w:val="en-US" w:eastAsia="zh-CN"/>
        </w:rPr>
        <w:t>11.42%</w:t>
      </w:r>
      <w:r>
        <w:rPr>
          <w:rFonts w:hint="eastAsia" w:ascii="仿宋_GB2312" w:hAnsi="Calibri" w:eastAsia="仿宋_GB2312"/>
          <w:sz w:val="28"/>
          <w:szCs w:val="28"/>
          <w:highlight w:val="none"/>
        </w:rPr>
        <w:t>。</w:t>
      </w:r>
    </w:p>
    <w:p>
      <w:pPr>
        <w:spacing w:line="480" w:lineRule="exact"/>
        <w:ind w:left="105" w:leftChars="50" w:firstLine="420" w:firstLineChars="150"/>
        <w:rPr>
          <w:rFonts w:ascii="黑体" w:hAnsi="黑体" w:eastAsia="黑体"/>
          <w:sz w:val="28"/>
          <w:szCs w:val="28"/>
        </w:rPr>
      </w:pPr>
      <w:r>
        <w:rPr>
          <w:rFonts w:hint="eastAsia" w:ascii="黑体" w:hAnsi="黑体" w:eastAsia="黑体"/>
          <w:sz w:val="28"/>
          <w:szCs w:val="28"/>
        </w:rPr>
        <w:t>五、总体</w:t>
      </w:r>
      <w:r>
        <w:rPr>
          <w:rFonts w:ascii="黑体" w:hAnsi="黑体" w:eastAsia="黑体"/>
          <w:sz w:val="28"/>
          <w:szCs w:val="28"/>
        </w:rPr>
        <w:t>评价结论</w:t>
      </w:r>
    </w:p>
    <w:p>
      <w:pPr>
        <w:spacing w:line="4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（一）评价得分情况</w:t>
      </w:r>
    </w:p>
    <w:p>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宋体" w:eastAsia="仿宋_GB2312" w:cs="宋体"/>
          <w:color w:val="000000"/>
          <w:kern w:val="0"/>
          <w:sz w:val="28"/>
          <w:szCs w:val="28"/>
          <w:highlight w:val="none"/>
          <w:lang w:val="en-US" w:eastAsia="zh-CN"/>
        </w:rPr>
      </w:pPr>
      <w:r>
        <w:rPr>
          <w:rFonts w:hint="eastAsia" w:ascii="仿宋_GB2312" w:hAnsi="宋体" w:eastAsia="仿宋_GB2312" w:cs="宋体"/>
          <w:color w:val="000000"/>
          <w:kern w:val="0"/>
          <w:sz w:val="28"/>
          <w:szCs w:val="28"/>
          <w:highlight w:val="none"/>
        </w:rPr>
        <w:t>1.我</w:t>
      </w:r>
      <w:r>
        <w:rPr>
          <w:rFonts w:hint="eastAsia" w:ascii="仿宋_GB2312" w:hAnsi="宋体" w:eastAsia="仿宋_GB2312" w:cs="宋体"/>
          <w:color w:val="000000"/>
          <w:kern w:val="0"/>
          <w:sz w:val="28"/>
          <w:szCs w:val="28"/>
          <w:highlight w:val="none"/>
          <w:lang w:eastAsia="zh-CN"/>
        </w:rPr>
        <w:t>镇</w:t>
      </w:r>
      <w:r>
        <w:rPr>
          <w:rFonts w:hint="eastAsia" w:ascii="仿宋_GB2312" w:hAnsi="宋体" w:eastAsia="仿宋_GB2312" w:cs="宋体"/>
          <w:color w:val="000000"/>
          <w:kern w:val="0"/>
          <w:sz w:val="28"/>
          <w:szCs w:val="28"/>
          <w:highlight w:val="none"/>
          <w:lang w:val="en-US" w:eastAsia="zh-CN"/>
        </w:rPr>
        <w:t>2024年</w:t>
      </w:r>
      <w:r>
        <w:rPr>
          <w:rFonts w:hint="eastAsia" w:ascii="仿宋_GB2312" w:hAnsi="宋体" w:eastAsia="仿宋_GB2312" w:cs="宋体"/>
          <w:color w:val="000000"/>
          <w:kern w:val="0"/>
          <w:sz w:val="28"/>
          <w:szCs w:val="28"/>
          <w:highlight w:val="none"/>
          <w:lang w:eastAsia="zh-CN"/>
        </w:rPr>
        <w:t>全年</w:t>
      </w:r>
      <w:r>
        <w:rPr>
          <w:rFonts w:hint="eastAsia" w:ascii="仿宋_GB2312" w:hAnsi="宋体" w:eastAsia="仿宋_GB2312" w:cs="宋体"/>
          <w:color w:val="000000"/>
          <w:kern w:val="0"/>
          <w:sz w:val="28"/>
          <w:szCs w:val="28"/>
          <w:highlight w:val="none"/>
        </w:rPr>
        <w:t>预算数</w:t>
      </w:r>
      <w:r>
        <w:rPr>
          <w:rFonts w:hint="eastAsia" w:ascii="仿宋_GB2312" w:hAnsi="宋体" w:eastAsia="仿宋_GB2312" w:cs="宋体"/>
          <w:color w:val="000000"/>
          <w:kern w:val="0"/>
          <w:sz w:val="28"/>
          <w:szCs w:val="28"/>
          <w:highlight w:val="none"/>
          <w:lang w:val="en-US" w:eastAsia="zh-CN"/>
        </w:rPr>
        <w:t>73619.98</w:t>
      </w:r>
      <w:r>
        <w:rPr>
          <w:rFonts w:hint="eastAsia" w:ascii="仿宋_GB2312" w:hAnsi="宋体" w:eastAsia="仿宋_GB2312" w:cs="宋体"/>
          <w:color w:val="000000"/>
          <w:kern w:val="0"/>
          <w:sz w:val="28"/>
          <w:szCs w:val="28"/>
          <w:highlight w:val="none"/>
        </w:rPr>
        <w:t>万元，</w:t>
      </w:r>
      <w:r>
        <w:rPr>
          <w:rFonts w:ascii="仿宋_GB2312" w:hAnsi="宋体" w:eastAsia="仿宋_GB2312" w:cs="宋体"/>
          <w:color w:val="000000"/>
          <w:kern w:val="0"/>
          <w:sz w:val="28"/>
          <w:szCs w:val="28"/>
          <w:highlight w:val="none"/>
        </w:rPr>
        <w:t>总体</w:t>
      </w:r>
      <w:r>
        <w:rPr>
          <w:rFonts w:hint="eastAsia" w:ascii="仿宋_GB2312" w:hAnsi="宋体" w:eastAsia="仿宋_GB2312" w:cs="宋体"/>
          <w:color w:val="000000"/>
          <w:kern w:val="0"/>
          <w:sz w:val="28"/>
          <w:szCs w:val="28"/>
          <w:highlight w:val="none"/>
        </w:rPr>
        <w:t>支出</w:t>
      </w:r>
      <w:r>
        <w:rPr>
          <w:rFonts w:hint="eastAsia" w:ascii="仿宋_GB2312" w:hAnsi="宋体" w:eastAsia="仿宋_GB2312" w:cs="宋体"/>
          <w:color w:val="000000"/>
          <w:kern w:val="0"/>
          <w:sz w:val="28"/>
          <w:szCs w:val="28"/>
          <w:highlight w:val="none"/>
          <w:lang w:val="en-US" w:eastAsia="zh-CN"/>
        </w:rPr>
        <w:t>65203.02</w:t>
      </w:r>
      <w:r>
        <w:rPr>
          <w:rFonts w:hint="eastAsia" w:ascii="仿宋_GB2312" w:hAnsi="宋体" w:eastAsia="仿宋_GB2312" w:cs="宋体"/>
          <w:color w:val="000000"/>
          <w:kern w:val="0"/>
          <w:sz w:val="28"/>
          <w:szCs w:val="28"/>
          <w:highlight w:val="none"/>
        </w:rPr>
        <w:t>万元，执行率为</w:t>
      </w:r>
      <w:r>
        <w:rPr>
          <w:rFonts w:hint="eastAsia" w:ascii="仿宋_GB2312" w:hAnsi="宋体" w:eastAsia="仿宋_GB2312" w:cs="宋体"/>
          <w:color w:val="000000"/>
          <w:kern w:val="0"/>
          <w:sz w:val="28"/>
          <w:szCs w:val="28"/>
          <w:highlight w:val="none"/>
          <w:lang w:val="en-US" w:eastAsia="zh-CN"/>
        </w:rPr>
        <w:t>88.57</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lang w:val="en-US" w:eastAsia="zh-CN"/>
        </w:rPr>
        <w:t>当年预算执行情况得分15.43分。</w:t>
      </w:r>
    </w:p>
    <w:p>
      <w:pPr>
        <w:keepNext w:val="0"/>
        <w:keepLines w:val="0"/>
        <w:pageBreakBefore w:val="0"/>
        <w:widowControl w:val="0"/>
        <w:kinsoku/>
        <w:wordWrap/>
        <w:overflowPunct/>
        <w:topLinePunct w:val="0"/>
        <w:bidi w:val="0"/>
        <w:spacing w:line="560" w:lineRule="exact"/>
        <w:ind w:firstLine="560" w:firstLineChars="200"/>
        <w:textAlignment w:val="auto"/>
        <w:rPr>
          <w:rFonts w:hint="eastAsia" w:ascii="仿宋_GB2312" w:hAnsi="仿宋_GB2312" w:eastAsia="仿宋_GB2312" w:cs="仿宋_GB2312"/>
          <w:sz w:val="28"/>
          <w:szCs w:val="28"/>
        </w:rPr>
      </w:pPr>
      <w:r>
        <w:rPr>
          <w:rFonts w:hint="eastAsia" w:ascii="仿宋_GB2312" w:hAnsi="宋体" w:eastAsia="仿宋_GB2312" w:cs="宋体"/>
          <w:color w:val="000000"/>
          <w:kern w:val="0"/>
          <w:sz w:val="28"/>
          <w:szCs w:val="28"/>
          <w:highlight w:val="none"/>
          <w:lang w:val="en-US" w:eastAsia="zh-CN"/>
        </w:rPr>
        <w:t>2.</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镇</w:t>
      </w:r>
      <w:r>
        <w:rPr>
          <w:rFonts w:hint="eastAsia" w:ascii="仿宋_GB2312" w:hAnsi="仿宋_GB2312" w:eastAsia="仿宋_GB2312" w:cs="仿宋_GB2312"/>
          <w:sz w:val="28"/>
          <w:szCs w:val="28"/>
        </w:rPr>
        <w:t>基本实现了年初设定的绩效目标</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较好地完成了各项工作任务</w:t>
      </w:r>
      <w:r>
        <w:rPr>
          <w:rFonts w:hint="eastAsia" w:ascii="仿宋_GB2312" w:hAnsi="仿宋_GB2312" w:eastAsia="仿宋_GB2312" w:cs="仿宋_GB2312"/>
          <w:sz w:val="28"/>
          <w:szCs w:val="28"/>
          <w:lang w:eastAsia="zh-CN"/>
        </w:rPr>
        <w:t>，</w:t>
      </w:r>
      <w:r>
        <w:rPr>
          <w:rFonts w:hint="eastAsia" w:ascii="仿宋_GB2312" w:hAnsi="宋体" w:eastAsia="仿宋_GB2312" w:cs="宋体"/>
          <w:color w:val="000000"/>
          <w:kern w:val="0"/>
          <w:sz w:val="28"/>
          <w:szCs w:val="28"/>
          <w:highlight w:val="none"/>
          <w:lang w:val="en-US" w:eastAsia="zh-CN"/>
        </w:rPr>
        <w:t>整体绩效目标实现情况得分60分。</w:t>
      </w:r>
    </w:p>
    <w:p>
      <w:pPr>
        <w:pStyle w:val="11"/>
        <w:spacing w:line="560" w:lineRule="exact"/>
        <w:ind w:left="0" w:leftChars="0"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3.我</w:t>
      </w:r>
      <w:r>
        <w:rPr>
          <w:rFonts w:hint="eastAsia" w:hAnsi="仿宋_GB2312" w:cs="仿宋_GB2312"/>
          <w:sz w:val="28"/>
          <w:szCs w:val="28"/>
          <w:lang w:eastAsia="zh-CN"/>
        </w:rPr>
        <w:t>镇</w:t>
      </w:r>
      <w:r>
        <w:rPr>
          <w:rFonts w:hint="eastAsia" w:ascii="仿宋_GB2312" w:hAnsi="仿宋_GB2312" w:eastAsia="仿宋_GB2312" w:cs="仿宋_GB2312"/>
          <w:sz w:val="28"/>
          <w:szCs w:val="28"/>
        </w:rPr>
        <w:t>财务管理、资产管理、绩效管理制度健全，预决算差异率</w:t>
      </w:r>
      <w:r>
        <w:rPr>
          <w:rFonts w:hint="eastAsia" w:hAnsi="仿宋_GB2312" w:cs="仿宋_GB2312"/>
          <w:sz w:val="28"/>
          <w:szCs w:val="28"/>
          <w:lang w:eastAsia="zh-CN"/>
        </w:rPr>
        <w:t>较</w:t>
      </w:r>
      <w:r>
        <w:rPr>
          <w:rFonts w:hint="eastAsia" w:ascii="仿宋_GB2312" w:hAnsi="仿宋_GB2312" w:eastAsia="仿宋_GB2312" w:cs="仿宋_GB2312"/>
          <w:sz w:val="28"/>
          <w:szCs w:val="28"/>
        </w:rPr>
        <w:t>低、预算执行情况较好，</w:t>
      </w:r>
      <w:r>
        <w:rPr>
          <w:rFonts w:hint="eastAsia" w:hAnsi="仿宋_GB2312" w:cs="仿宋_GB2312"/>
          <w:sz w:val="28"/>
          <w:szCs w:val="28"/>
          <w:lang w:eastAsia="zh-CN"/>
        </w:rPr>
        <w:t>预算管理情况得分</w:t>
      </w:r>
      <w:r>
        <w:rPr>
          <w:rFonts w:hint="eastAsia" w:hAnsi="仿宋_GB2312" w:cs="仿宋_GB2312"/>
          <w:sz w:val="28"/>
          <w:szCs w:val="28"/>
          <w:lang w:val="en-US" w:eastAsia="zh-CN"/>
        </w:rPr>
        <w:t>20分。</w:t>
      </w:r>
    </w:p>
    <w:p>
      <w:pPr>
        <w:ind w:firstLine="640"/>
        <w:rPr>
          <w:rFonts w:hint="eastAsia"/>
        </w:rPr>
      </w:pPr>
      <w:r>
        <w:rPr>
          <w:rFonts w:hint="eastAsia" w:ascii="仿宋_GB2312" w:hAnsi="仿宋_GB2312" w:eastAsia="仿宋_GB2312" w:cs="仿宋_GB2312"/>
          <w:sz w:val="28"/>
          <w:szCs w:val="28"/>
        </w:rPr>
        <w:t>综上</w:t>
      </w:r>
      <w:r>
        <w:rPr>
          <w:rFonts w:hint="eastAsia" w:ascii="仿宋_GB2312" w:hAnsi="仿宋_GB2312" w:eastAsia="仿宋_GB2312" w:cs="仿宋_GB2312"/>
          <w:sz w:val="28"/>
          <w:szCs w:val="28"/>
          <w:lang w:eastAsia="zh-CN"/>
        </w:rPr>
        <w:t>所述</w:t>
      </w:r>
      <w:r>
        <w:rPr>
          <w:rFonts w:hint="eastAsia" w:ascii="仿宋_GB2312" w:hAnsi="仿宋_GB2312" w:eastAsia="仿宋_GB2312" w:cs="仿宋_GB2312"/>
          <w:sz w:val="28"/>
          <w:szCs w:val="28"/>
        </w:rPr>
        <w:t>，我</w:t>
      </w:r>
      <w:r>
        <w:rPr>
          <w:rFonts w:hint="eastAsia" w:ascii="仿宋_GB2312" w:hAnsi="仿宋_GB2312" w:eastAsia="仿宋_GB2312" w:cs="仿宋_GB2312"/>
          <w:sz w:val="28"/>
          <w:szCs w:val="28"/>
          <w:lang w:eastAsia="zh-CN"/>
        </w:rPr>
        <w:t>部门</w:t>
      </w: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年度部门整体绩效得分</w:t>
      </w:r>
      <w:r>
        <w:rPr>
          <w:rFonts w:hint="eastAsia" w:ascii="仿宋_GB2312" w:hAnsi="仿宋_GB2312" w:eastAsia="仿宋_GB2312" w:cs="仿宋_GB2312"/>
          <w:sz w:val="28"/>
          <w:szCs w:val="28"/>
          <w:lang w:val="en-US" w:eastAsia="zh-CN"/>
        </w:rPr>
        <w:t>95.43</w:t>
      </w:r>
      <w:r>
        <w:rPr>
          <w:rFonts w:hint="eastAsia" w:ascii="仿宋_GB2312" w:hAnsi="仿宋_GB2312" w:eastAsia="仿宋_GB2312" w:cs="仿宋_GB2312"/>
          <w:sz w:val="28"/>
          <w:szCs w:val="28"/>
        </w:rPr>
        <w:t>分。</w:t>
      </w:r>
    </w:p>
    <w:p>
      <w:pPr>
        <w:numPr>
          <w:ilvl w:val="0"/>
          <w:numId w:val="1"/>
        </w:numPr>
        <w:spacing w:line="480" w:lineRule="exact"/>
        <w:ind w:left="0" w:leftChars="0"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存在的问题及原因分析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2024年，我镇紧紧围绕全镇中心工作，充分发挥财政职能作用，推动经济发展量质齐升，同时，我们也清醒地看到，财政运行还存在一些困难和问题：一是经济增速放缓，新增财源培育周期较长，短期内难以形成税收，财政收入可持续增长压力仍然较大。二是财政收支“紧平衡”状态依然存在，重点领域支出需求大幅增加，财力统筹平衡难度加剧。我们需高度重视这些问题，积极采取措施加以解决，力争工作年年都有新进展。</w:t>
      </w:r>
    </w:p>
    <w:p>
      <w:pPr>
        <w:numPr>
          <w:ilvl w:val="0"/>
          <w:numId w:val="3"/>
        </w:numPr>
        <w:spacing w:line="480" w:lineRule="exact"/>
        <w:ind w:firstLine="560" w:firstLineChars="200"/>
        <w:rPr>
          <w:rFonts w:hint="eastAsia" w:ascii="黑体" w:hAnsi="黑体" w:eastAsia="黑体" w:cs="宋体"/>
          <w:color w:val="000000"/>
          <w:kern w:val="0"/>
          <w:sz w:val="28"/>
          <w:szCs w:val="28"/>
        </w:rPr>
      </w:pPr>
      <w:r>
        <w:rPr>
          <w:rFonts w:hint="eastAsia" w:ascii="黑体" w:hAnsi="黑体" w:eastAsia="黑体" w:cs="宋体"/>
          <w:color w:val="000000"/>
          <w:kern w:val="0"/>
          <w:sz w:val="28"/>
          <w:szCs w:val="28"/>
        </w:rPr>
        <w:t>措施建议</w:t>
      </w:r>
    </w:p>
    <w:p>
      <w:pPr>
        <w:keepNext w:val="0"/>
        <w:keepLines w:val="0"/>
        <w:pageBreakBefore w:val="0"/>
        <w:widowControl w:val="0"/>
        <w:kinsoku/>
        <w:wordWrap/>
        <w:overflowPunct/>
        <w:topLinePunct w:val="0"/>
        <w:autoSpaceDE/>
        <w:autoSpaceDN/>
        <w:bidi w:val="0"/>
        <w:adjustRightInd/>
        <w:snapToGrid/>
        <w:spacing w:line="560" w:lineRule="exact"/>
        <w:ind w:leftChars="0" w:firstLine="560" w:firstLineChars="200"/>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2025年是“十四五”收官之年，也是谋划“十五五”重大战略的重要时期，做好全年工作至关重要。下一步，我镇将坚持稳中求进工作总基调，完整、准确、全面贯彻新发展理念，紧抓临空经济和航空航天产业发展机遇，以实干实绩实效持续谱写安定高质量发展新篇章。</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（一）聚力攻坚“破难点”，确保完成财政收入任务</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一是</w:t>
      </w:r>
      <w:r>
        <w:rPr>
          <w:rFonts w:hint="eastAsia" w:ascii="仿宋_GB2312" w:hAnsi="仿宋_GB2312" w:eastAsia="仿宋_GB2312" w:cs="仿宋_GB2312"/>
          <w:kern w:val="2"/>
          <w:sz w:val="28"/>
          <w:szCs w:val="28"/>
          <w:lang w:val="en-US" w:eastAsia="zh-CN" w:bidi="ar-SA"/>
        </w:rPr>
        <w:t>坚持以商招商总体思路。强化上下游产业链动态分析，以商业航天、循环经济园为桥梁纽带，集中精力招引其上下游及关联产业，建立特色产业链。</w:t>
      </w:r>
      <w:r>
        <w:rPr>
          <w:rFonts w:hint="eastAsia" w:ascii="仿宋_GB2312" w:hAnsi="仿宋_GB2312" w:eastAsia="仿宋_GB2312" w:cs="仿宋_GB2312"/>
          <w:b/>
          <w:bCs/>
          <w:kern w:val="2"/>
          <w:sz w:val="28"/>
          <w:szCs w:val="28"/>
          <w:lang w:val="en-US" w:eastAsia="zh-CN" w:bidi="ar-SA"/>
        </w:rPr>
        <w:t>二是</w:t>
      </w:r>
      <w:r>
        <w:rPr>
          <w:rFonts w:hint="eastAsia" w:ascii="仿宋_GB2312" w:hAnsi="仿宋_GB2312" w:eastAsia="仿宋_GB2312" w:cs="仿宋_GB2312"/>
          <w:kern w:val="2"/>
          <w:sz w:val="28"/>
          <w:szCs w:val="28"/>
          <w:lang w:val="en-US" w:eastAsia="zh-CN" w:bidi="ar-SA"/>
        </w:rPr>
        <w:t>将“服务包”企业、标签企业、头部财源孵化企业等按行业大类归纳梳理营业范围，形成“企业产品名录”，结合镇内业务范围，帮助企业搭场景、拓市场、引资源，助力企业增产增收，促进镇域经济内循环。</w:t>
      </w:r>
      <w:r>
        <w:rPr>
          <w:rFonts w:hint="eastAsia" w:ascii="仿宋_GB2312" w:hAnsi="仿宋_GB2312" w:eastAsia="仿宋_GB2312" w:cs="仿宋_GB2312"/>
          <w:b/>
          <w:bCs/>
          <w:kern w:val="2"/>
          <w:sz w:val="28"/>
          <w:szCs w:val="28"/>
          <w:lang w:val="en-US" w:eastAsia="zh-CN" w:bidi="ar-SA"/>
        </w:rPr>
        <w:t>三是</w:t>
      </w:r>
      <w:r>
        <w:rPr>
          <w:rFonts w:hint="eastAsia" w:ascii="仿宋_GB2312" w:hAnsi="仿宋_GB2312" w:eastAsia="仿宋_GB2312" w:cs="仿宋_GB2312"/>
          <w:kern w:val="2"/>
          <w:sz w:val="28"/>
          <w:szCs w:val="28"/>
          <w:lang w:val="en-US" w:eastAsia="zh-CN" w:bidi="ar-SA"/>
        </w:rPr>
        <w:t>联合市场所梳理全镇企业台账，对本镇注册异地纳税企业进行追缴，对无经营企业进行清理，实现零散税源应缴尽缴。</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（二）突出特色“添亮点”，深掘企业服务内在潜力</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一是</w:t>
      </w:r>
      <w:r>
        <w:rPr>
          <w:rFonts w:hint="eastAsia" w:ascii="仿宋_GB2312" w:hAnsi="仿宋_GB2312" w:eastAsia="仿宋_GB2312" w:cs="仿宋_GB2312"/>
          <w:kern w:val="2"/>
          <w:sz w:val="28"/>
          <w:szCs w:val="28"/>
          <w:lang w:val="en-US" w:eastAsia="zh-CN" w:bidi="ar-SA"/>
        </w:rPr>
        <w:t>重点瞄准符合我镇产业发展方向的高新技术企业、科技型中小微企业等，利用领导包企走访机制，加大对接服务向优质潜力中小微企业倾斜力度，培育新的经济增长点。</w:t>
      </w:r>
      <w:r>
        <w:rPr>
          <w:rFonts w:hint="eastAsia" w:ascii="仿宋_GB2312" w:hAnsi="仿宋_GB2312" w:eastAsia="仿宋_GB2312" w:cs="仿宋_GB2312"/>
          <w:b/>
          <w:bCs/>
          <w:kern w:val="2"/>
          <w:sz w:val="28"/>
          <w:szCs w:val="28"/>
          <w:lang w:val="en-US" w:eastAsia="zh-CN" w:bidi="ar-SA"/>
        </w:rPr>
        <w:t>二是</w:t>
      </w:r>
      <w:r>
        <w:rPr>
          <w:rFonts w:hint="eastAsia" w:ascii="仿宋_GB2312" w:hAnsi="仿宋_GB2312" w:eastAsia="仿宋_GB2312" w:cs="仿宋_GB2312"/>
          <w:kern w:val="2"/>
          <w:sz w:val="28"/>
          <w:szCs w:val="28"/>
          <w:lang w:val="en-US" w:eastAsia="zh-CN" w:bidi="ar-SA"/>
        </w:rPr>
        <w:t>全面梳理各项惠企政策，精准做好政策宣传推送，积极指导企业完成政策兑现申报，把政策红利转化为实实在在的帮扶成效，坚定企业发展信心。</w:t>
      </w:r>
      <w:r>
        <w:rPr>
          <w:rFonts w:hint="eastAsia" w:ascii="仿宋_GB2312" w:hAnsi="仿宋_GB2312" w:eastAsia="仿宋_GB2312" w:cs="仿宋_GB2312"/>
          <w:b/>
          <w:bCs/>
          <w:kern w:val="2"/>
          <w:sz w:val="28"/>
          <w:szCs w:val="28"/>
          <w:lang w:val="en-US" w:eastAsia="zh-CN" w:bidi="ar-SA"/>
        </w:rPr>
        <w:t>三是</w:t>
      </w:r>
      <w:r>
        <w:rPr>
          <w:rFonts w:hint="eastAsia" w:ascii="仿宋_GB2312" w:hAnsi="仿宋_GB2312" w:eastAsia="仿宋_GB2312" w:cs="仿宋_GB2312"/>
          <w:kern w:val="2"/>
          <w:sz w:val="28"/>
          <w:szCs w:val="28"/>
          <w:lang w:val="en-US" w:eastAsia="zh-CN" w:bidi="ar-SA"/>
        </w:rPr>
        <w:t>强化税源监测，及时掌握企业外迁、产能外溢、增产扩产等意向信息，及时了解企业诉求，提高服务效能，确保税源企业不流失。</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（三）持之以恒“抓重点”，助推财政管理提档升级</w:t>
      </w:r>
    </w:p>
    <w:p>
      <w:pPr>
        <w:keepNext w:val="0"/>
        <w:keepLines w:val="0"/>
        <w:pageBreakBefore w:val="0"/>
        <w:widowControl w:val="0"/>
        <w:kinsoku/>
        <w:wordWrap/>
        <w:overflowPunct/>
        <w:topLinePunct w:val="0"/>
        <w:autoSpaceDE/>
        <w:autoSpaceDN/>
        <w:bidi w:val="0"/>
        <w:adjustRightInd/>
        <w:snapToGrid/>
        <w:spacing w:beforeAutospacing="0" w:afterAutospacing="0" w:line="560" w:lineRule="exact"/>
        <w:ind w:left="0" w:leftChars="0" w:right="0" w:rightChars="0" w:firstLine="560" w:firstLineChars="200"/>
        <w:jc w:val="both"/>
        <w:textAlignment w:val="auto"/>
        <w:outlineLvl w:val="9"/>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kern w:val="2"/>
          <w:sz w:val="28"/>
          <w:szCs w:val="28"/>
          <w:lang w:val="en-US" w:eastAsia="zh-CN" w:bidi="ar-SA"/>
        </w:rPr>
        <w:t>一是</w:t>
      </w:r>
      <w:r>
        <w:rPr>
          <w:rFonts w:hint="eastAsia" w:ascii="仿宋_GB2312" w:hAnsi="仿宋_GB2312" w:eastAsia="仿宋_GB2312" w:cs="仿宋_GB2312"/>
          <w:kern w:val="2"/>
          <w:sz w:val="28"/>
          <w:szCs w:val="28"/>
          <w:lang w:val="en-US" w:eastAsia="zh-CN" w:bidi="ar-SA"/>
        </w:rPr>
        <w:t>量入为出，不断优化支出结构。兜牢“三保”底线，足额保障三保范围内预算资金，对于三保外刚性支出应保尽保，优先将财政资金安排于民生领域；坚决落实“党政机关过紧日子”思想，梳理镇内相关联项目支出，优化资源，统筹管理，减少不必要支出；压减一般性支出，确保将财政资金用在刀刃上。</w:t>
      </w:r>
      <w:r>
        <w:rPr>
          <w:rFonts w:hint="eastAsia" w:ascii="仿宋_GB2312" w:hAnsi="仿宋_GB2312" w:eastAsia="仿宋_GB2312" w:cs="仿宋_GB2312"/>
          <w:b/>
          <w:bCs/>
          <w:kern w:val="2"/>
          <w:sz w:val="28"/>
          <w:szCs w:val="28"/>
          <w:lang w:val="en-US" w:eastAsia="zh-CN" w:bidi="ar-SA"/>
        </w:rPr>
        <w:t>二是</w:t>
      </w:r>
      <w:r>
        <w:rPr>
          <w:rFonts w:hint="eastAsia" w:ascii="仿宋_GB2312" w:hAnsi="仿宋_GB2312" w:eastAsia="仿宋_GB2312" w:cs="仿宋_GB2312"/>
          <w:kern w:val="2"/>
          <w:sz w:val="28"/>
          <w:szCs w:val="28"/>
          <w:lang w:val="en-US" w:eastAsia="zh-CN" w:bidi="ar-SA"/>
        </w:rPr>
        <w:t>完善机制，持续强化预算管理。严格执行预算管理全流程，将上年绩效评价结果应用于预算编制阶段；根据实际情况组织开展事前绩效评估及成本绩效分析工作，对项目的可行性、必要性等进行科学论证研判，进一步压减项目支出成本，提高资金使用效益。</w:t>
      </w:r>
    </w:p>
    <w:tbl>
      <w:tblPr>
        <w:tblStyle w:val="12"/>
        <w:tblW w:w="0" w:type="auto"/>
        <w:tblInd w:w="0" w:type="dxa"/>
        <w:tblLayout w:type="fixed"/>
        <w:tblCellMar>
          <w:top w:w="0" w:type="dxa"/>
          <w:left w:w="108" w:type="dxa"/>
          <w:bottom w:w="0" w:type="dxa"/>
          <w:right w:w="108" w:type="dxa"/>
        </w:tblCellMar>
      </w:tblPr>
      <w:tblGrid>
        <w:gridCol w:w="1100"/>
        <w:gridCol w:w="1100"/>
        <w:gridCol w:w="1375"/>
        <w:gridCol w:w="3050"/>
        <w:gridCol w:w="3507"/>
        <w:gridCol w:w="1012"/>
        <w:gridCol w:w="1060"/>
        <w:gridCol w:w="658"/>
        <w:gridCol w:w="687"/>
        <w:gridCol w:w="625"/>
      </w:tblGrid>
      <w:tr>
        <w:tblPrEx>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vAlign w:val="center"/>
          </w:tcPr>
          <w:p>
            <w:pPr>
              <w:widowControl/>
              <w:jc w:val="center"/>
              <w:textAlignment w:val="center"/>
              <w:rPr>
                <w:rFonts w:hint="eastAsia" w:ascii="宋体" w:hAnsi="宋体" w:cs="宋体"/>
                <w:b/>
                <w:bCs/>
                <w:color w:val="000000"/>
                <w:sz w:val="24"/>
              </w:rPr>
            </w:pPr>
            <w:r>
              <w:rPr>
                <w:rFonts w:hint="eastAsia" w:ascii="宋体" w:hAnsi="宋体" w:cs="宋体"/>
                <w:b/>
                <w:bCs/>
                <w:color w:val="000000"/>
                <w:kern w:val="0"/>
                <w:sz w:val="24"/>
                <w:lang w:bidi="ar"/>
              </w:rPr>
              <w:t>2024年度部门整体绩效评价表</w:t>
            </w:r>
          </w:p>
        </w:tc>
      </w:tr>
      <w:tr>
        <w:tblPrEx>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一、当年预算执行情况（20分）</w:t>
            </w:r>
          </w:p>
        </w:tc>
      </w:tr>
      <w:tr>
        <w:tblPrEx>
          <w:tblCellMar>
            <w:top w:w="0" w:type="dxa"/>
            <w:left w:w="108" w:type="dxa"/>
            <w:bottom w:w="0" w:type="dxa"/>
            <w:right w:w="108" w:type="dxa"/>
          </w:tblCellMar>
        </w:tblPrEx>
        <w:trPr>
          <w:trHeight w:val="500" w:hRule="atLeast"/>
        </w:trPr>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预算数（万元）</w:t>
            </w:r>
          </w:p>
        </w:tc>
        <w:tc>
          <w:tcPr>
            <w:tcW w:w="106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执行数（万元）</w:t>
            </w:r>
          </w:p>
        </w:tc>
        <w:tc>
          <w:tcPr>
            <w:tcW w:w="658"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CellMar>
            <w:top w:w="0" w:type="dxa"/>
            <w:left w:w="108" w:type="dxa"/>
            <w:bottom w:w="0" w:type="dxa"/>
            <w:right w:w="108" w:type="dxa"/>
          </w:tblCellMar>
        </w:tblPrEx>
        <w:trPr>
          <w:trHeight w:val="1796"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（20分）</w:t>
            </w:r>
          </w:p>
        </w:tc>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当年预算执行情况（20）</w:t>
            </w:r>
          </w:p>
        </w:tc>
        <w:tc>
          <w:tcPr>
            <w:tcW w:w="137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资金总体</w:t>
            </w:r>
          </w:p>
        </w:tc>
        <w:tc>
          <w:tcPr>
            <w:tcW w:w="3050"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部门全年执行数与全年预算数的比率。资金总体=基本支出+项目支出+其他</w:t>
            </w:r>
          </w:p>
        </w:tc>
        <w:tc>
          <w:tcPr>
            <w:tcW w:w="3507" w:type="dxa"/>
            <w:vMerge w:val="restart"/>
            <w:tcBorders>
              <w:top w:val="single" w:color="auto" w:sz="4" w:space="0"/>
              <w:left w:val="single" w:color="auto" w:sz="4" w:space="0"/>
              <w:bottom w:val="single" w:color="auto" w:sz="4" w:space="0"/>
              <w:right w:val="single" w:color="auto" w:sz="4" w:space="0"/>
            </w:tcBorders>
            <w:vAlign w:val="center"/>
          </w:tcPr>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①得分一档最高不能超过该指标分值上限（20分）。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②该指标若为正向指标，得分计算方法为：执行数/预算数*20；</w:t>
            </w:r>
          </w:p>
          <w:p>
            <w:pPr>
              <w:widowControl/>
              <w:jc w:val="left"/>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③该指标得分计算资金总体即可，分类支出填写预算数及执行数，无需计算分项执行率；</w:t>
            </w:r>
          </w:p>
          <w:p>
            <w:pPr>
              <w:widowControl/>
              <w:jc w:val="left"/>
              <w:textAlignment w:val="center"/>
              <w:rPr>
                <w:rFonts w:ascii="宋体" w:hAnsi="宋体" w:cs="宋体"/>
                <w:color w:val="000000"/>
                <w:kern w:val="0"/>
                <w:szCs w:val="21"/>
                <w:lang w:bidi="ar"/>
              </w:rPr>
            </w:pPr>
            <w:r>
              <w:rPr>
                <w:rFonts w:hint="eastAsia" w:ascii="宋体" w:hAnsi="宋体" w:cs="宋体"/>
                <w:color w:val="000000"/>
                <w:kern w:val="0"/>
                <w:szCs w:val="21"/>
                <w:lang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1012" w:type="dxa"/>
            <w:tcBorders>
              <w:top w:val="single" w:color="auto" w:sz="4" w:space="0"/>
              <w:left w:val="single" w:color="auto" w:sz="4" w:space="0"/>
              <w:bottom w:val="single" w:color="auto" w:sz="4" w:space="0"/>
              <w:right w:val="single" w:color="auto" w:sz="4" w:space="0"/>
            </w:tcBorders>
            <w:vAlign w:val="center"/>
          </w:tcPr>
          <w:p>
            <w:pPr>
              <w:jc w:val="right"/>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73619.98</w:t>
            </w:r>
          </w:p>
        </w:tc>
        <w:tc>
          <w:tcPr>
            <w:tcW w:w="1060" w:type="dxa"/>
            <w:tcBorders>
              <w:top w:val="single" w:color="auto" w:sz="4" w:space="0"/>
              <w:left w:val="single" w:color="auto" w:sz="4" w:space="0"/>
              <w:bottom w:val="single" w:color="auto" w:sz="4" w:space="0"/>
              <w:right w:val="single" w:color="auto" w:sz="4" w:space="0"/>
            </w:tcBorders>
            <w:vAlign w:val="center"/>
          </w:tcPr>
          <w:p>
            <w:pPr>
              <w:jc w:val="right"/>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65203.02</w:t>
            </w:r>
          </w:p>
        </w:tc>
        <w:tc>
          <w:tcPr>
            <w:tcW w:w="65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20</w:t>
            </w:r>
          </w:p>
        </w:tc>
        <w:tc>
          <w:tcPr>
            <w:tcW w:w="68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77.15%</w:t>
            </w:r>
          </w:p>
        </w:tc>
        <w:tc>
          <w:tcPr>
            <w:tcW w:w="62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15.43</w:t>
            </w:r>
          </w:p>
        </w:tc>
      </w:tr>
      <w:tr>
        <w:tblPrEx>
          <w:tblCellMar>
            <w:top w:w="0" w:type="dxa"/>
            <w:left w:w="108" w:type="dxa"/>
            <w:bottom w:w="0" w:type="dxa"/>
            <w:right w:w="108" w:type="dxa"/>
          </w:tblCellMar>
        </w:tblPrEx>
        <w:trPr>
          <w:trHeight w:val="1072" w:hRule="atLeast"/>
        </w:trPr>
        <w:tc>
          <w:tcPr>
            <w:tcW w:w="1100" w:type="dxa"/>
            <w:vMerge w:val="continue"/>
            <w:tcBorders>
              <w:top w:val="single" w:color="auto"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基本支出</w:t>
            </w:r>
          </w:p>
        </w:tc>
        <w:tc>
          <w:tcPr>
            <w:tcW w:w="3050"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auto"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auto" w:sz="4" w:space="0"/>
              <w:left w:val="single" w:color="000000" w:sz="4" w:space="0"/>
              <w:bottom w:val="single" w:color="000000" w:sz="4" w:space="0"/>
              <w:right w:val="single" w:color="000000" w:sz="4" w:space="0"/>
            </w:tcBorders>
            <w:vAlign w:val="center"/>
          </w:tcPr>
          <w:p>
            <w:pP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7415.9</w:t>
            </w:r>
          </w:p>
        </w:tc>
        <w:tc>
          <w:tcPr>
            <w:tcW w:w="1060" w:type="dxa"/>
            <w:tcBorders>
              <w:top w:val="single" w:color="auto" w:sz="4" w:space="0"/>
              <w:left w:val="single" w:color="000000" w:sz="4" w:space="0"/>
              <w:bottom w:val="single" w:color="000000" w:sz="4" w:space="0"/>
              <w:right w:val="single" w:color="000000" w:sz="4" w:space="0"/>
            </w:tcBorders>
            <w:vAlign w:val="center"/>
          </w:tcPr>
          <w:p>
            <w:pP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7183.82</w:t>
            </w:r>
          </w:p>
        </w:tc>
        <w:tc>
          <w:tcPr>
            <w:tcW w:w="658" w:type="dxa"/>
            <w:vMerge w:val="continue"/>
            <w:tcBorders>
              <w:top w:val="single" w:color="auto"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restart"/>
            <w:tcBorders>
              <w:top w:val="single" w:color="auto"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25" w:type="dxa"/>
            <w:vMerge w:val="continue"/>
            <w:tcBorders>
              <w:top w:val="single" w:color="auto"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CellMar>
            <w:top w:w="0" w:type="dxa"/>
            <w:left w:w="108" w:type="dxa"/>
            <w:bottom w:w="0" w:type="dxa"/>
            <w:right w:w="108" w:type="dxa"/>
          </w:tblCellMar>
        </w:tblPrEx>
        <w:trPr>
          <w:trHeight w:val="136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项目支出</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66204.08</w:t>
            </w: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default" w:ascii="宋体" w:hAnsi="宋体" w:eastAsia="宋体" w:cs="宋体"/>
                <w:color w:val="000000"/>
                <w:sz w:val="22"/>
                <w:szCs w:val="22"/>
                <w:lang w:val="en-US" w:eastAsia="zh-CN"/>
              </w:rPr>
            </w:pPr>
            <w:r>
              <w:rPr>
                <w:rFonts w:hint="eastAsia" w:ascii="宋体" w:hAnsi="宋体" w:cs="宋体"/>
                <w:color w:val="000000"/>
                <w:sz w:val="22"/>
                <w:szCs w:val="22"/>
                <w:lang w:val="en-US" w:eastAsia="zh-CN"/>
              </w:rPr>
              <w:t>58019.2</w:t>
            </w: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CellMar>
            <w:top w:w="0" w:type="dxa"/>
            <w:left w:w="108" w:type="dxa"/>
            <w:bottom w:w="0" w:type="dxa"/>
            <w:right w:w="108" w:type="dxa"/>
          </w:tblCellMar>
        </w:tblPrEx>
        <w:trPr>
          <w:trHeight w:val="1016"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其他</w:t>
            </w:r>
          </w:p>
        </w:tc>
        <w:tc>
          <w:tcPr>
            <w:tcW w:w="3050"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3507" w:type="dxa"/>
            <w:vMerge w:val="continue"/>
            <w:tcBorders>
              <w:top w:val="single" w:color="000000" w:sz="4" w:space="0"/>
              <w:left w:val="single" w:color="000000" w:sz="4" w:space="0"/>
              <w:bottom w:val="single" w:color="000000" w:sz="4" w:space="0"/>
              <w:right w:val="single" w:color="000000" w:sz="4" w:space="0"/>
            </w:tcBorders>
            <w:vAlign w:val="center"/>
          </w:tcPr>
          <w:p>
            <w:pPr>
              <w:jc w:val="left"/>
              <w:rPr>
                <w:rFonts w:hint="eastAsia" w:ascii="宋体" w:hAnsi="宋体" w:cs="宋体"/>
                <w:color w:val="000000"/>
                <w:szCs w:val="21"/>
              </w:rPr>
            </w:pPr>
          </w:p>
        </w:tc>
        <w:tc>
          <w:tcPr>
            <w:tcW w:w="1012"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p>
        </w:tc>
        <w:tc>
          <w:tcPr>
            <w:tcW w:w="1060" w:type="dxa"/>
            <w:tcBorders>
              <w:top w:val="single" w:color="000000" w:sz="4" w:space="0"/>
              <w:left w:val="single" w:color="000000" w:sz="4" w:space="0"/>
              <w:bottom w:val="single" w:color="000000" w:sz="4" w:space="0"/>
              <w:right w:val="single" w:color="000000" w:sz="4" w:space="0"/>
            </w:tcBorders>
            <w:vAlign w:val="center"/>
          </w:tcPr>
          <w:p>
            <w:pPr>
              <w:rPr>
                <w:rFonts w:hint="eastAsia" w:ascii="宋体" w:hAnsi="宋体" w:cs="宋体"/>
                <w:color w:val="000000"/>
                <w:sz w:val="22"/>
                <w:szCs w:val="22"/>
              </w:rPr>
            </w:pPr>
          </w:p>
        </w:tc>
        <w:tc>
          <w:tcPr>
            <w:tcW w:w="65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vMerge w:val="continue"/>
            <w:tcBorders>
              <w:top w:val="single" w:color="000000" w:sz="4" w:space="0"/>
              <w:left w:val="single" w:color="000000" w:sz="4" w:space="0"/>
              <w:bottom w:val="single" w:color="000000" w:sz="4" w:space="0"/>
              <w:right w:val="single" w:color="auto" w:sz="4" w:space="0"/>
            </w:tcBorders>
            <w:vAlign w:val="center"/>
          </w:tcPr>
          <w:p>
            <w:pPr>
              <w:jc w:val="center"/>
              <w:rPr>
                <w:rFonts w:hint="eastAsia" w:ascii="宋体" w:hAnsi="宋体" w:cs="宋体"/>
                <w:color w:val="000000"/>
                <w:szCs w:val="21"/>
              </w:rPr>
            </w:pPr>
          </w:p>
        </w:tc>
      </w:tr>
      <w:tr>
        <w:tblPrEx>
          <w:tblCellMar>
            <w:top w:w="0" w:type="dxa"/>
            <w:left w:w="108" w:type="dxa"/>
            <w:bottom w:w="0" w:type="dxa"/>
            <w:right w:w="108" w:type="dxa"/>
          </w:tblCellMar>
        </w:tblPrEx>
        <w:trPr>
          <w:trHeight w:val="500" w:hRule="atLeast"/>
        </w:trPr>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000000"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000000"/>
                <w:szCs w:val="21"/>
                <w:lang w:val="en-US" w:eastAsia="zh-CN"/>
              </w:rPr>
            </w:pPr>
            <w:r>
              <w:rPr>
                <w:rFonts w:hint="eastAsia" w:ascii="宋体" w:hAnsi="宋体" w:cs="宋体"/>
                <w:b/>
                <w:bCs/>
                <w:color w:val="000000"/>
                <w:szCs w:val="21"/>
                <w:lang w:val="en-US" w:eastAsia="zh-CN"/>
              </w:rPr>
              <w:t>15.43</w:t>
            </w:r>
          </w:p>
        </w:tc>
      </w:tr>
      <w:tr>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二、整体绩效目标实现情况（60分）</w:t>
            </w:r>
          </w:p>
        </w:tc>
      </w:tr>
      <w:tr>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任务名称</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指标名称</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指标内容和指标值</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年度完成情况</w:t>
            </w: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CellMar>
            <w:top w:w="0" w:type="dxa"/>
            <w:left w:w="108" w:type="dxa"/>
            <w:bottom w:w="0" w:type="dxa"/>
            <w:right w:w="108" w:type="dxa"/>
          </w:tblCellMar>
        </w:tblPrEx>
        <w:trPr>
          <w:trHeight w:val="5822"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整体绩效目标实现情况（60分）</w:t>
            </w: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lang w:eastAsia="zh-CN"/>
              </w:rPr>
              <w:t>投资促进</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lang w:eastAsia="zh-CN"/>
              </w:rPr>
              <w:t>投资促进</w:t>
            </w:r>
          </w:p>
        </w:tc>
        <w:tc>
          <w:tcPr>
            <w:tcW w:w="30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numPr>
                <w:ilvl w:val="0"/>
                <w:numId w:val="0"/>
              </w:numPr>
              <w:kinsoku/>
              <w:wordWrap/>
              <w:overflowPunct/>
              <w:topLinePunct w:val="0"/>
              <w:autoSpaceDE/>
              <w:autoSpaceDN/>
              <w:bidi w:val="0"/>
              <w:adjustRightInd/>
              <w:snapToGrid/>
              <w:spacing w:before="156" w:beforeLines="50" w:after="156" w:afterLines="50" w:line="300" w:lineRule="exact"/>
              <w:jc w:val="both"/>
              <w:textAlignment w:val="auto"/>
              <w:rPr>
                <w:rFonts w:hint="eastAsia" w:ascii="仿宋_GB2312" w:hAnsi="仿宋_GB2312" w:eastAsia="仿宋_GB2312" w:cs="仿宋_GB2312"/>
                <w:color w:val="000000"/>
                <w:sz w:val="28"/>
                <w:szCs w:val="28"/>
                <w:highlight w:val="none"/>
                <w:lang w:val="en-US" w:eastAsia="zh-CN"/>
              </w:rPr>
            </w:pPr>
            <w:r>
              <w:rPr>
                <w:rFonts w:hint="eastAsia" w:ascii="宋体" w:hAnsi="宋体" w:eastAsia="宋体" w:cs="宋体"/>
                <w:color w:val="000000"/>
                <w:sz w:val="18"/>
                <w:szCs w:val="18"/>
                <w:highlight w:val="none"/>
                <w:lang w:val="en-US" w:eastAsia="zh-CN"/>
              </w:rPr>
              <w:t>坚持强产业、优服务，凝聚经济发展新动能。一是全力以赴抓招商。积极主动“走出去”“请进来”，拓展招商引资渠道，推动更多大项目、好项目进驻我镇。二是坚定不移推项目。坚持“项目为王”的理念，积极向上争取资金，提高项目开工率、竣工率、投产率。三是贴心尽心优服务。不断完善企业“服务包”制度，加大企业走访服务力度，提供“保姆式”服务，为企业投资兴业保驾护航。</w:t>
            </w:r>
          </w:p>
          <w:p>
            <w:pPr>
              <w:rPr>
                <w:rFonts w:hint="eastAsia" w:ascii="宋体" w:hAnsi="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kinsoku/>
              <w:wordWrap/>
              <w:overflowPunct/>
              <w:topLinePunct w:val="0"/>
              <w:autoSpaceDE/>
              <w:autoSpaceDN/>
              <w:bidi w:val="0"/>
              <w:adjustRightInd/>
              <w:snapToGrid w:val="0"/>
              <w:spacing w:line="300" w:lineRule="exact"/>
              <w:ind w:firstLine="360" w:firstLineChars="200"/>
              <w:textAlignment w:val="auto"/>
              <w:rPr>
                <w:rFonts w:hint="eastAsia" w:ascii="宋体" w:hAnsi="宋体" w:eastAsia="宋体" w:cs="宋体"/>
                <w:color w:val="000000"/>
                <w:kern w:val="2"/>
                <w:sz w:val="18"/>
                <w:szCs w:val="18"/>
                <w:highlight w:val="none"/>
                <w:lang w:val="en-US" w:eastAsia="zh-CN" w:bidi="ar-SA"/>
              </w:rPr>
            </w:pPr>
            <w:r>
              <w:rPr>
                <w:rFonts w:hint="eastAsia" w:ascii="宋体" w:hAnsi="宋体" w:eastAsia="宋体" w:cs="宋体"/>
                <w:b/>
                <w:bCs/>
                <w:color w:val="000000"/>
                <w:kern w:val="2"/>
                <w:sz w:val="18"/>
                <w:szCs w:val="18"/>
                <w:highlight w:val="none"/>
                <w:lang w:val="en-US" w:eastAsia="zh-CN" w:bidi="ar-SA"/>
              </w:rPr>
              <w:t>招商引资精准发力。</w:t>
            </w:r>
            <w:r>
              <w:rPr>
                <w:rFonts w:hint="eastAsia" w:ascii="宋体" w:hAnsi="宋体" w:eastAsia="宋体" w:cs="宋体"/>
                <w:color w:val="000000"/>
                <w:kern w:val="2"/>
                <w:sz w:val="18"/>
                <w:szCs w:val="18"/>
                <w:highlight w:val="none"/>
                <w:lang w:val="en-US" w:eastAsia="zh-CN" w:bidi="ar-SA"/>
              </w:rPr>
              <w:t>突出链条化、精准化招商，持续完善招商图谱，全年新注册企业189家，其中重点企业21家，千万级企业7家，新引进税源企业3家，入库企业22家。</w:t>
            </w:r>
            <w:r>
              <w:rPr>
                <w:rFonts w:hint="eastAsia" w:ascii="宋体" w:hAnsi="宋体" w:eastAsia="宋体" w:cs="宋体"/>
                <w:b/>
                <w:bCs/>
                <w:color w:val="000000"/>
                <w:kern w:val="2"/>
                <w:sz w:val="18"/>
                <w:szCs w:val="18"/>
                <w:highlight w:val="none"/>
                <w:lang w:val="en-US" w:eastAsia="zh-CN" w:bidi="ar-SA"/>
              </w:rPr>
              <w:t>项目建设持续发力。</w:t>
            </w:r>
            <w:r>
              <w:rPr>
                <w:rFonts w:hint="eastAsia" w:ascii="宋体" w:hAnsi="宋体" w:eastAsia="宋体" w:cs="宋体"/>
                <w:color w:val="000000"/>
                <w:kern w:val="2"/>
                <w:sz w:val="18"/>
                <w:szCs w:val="18"/>
                <w:highlight w:val="none"/>
                <w:lang w:val="en-US" w:eastAsia="zh-CN" w:bidi="ar-SA"/>
              </w:rPr>
              <w:t>聚焦关键环节，强化部门协同，高标准打造北京商业航天基地，完成产业5年规划、启动园区二期开发，同步推进航天国兆北京商业航天产业基地创新中心项目。借力循环经济产业园新发展动力源，全市首个生物质绿氢项目落地园区。</w:t>
            </w:r>
            <w:r>
              <w:rPr>
                <w:rFonts w:hint="eastAsia" w:ascii="宋体" w:hAnsi="宋体" w:eastAsia="宋体" w:cs="宋体"/>
                <w:b/>
                <w:bCs/>
                <w:color w:val="000000"/>
                <w:kern w:val="2"/>
                <w:sz w:val="18"/>
                <w:szCs w:val="18"/>
                <w:highlight w:val="none"/>
                <w:lang w:val="en-US" w:eastAsia="zh-CN" w:bidi="ar-SA"/>
              </w:rPr>
              <w:t>营商环境持续优化。</w:t>
            </w:r>
            <w:r>
              <w:rPr>
                <w:rFonts w:hint="eastAsia" w:ascii="宋体" w:hAnsi="宋体" w:eastAsia="宋体" w:cs="宋体"/>
                <w:color w:val="000000"/>
                <w:kern w:val="2"/>
                <w:sz w:val="18"/>
                <w:szCs w:val="18"/>
                <w:highlight w:val="none"/>
                <w:lang w:val="en-US" w:eastAsia="zh-CN" w:bidi="ar-SA"/>
              </w:rPr>
              <w:t>坚持把企业服务工作作为“一把手”工程来抓，制定“一对一包企深耕计划”，通过“点对点指导、面对面沟通方式”，为企业出良策、办实事、解难题，全年累计办理服务事项300余次，成功举办商业航天与应用技术创新交流会暨优秀成果发布会、企业家交流活动等，真正实现了政府搭台、平台赋能、企业联动。</w:t>
            </w:r>
          </w:p>
          <w:p>
            <w:pPr>
              <w:rPr>
                <w:rFonts w:hint="eastAsia" w:ascii="宋体" w:hAnsi="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15</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 w:val="18"/>
                <w:szCs w:val="18"/>
                <w:lang w:val="en-US" w:eastAsia="zh-CN"/>
              </w:rPr>
              <w:t>基层治理</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 w:val="18"/>
                <w:szCs w:val="18"/>
                <w:lang w:val="en-US" w:eastAsia="zh-CN"/>
              </w:rPr>
              <w:t>基层治理</w:t>
            </w:r>
          </w:p>
        </w:tc>
        <w:tc>
          <w:tcPr>
            <w:tcW w:w="3050"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仿宋_GB2312" w:hAnsi="仿宋_GB2312" w:eastAsia="仿宋_GB2312" w:cs="仿宋_GB2312"/>
                <w:sz w:val="28"/>
                <w:szCs w:val="28"/>
                <w:lang w:val="en-US" w:eastAsia="zh-CN"/>
              </w:rPr>
            </w:pPr>
            <w:r>
              <w:rPr>
                <w:rFonts w:hint="eastAsia" w:ascii="宋体" w:hAnsi="宋体" w:eastAsia="宋体" w:cs="宋体"/>
                <w:sz w:val="18"/>
                <w:szCs w:val="18"/>
                <w:lang w:val="en-US" w:eastAsia="zh-CN"/>
              </w:rPr>
              <w:t>坚持强基础、优环境，构建城乡融合新格局。一是做深做实乡村振兴。依托本级财力和积极向上争取资金，着力在美丽乡村、基础设施、公共服务等方面一体化推进。二是做精做细环境治理。严格落实农村人居环境长效管护机制，统筹抓好公厕管护、生活污水治理、垃圾分类等，持续巩固“双创”成果。三是做强做优现代农业。依托古桑资源优势，全力推进“桑资源综合利用开发”，持续延伸桑产业发展链条。</w:t>
            </w:r>
          </w:p>
          <w:p>
            <w:pPr>
              <w:rPr>
                <w:rFonts w:hint="eastAsia" w:ascii="宋体" w:hAnsi="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kinsoku/>
              <w:wordWrap/>
              <w:overflowPunct/>
              <w:topLinePunct w:val="0"/>
              <w:autoSpaceDE/>
              <w:autoSpaceDN/>
              <w:bidi w:val="0"/>
              <w:adjustRightInd/>
              <w:snapToGrid w:val="0"/>
              <w:spacing w:line="300" w:lineRule="exact"/>
              <w:ind w:firstLine="360" w:firstLineChars="200"/>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b/>
                <w:bCs/>
                <w:color w:val="000000"/>
                <w:kern w:val="0"/>
                <w:sz w:val="18"/>
                <w:szCs w:val="18"/>
                <w:lang w:val="en-US" w:eastAsia="zh-CN" w:bidi="ar-SA"/>
              </w:rPr>
              <w:t>持续改善生态环境。</w:t>
            </w:r>
            <w:r>
              <w:rPr>
                <w:rFonts w:hint="eastAsia" w:ascii="宋体" w:hAnsi="宋体" w:eastAsia="宋体" w:cs="宋体"/>
                <w:b w:val="0"/>
                <w:bCs w:val="0"/>
                <w:color w:val="000000"/>
                <w:kern w:val="0"/>
                <w:sz w:val="18"/>
                <w:szCs w:val="18"/>
                <w:lang w:val="en-US" w:eastAsia="zh-CN" w:bidi="ar-SA"/>
              </w:rPr>
              <w:t>厚植绿色发展优势，全力做好平原造林养护管理，增强区域生态涵养功能，建设保育小区1处、村头片林景观游憩功能提升3处，全镇森林覆盖率达49%，林长制工作在全区督查考核中获得优秀等级，排名第二。</w:t>
            </w:r>
            <w:r>
              <w:rPr>
                <w:rFonts w:hint="eastAsia" w:ascii="宋体" w:hAnsi="宋体" w:eastAsia="宋体" w:cs="宋体"/>
                <w:b/>
                <w:bCs/>
                <w:color w:val="000000"/>
                <w:kern w:val="0"/>
                <w:sz w:val="18"/>
                <w:szCs w:val="18"/>
                <w:lang w:val="en-US" w:eastAsia="zh-CN" w:bidi="ar-SA"/>
              </w:rPr>
              <w:t>持续深化环境整治。</w:t>
            </w:r>
            <w:r>
              <w:rPr>
                <w:rFonts w:hint="eastAsia" w:ascii="宋体" w:hAnsi="宋体" w:eastAsia="宋体" w:cs="宋体"/>
                <w:color w:val="000000"/>
                <w:kern w:val="0"/>
                <w:sz w:val="18"/>
                <w:szCs w:val="18"/>
                <w:lang w:val="en-US" w:eastAsia="zh-CN" w:bidi="ar-SA"/>
              </w:rPr>
              <w:t>深入开展垃圾分类入户宣传，率先实施低值可回收物兑换活动，推广循环利用理念，促进垃圾分类源头减量。</w:t>
            </w:r>
            <w:r>
              <w:rPr>
                <w:rFonts w:hint="eastAsia" w:ascii="宋体" w:hAnsi="宋体" w:eastAsia="宋体" w:cs="宋体"/>
                <w:b/>
                <w:bCs/>
                <w:color w:val="000000"/>
                <w:kern w:val="0"/>
                <w:sz w:val="18"/>
                <w:szCs w:val="18"/>
                <w:lang w:val="en-US" w:eastAsia="zh-CN" w:bidi="ar-SA"/>
              </w:rPr>
              <w:t>现代农业稳步发展。</w:t>
            </w:r>
            <w:r>
              <w:rPr>
                <w:rFonts w:hint="eastAsia" w:ascii="宋体" w:hAnsi="宋体" w:eastAsia="宋体" w:cs="宋体"/>
                <w:color w:val="000000"/>
                <w:kern w:val="0"/>
                <w:sz w:val="18"/>
                <w:szCs w:val="18"/>
                <w:lang w:val="en-US" w:eastAsia="zh-CN" w:bidi="ar-SA"/>
              </w:rPr>
              <w:t>建成6900余亩高标准农田，增加高效节水灌溉设施设备，切实改善农业生产条件。推深做实“田长制”，建立健全长效管护机制，严控农田环境污染及农地非农化利用乱象，不断提高农业标准化建设水平。积极推进“百千工程”，申报市级优秀标准化基地2家，获评4星级休闲农业园区称号2家。</w:t>
            </w:r>
          </w:p>
          <w:p>
            <w:pPr>
              <w:rPr>
                <w:rFonts w:hint="eastAsia" w:ascii="宋体" w:hAnsi="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15</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eastAsia="宋体" w:cs="宋体"/>
                <w:color w:val="000000"/>
                <w:sz w:val="18"/>
                <w:szCs w:val="18"/>
                <w:lang w:val="en-US" w:eastAsia="zh-CN"/>
              </w:rPr>
            </w:pPr>
            <w:r>
              <w:rPr>
                <w:rFonts w:hint="eastAsia" w:ascii="宋体" w:hAnsi="宋体" w:cs="宋体"/>
                <w:color w:val="000000"/>
                <w:sz w:val="18"/>
                <w:szCs w:val="18"/>
                <w:lang w:val="en-US" w:eastAsia="zh-CN"/>
              </w:rPr>
              <w:t>民生保障</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lang w:val="en-US" w:eastAsia="zh-CN"/>
              </w:rPr>
              <w:t>民生保障</w:t>
            </w:r>
          </w:p>
        </w:tc>
        <w:tc>
          <w:tcPr>
            <w:tcW w:w="3050"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坚持惠民生、增福祉，实现社会事业取得新成效。一是持续加强民生保障。完善困难群众救助帮扶机制，健全残疾人关爱服务体系，建立村级温馨家园1家，不断夯实社会群体社会保障基础。二是持续推进文化惠民。举办第二十三届桑椹旅游文化节，同步开发更多精品旅游线路，加强对外宣传推介，提升古桑品牌文化影响力。三是持续深化为民服务。加大就业帮扶力度，常态化开展职业技能培训；全力推动“政务好差评”制度走深走实，提高群众办事获得感。</w:t>
            </w:r>
          </w:p>
          <w:p>
            <w:pPr>
              <w:rPr>
                <w:rFonts w:hint="eastAsia" w:ascii="宋体" w:hAnsi="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kinsoku/>
              <w:wordWrap/>
              <w:overflowPunct/>
              <w:topLinePunct w:val="0"/>
              <w:autoSpaceDE/>
              <w:autoSpaceDN/>
              <w:bidi w:val="0"/>
              <w:adjustRightInd/>
              <w:snapToGrid w:val="0"/>
              <w:spacing w:line="300" w:lineRule="exact"/>
              <w:ind w:firstLine="360" w:firstLineChars="200"/>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b/>
                <w:bCs/>
                <w:color w:val="000000"/>
                <w:kern w:val="0"/>
                <w:sz w:val="18"/>
                <w:szCs w:val="18"/>
                <w:lang w:val="en-US" w:eastAsia="zh-CN" w:bidi="ar-SA"/>
              </w:rPr>
              <w:t>社会保障暖心惠民。</w:t>
            </w:r>
            <w:r>
              <w:rPr>
                <w:rFonts w:hint="eastAsia" w:ascii="宋体" w:hAnsi="宋体" w:eastAsia="宋体" w:cs="宋体"/>
                <w:color w:val="000000"/>
                <w:kern w:val="0"/>
                <w:sz w:val="18"/>
                <w:szCs w:val="18"/>
                <w:lang w:val="en-US" w:eastAsia="zh-CN" w:bidi="ar-SA"/>
              </w:rPr>
              <w:t>首个宅基地改革试点御林东苑回迁安置房正式交付，入住率达99.5%。提升养老服务水平，完成幸福晚年驿站及养老家庭照护床位服务签约791人，新建家庭照护床位200张。健全残疾人关爱服务体系，组织残障人士开展康复知识、职业技能等培训400余场，后安定村温馨家园顺利开园。加大就业稳岗力度，举办招聘会12场，提供就业岗位1062个，促进城乡劳动力就业1154人，实现“家门口智慧就业服务”小程序村村全覆盖，全力帮扶困难人员、高校毕业生等重点群体高质量充分就业。</w:t>
            </w:r>
            <w:r>
              <w:rPr>
                <w:rFonts w:hint="eastAsia" w:ascii="宋体" w:hAnsi="宋体" w:eastAsia="宋体" w:cs="宋体"/>
                <w:b/>
                <w:bCs/>
                <w:color w:val="000000"/>
                <w:kern w:val="0"/>
                <w:sz w:val="18"/>
                <w:szCs w:val="18"/>
                <w:lang w:val="en-US" w:eastAsia="zh-CN" w:bidi="ar-SA"/>
              </w:rPr>
              <w:t>公共服务贴心便民。</w:t>
            </w:r>
            <w:r>
              <w:rPr>
                <w:rFonts w:hint="eastAsia" w:ascii="宋体" w:hAnsi="宋体" w:eastAsia="宋体" w:cs="宋体"/>
                <w:color w:val="000000"/>
                <w:kern w:val="0"/>
                <w:sz w:val="18"/>
                <w:szCs w:val="18"/>
                <w:lang w:val="en-US" w:eastAsia="zh-CN" w:bidi="ar-SA"/>
              </w:rPr>
              <w:t>持续深化“放管服”改革，不断优化镇级服务大厅软硬件设施，积极推进村级政务服务站建设，全面推行“灵活办”“上门办”“畅通办”等服务模式，提高办事效率，累计办结服务事项8000余件。</w:t>
            </w:r>
          </w:p>
          <w:p>
            <w:pPr>
              <w:rPr>
                <w:rFonts w:hint="eastAsia" w:ascii="宋体" w:hAnsi="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15</w:t>
            </w:r>
          </w:p>
        </w:tc>
      </w:tr>
      <w:tr>
        <w:tblPrEx>
          <w:tblCellMar>
            <w:top w:w="0" w:type="dxa"/>
            <w:left w:w="108" w:type="dxa"/>
            <w:bottom w:w="0" w:type="dxa"/>
            <w:right w:w="108" w:type="dxa"/>
          </w:tblCellMar>
        </w:tblPrEx>
        <w:trPr>
          <w:trHeight w:val="6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jc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平安建设</w:t>
            </w:r>
          </w:p>
        </w:tc>
        <w:tc>
          <w:tcPr>
            <w:tcW w:w="137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 w:val="18"/>
                <w:szCs w:val="18"/>
              </w:rPr>
            </w:pPr>
            <w:r>
              <w:rPr>
                <w:rFonts w:hint="eastAsia" w:ascii="宋体" w:hAnsi="宋体" w:cs="宋体"/>
                <w:color w:val="000000"/>
                <w:sz w:val="18"/>
                <w:szCs w:val="18"/>
                <w:lang w:val="en-US" w:eastAsia="zh-CN"/>
              </w:rPr>
              <w:t>平安建设</w:t>
            </w:r>
          </w:p>
        </w:tc>
        <w:tc>
          <w:tcPr>
            <w:tcW w:w="3050"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numPr>
                <w:ilvl w:val="0"/>
                <w:numId w:val="0"/>
              </w:numPr>
              <w:kinsoku/>
              <w:wordWrap/>
              <w:overflowPunct/>
              <w:topLinePunct w:val="0"/>
              <w:autoSpaceDE/>
              <w:autoSpaceDN/>
              <w:bidi w:val="0"/>
              <w:adjustRightInd/>
              <w:snapToGrid w:val="0"/>
              <w:spacing w:line="300" w:lineRule="exact"/>
              <w:textAlignment w:val="auto"/>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坚持防风险、强治理，构建社会治理新格局。一是提升平安建设成效。依托综合指挥调度中心和智慧社区建设，实现对矛盾风险的实时监控、综合分析、指挥处置，让智慧管理为基层治理赋能增效。二是防范化解风险隐患。强化矛盾纠纷调处，全力化解信访积案。加强社会治安整体防控，常态化开展扫黑除恶，严厉打击电信网络诈骗、非法集资、恶意欠薪等违法行为，提升基层治理水平。三是巩固安全生产防线。严格落实安全生产责任制，加大精准执法力度，常态化开展安全生产大检查，加强对重点行业、重点领域安全监管，严防安全事故发生。</w:t>
            </w:r>
          </w:p>
          <w:p>
            <w:pPr>
              <w:rPr>
                <w:rFonts w:hint="eastAsia" w:ascii="宋体" w:hAnsi="宋体" w:cs="宋体"/>
                <w:color w:val="000000"/>
                <w:szCs w:val="21"/>
              </w:rPr>
            </w:pPr>
          </w:p>
        </w:tc>
        <w:tc>
          <w:tcPr>
            <w:tcW w:w="3507" w:type="dxa"/>
            <w:tcBorders>
              <w:top w:val="single" w:color="000000" w:sz="4" w:space="0"/>
              <w:left w:val="single" w:color="000000" w:sz="4" w:space="0"/>
              <w:bottom w:val="single" w:color="000000" w:sz="4" w:space="0"/>
              <w:right w:val="single" w:color="000000" w:sz="4" w:space="0"/>
            </w:tcBorders>
            <w:vAlign w:val="center"/>
          </w:tcPr>
          <w:p>
            <w:pPr>
              <w:pStyle w:val="2"/>
              <w:keepNext w:val="0"/>
              <w:keepLines w:val="0"/>
              <w:pageBreakBefore w:val="0"/>
              <w:widowControl w:val="0"/>
              <w:kinsoku/>
              <w:wordWrap/>
              <w:overflowPunct/>
              <w:topLinePunct w:val="0"/>
              <w:autoSpaceDE/>
              <w:autoSpaceDN/>
              <w:bidi w:val="0"/>
              <w:adjustRightInd/>
              <w:snapToGrid w:val="0"/>
              <w:spacing w:line="300" w:lineRule="exact"/>
              <w:ind w:firstLine="360" w:firstLineChars="200"/>
              <w:textAlignment w:val="auto"/>
              <w:rPr>
                <w:rFonts w:hint="eastAsia" w:ascii="宋体" w:hAnsi="宋体" w:eastAsia="宋体" w:cs="宋体"/>
                <w:color w:val="000000"/>
                <w:kern w:val="0"/>
                <w:sz w:val="18"/>
                <w:szCs w:val="18"/>
                <w:lang w:val="en-US" w:eastAsia="zh-CN" w:bidi="ar-SA"/>
              </w:rPr>
            </w:pPr>
            <w:r>
              <w:rPr>
                <w:rFonts w:hint="eastAsia" w:ascii="宋体" w:hAnsi="宋体" w:eastAsia="宋体" w:cs="宋体"/>
                <w:b/>
                <w:bCs/>
                <w:color w:val="000000"/>
                <w:kern w:val="0"/>
                <w:sz w:val="18"/>
                <w:szCs w:val="18"/>
                <w:lang w:val="en-US" w:eastAsia="zh-CN" w:bidi="ar-SA"/>
              </w:rPr>
              <w:t>社会治理安心护民。</w:t>
            </w:r>
            <w:r>
              <w:rPr>
                <w:rFonts w:hint="eastAsia" w:ascii="宋体" w:hAnsi="宋体" w:eastAsia="宋体" w:cs="宋体"/>
                <w:color w:val="000000"/>
                <w:kern w:val="0"/>
                <w:sz w:val="18"/>
                <w:szCs w:val="18"/>
                <w:lang w:val="en-US" w:eastAsia="zh-CN" w:bidi="ar-SA"/>
              </w:rPr>
              <w:t>圆满完成全国“两会”、党的二十届三中全会、建国75周年等重大会议期间安保维稳工作，持续开展出租房屋管理、违规电动三四轮综合治理、交通隐患排查、反邪教、禁毒等工作，推动平安建设工作落地见效。依托“五办”工作法及“三每”督办考核制度抓好接诉即办工作，全年召开专题调度会百余次，解决率、满意率实现双提升。深化党员网格化服务机制，强化矛盾纠纷调处，全力化解信访积案。加强社会治安整体防控，常态化开展扫黑除恶，严厉打击电信网络诈骗、非法集资、恶意欠薪等违法行为，提升基层治理水平。严格落实安全生产责任制，扎实开展安全生产治本攻坚三年行动，加强对重点行业、重点领域安全监管，集中开展消防安全“一警六员”技能培训，严防安全事故发生。</w:t>
            </w:r>
          </w:p>
          <w:p>
            <w:pPr>
              <w:rPr>
                <w:rFonts w:hint="eastAsia" w:ascii="宋体" w:hAnsi="宋体" w:cs="宋体"/>
                <w:color w:val="000000"/>
                <w:szCs w:val="21"/>
              </w:rPr>
            </w:pPr>
          </w:p>
        </w:tc>
        <w:tc>
          <w:tcPr>
            <w:tcW w:w="2730"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15</w:t>
            </w:r>
          </w:p>
        </w:tc>
      </w:tr>
      <w:tr>
        <w:tblPrEx>
          <w:tblCellMar>
            <w:top w:w="0" w:type="dxa"/>
            <w:left w:w="108" w:type="dxa"/>
            <w:bottom w:w="0" w:type="dxa"/>
            <w:right w:w="108" w:type="dxa"/>
          </w:tblCellMar>
        </w:tblPrEx>
        <w:trPr>
          <w:trHeight w:val="5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9032" w:type="dxa"/>
            <w:gridSpan w:val="4"/>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2730" w:type="dxa"/>
            <w:gridSpan w:val="3"/>
            <w:tcBorders>
              <w:top w:val="single" w:color="000000" w:sz="4" w:space="0"/>
              <w:left w:val="nil"/>
              <w:bottom w:val="single" w:color="000000" w:sz="4" w:space="0"/>
              <w:right w:val="single" w:color="000000" w:sz="4" w:space="0"/>
            </w:tcBorders>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60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000000"/>
                <w:szCs w:val="21"/>
                <w:lang w:val="en-US" w:eastAsia="zh-CN"/>
              </w:rPr>
            </w:pPr>
            <w:r>
              <w:rPr>
                <w:rFonts w:hint="eastAsia" w:ascii="宋体" w:hAnsi="宋体" w:cs="宋体"/>
                <w:b/>
                <w:bCs/>
                <w:color w:val="000000"/>
                <w:szCs w:val="21"/>
                <w:lang w:val="en-US" w:eastAsia="zh-CN"/>
              </w:rPr>
              <w:t>60</w:t>
            </w:r>
          </w:p>
        </w:tc>
      </w:tr>
      <w:tr>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三、预算管理情况（20分）</w:t>
            </w:r>
          </w:p>
        </w:tc>
      </w:tr>
      <w:tr>
        <w:tblPrEx>
          <w:tblCellMar>
            <w:top w:w="0" w:type="dxa"/>
            <w:left w:w="108" w:type="dxa"/>
            <w:bottom w:w="0" w:type="dxa"/>
            <w:right w:w="108" w:type="dxa"/>
          </w:tblCellMar>
        </w:tblPrEx>
        <w:trPr>
          <w:trHeight w:val="500" w:hRule="atLeast"/>
        </w:trPr>
        <w:tc>
          <w:tcPr>
            <w:tcW w:w="1100"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一级指标</w:t>
            </w:r>
          </w:p>
        </w:tc>
        <w:tc>
          <w:tcPr>
            <w:tcW w:w="11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二级指标</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三级指标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指标解释</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评分标准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2023年数据</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2024年数据</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分值</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得分率</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得分</w:t>
            </w:r>
          </w:p>
        </w:tc>
      </w:tr>
      <w:tr>
        <w:tblPrEx>
          <w:tblCellMar>
            <w:top w:w="0" w:type="dxa"/>
            <w:left w:w="108" w:type="dxa"/>
            <w:bottom w:w="0" w:type="dxa"/>
            <w:right w:w="108" w:type="dxa"/>
          </w:tblCellMar>
        </w:tblPrEx>
        <w:trPr>
          <w:trHeight w:val="1560" w:hRule="atLeast"/>
        </w:trPr>
        <w:tc>
          <w:tcPr>
            <w:tcW w:w="1100"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预算管理情况（20分）</w:t>
            </w:r>
          </w:p>
        </w:tc>
        <w:tc>
          <w:tcPr>
            <w:tcW w:w="1100" w:type="dxa"/>
            <w:vMerge w:val="restart"/>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财务管理（6）</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财务管理制度健全性：部门（单位）为加强财务管理、规范财务行为而制定的管理制度。</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①预算资金管理办法、绩效跟踪管理办法、资产管理办法等各项制度是否健全；</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②部门内部财务管理制度是否完善、合规；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③会计核算制度是否完整、合规。</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6</w:t>
            </w:r>
          </w:p>
        </w:tc>
      </w:tr>
      <w:tr>
        <w:tblPrEx>
          <w:tblCellMar>
            <w:top w:w="0" w:type="dxa"/>
            <w:left w:w="108" w:type="dxa"/>
            <w:bottom w:w="0" w:type="dxa"/>
            <w:right w:w="108" w:type="dxa"/>
          </w:tblCellMar>
        </w:tblPrEx>
        <w:trPr>
          <w:trHeight w:val="26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①是否符合国家财经法规和财务管理制度规定以及有关专项资金管理办法的规定；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②资金的拨付是否有完整的审批程序和手续；</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③项目的重大开支是否经过评估论证；</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④是否符合部门预算批复的用途；</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⑤是否存在截留、挤占、挪用情况；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⑥资金使用是否符合政府采购的程序和流程；</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⑦资金使用是否符合公务卡结算相关制度和规定。</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每有一项不合格扣0.5分，扣完为止。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p>
        </w:tc>
      </w:tr>
      <w:tr>
        <w:tblPrEx>
          <w:tblCellMar>
            <w:top w:w="0" w:type="dxa"/>
            <w:left w:w="108" w:type="dxa"/>
            <w:bottom w:w="0" w:type="dxa"/>
            <w:right w:w="108" w:type="dxa"/>
          </w:tblCellMar>
        </w:tblPrEx>
        <w:trPr>
          <w:trHeight w:val="12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vMerge w:val="continue"/>
            <w:tcBorders>
              <w:top w:val="single" w:color="000000" w:sz="4" w:space="0"/>
              <w:left w:val="single" w:color="auto"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会计基础信息完善性：部门（单位）会计基础信息情况。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①基础数据信息和会计信息资料是否真实；</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②基础数据信息和会计信息资料是否完整；</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③基础数据信息和会计信息资料是否准确。</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2</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p>
        </w:tc>
      </w:tr>
      <w:tr>
        <w:tblPrEx>
          <w:tblCellMar>
            <w:top w:w="0" w:type="dxa"/>
            <w:left w:w="108" w:type="dxa"/>
            <w:bottom w:w="0" w:type="dxa"/>
            <w:right w:w="108" w:type="dxa"/>
          </w:tblCellMar>
        </w:tblPrEx>
        <w:trPr>
          <w:trHeight w:val="244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资产管理规范性：部门（单位）的资产是否保持安全完整，资产配置是否合理，资产使用和资产处理是否规范，用以反映和考核部门（单位）资产管理的整体水平。</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①对外投资行为是否经审批，是否存在投资亏损；</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②是否有因管理不当发生严重资产损失和丢失情况；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③是否存在超标准配置资产；</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④资产使用是否规范，是否存在未经批准擅自出租、出借资产行为；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⑤资产处置是否规范，是否存在不按要求进行报批或资产不公开处置行为；</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⑥其他资产管理制度办法执行情况。</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每有一项不合格扣1分，扣完为止。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5</w:t>
            </w:r>
          </w:p>
        </w:tc>
      </w:tr>
      <w:tr>
        <w:tblPrEx>
          <w:tblCellMar>
            <w:top w:w="0" w:type="dxa"/>
            <w:left w:w="108" w:type="dxa"/>
            <w:bottom w:w="0" w:type="dxa"/>
            <w:right w:w="108" w:type="dxa"/>
          </w:tblCellMar>
        </w:tblPrEx>
        <w:trPr>
          <w:trHeight w:val="96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绩效管理（5）</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绩效管理情况</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绩效管理情况：考核部门（单位）在绩效管理信息的汇总和应用情况。</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①部门（单位）是否及时对绩效信息进行汇总分析整理；</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②部门（单位）是否对绩效目标偏离情况及时进行矫正。</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每有一项不合格扣2.5分。</w:t>
            </w:r>
          </w:p>
        </w:tc>
        <w:tc>
          <w:tcPr>
            <w:tcW w:w="10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106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5</w:t>
            </w:r>
          </w:p>
        </w:tc>
      </w:tr>
      <w:tr>
        <w:tblPrEx>
          <w:tblCellMar>
            <w:top w:w="0" w:type="dxa"/>
            <w:left w:w="108" w:type="dxa"/>
            <w:bottom w:w="0" w:type="dxa"/>
            <w:right w:w="108" w:type="dxa"/>
          </w:tblCellMar>
        </w:tblPrEx>
        <w:trPr>
          <w:trHeight w:val="120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00" w:type="dxa"/>
            <w:tcBorders>
              <w:top w:val="single" w:color="000000" w:sz="4" w:space="0"/>
              <w:left w:val="single" w:color="auto"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部门预决算差异率（4）</w:t>
            </w:r>
          </w:p>
        </w:tc>
        <w:tc>
          <w:tcPr>
            <w:tcW w:w="137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w:t>
            </w:r>
          </w:p>
        </w:tc>
        <w:tc>
          <w:tcPr>
            <w:tcW w:w="3050"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通过年度部门决算与年初部门预算对比，对部门的年度支出情况进行考核，衡量部门预算的约束力。</w:t>
            </w:r>
          </w:p>
        </w:tc>
        <w:tc>
          <w:tcPr>
            <w:tcW w:w="3507"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宋体" w:hAnsi="宋体" w:cs="宋体"/>
                <w:color w:val="000000"/>
                <w:szCs w:val="21"/>
              </w:rPr>
            </w:pPr>
            <w:r>
              <w:rPr>
                <w:rFonts w:hint="eastAsia" w:ascii="宋体" w:hAnsi="宋体" w:cs="宋体"/>
                <w:color w:val="000000"/>
                <w:kern w:val="0"/>
                <w:szCs w:val="21"/>
                <w:lang w:bidi="ar"/>
              </w:rPr>
              <w:t>部门预决算差异率（绝对值）低于上年的不扣分；高于上年部门预决算差异率，每高出1个百分点扣0.4分，扣完为止。</w:t>
            </w:r>
          </w:p>
        </w:tc>
        <w:tc>
          <w:tcPr>
            <w:tcW w:w="101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106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4</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color w:val="000000"/>
                <w:szCs w:val="21"/>
              </w:rPr>
            </w:pPr>
            <w:r>
              <w:rPr>
                <w:rFonts w:hint="eastAsia" w:ascii="宋体" w:hAnsi="宋体" w:cs="宋体"/>
                <w:color w:val="000000"/>
                <w:szCs w:val="21"/>
                <w:lang w:val="en-US" w:eastAsia="zh-CN"/>
              </w:rPr>
              <w:t>100%</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lang w:val="en-US" w:eastAsia="zh-CN"/>
              </w:rPr>
              <w:t>4</w:t>
            </w:r>
          </w:p>
        </w:tc>
      </w:tr>
      <w:tr>
        <w:tblPrEx>
          <w:tblCellMar>
            <w:top w:w="0" w:type="dxa"/>
            <w:left w:w="108" w:type="dxa"/>
            <w:bottom w:w="0" w:type="dxa"/>
            <w:right w:w="108" w:type="dxa"/>
          </w:tblCellMar>
        </w:tblPrEx>
        <w:trPr>
          <w:trHeight w:val="520" w:hRule="atLeast"/>
        </w:trPr>
        <w:tc>
          <w:tcPr>
            <w:tcW w:w="1100"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color w:val="000000"/>
                <w:szCs w:val="21"/>
              </w:rPr>
            </w:pPr>
          </w:p>
        </w:tc>
        <w:tc>
          <w:tcPr>
            <w:tcW w:w="11104" w:type="dxa"/>
            <w:gridSpan w:val="6"/>
            <w:tcBorders>
              <w:top w:val="single" w:color="000000" w:sz="4" w:space="0"/>
              <w:left w:val="single" w:color="auto" w:sz="4" w:space="0"/>
              <w:bottom w:val="single" w:color="000000" w:sz="4" w:space="0"/>
              <w:right w:val="nil"/>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小计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20</w:t>
            </w:r>
          </w:p>
        </w:tc>
        <w:tc>
          <w:tcPr>
            <w:tcW w:w="68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000000"/>
                <w:szCs w:val="21"/>
                <w:lang w:val="en-US" w:eastAsia="zh-CN"/>
              </w:rPr>
            </w:pPr>
            <w:r>
              <w:rPr>
                <w:rFonts w:hint="eastAsia" w:ascii="宋体" w:hAnsi="宋体" w:cs="宋体"/>
                <w:b/>
                <w:bCs/>
                <w:color w:val="000000"/>
                <w:szCs w:val="21"/>
                <w:lang w:val="en-US" w:eastAsia="zh-CN"/>
              </w:rPr>
              <w:t>20</w:t>
            </w:r>
          </w:p>
        </w:tc>
      </w:tr>
      <w:tr>
        <w:tblPrEx>
          <w:tblCellMar>
            <w:top w:w="0" w:type="dxa"/>
            <w:left w:w="108" w:type="dxa"/>
            <w:bottom w:w="0" w:type="dxa"/>
            <w:right w:w="108" w:type="dxa"/>
          </w:tblCellMar>
        </w:tblPrEx>
        <w:trPr>
          <w:trHeight w:val="520" w:hRule="atLeast"/>
        </w:trPr>
        <w:tc>
          <w:tcPr>
            <w:tcW w:w="12204" w:type="dxa"/>
            <w:gridSpan w:val="7"/>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b/>
                <w:bCs/>
                <w:color w:val="000000"/>
                <w:szCs w:val="21"/>
              </w:rPr>
            </w:pPr>
            <w:r>
              <w:rPr>
                <w:rFonts w:hint="eastAsia" w:ascii="宋体" w:hAnsi="宋体" w:cs="宋体"/>
                <w:b/>
                <w:bCs/>
                <w:color w:val="000000"/>
                <w:kern w:val="0"/>
                <w:szCs w:val="21"/>
                <w:lang w:bidi="ar"/>
              </w:rPr>
              <w:t>合计</w:t>
            </w:r>
          </w:p>
        </w:tc>
        <w:tc>
          <w:tcPr>
            <w:tcW w:w="65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b/>
                <w:bCs/>
                <w:color w:val="000000"/>
                <w:szCs w:val="21"/>
              </w:rPr>
            </w:pPr>
            <w:r>
              <w:rPr>
                <w:rFonts w:hint="eastAsia" w:ascii="宋体" w:hAnsi="宋体" w:cs="宋体"/>
                <w:b/>
                <w:bCs/>
                <w:color w:val="000000"/>
                <w:kern w:val="0"/>
                <w:szCs w:val="21"/>
                <w:lang w:bidi="ar"/>
              </w:rPr>
              <w:t>100</w:t>
            </w:r>
          </w:p>
        </w:tc>
        <w:tc>
          <w:tcPr>
            <w:tcW w:w="687"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cs="宋体"/>
                <w:b/>
                <w:bCs/>
                <w:color w:val="000000"/>
                <w:szCs w:val="21"/>
              </w:rPr>
            </w:pPr>
            <w:r>
              <w:rPr>
                <w:rFonts w:hint="eastAsia" w:ascii="宋体" w:hAnsi="宋体" w:cs="宋体"/>
                <w:b/>
                <w:bCs/>
                <w:color w:val="000000"/>
                <w:kern w:val="0"/>
                <w:szCs w:val="21"/>
                <w:lang w:bidi="ar"/>
              </w:rPr>
              <w:t>——</w:t>
            </w:r>
          </w:p>
        </w:tc>
        <w:tc>
          <w:tcPr>
            <w:tcW w:w="625"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default" w:ascii="宋体" w:hAnsi="宋体" w:eastAsia="宋体" w:cs="宋体"/>
                <w:b/>
                <w:bCs/>
                <w:color w:val="000000"/>
                <w:szCs w:val="21"/>
                <w:lang w:val="en-US" w:eastAsia="zh-CN"/>
              </w:rPr>
            </w:pPr>
            <w:r>
              <w:rPr>
                <w:rFonts w:hint="eastAsia" w:ascii="宋体" w:hAnsi="宋体" w:cs="宋体"/>
                <w:b/>
                <w:bCs/>
                <w:color w:val="000000"/>
                <w:szCs w:val="21"/>
                <w:lang w:val="en-US" w:eastAsia="zh-CN"/>
              </w:rPr>
              <w:t>95.43</w:t>
            </w:r>
          </w:p>
        </w:tc>
      </w:tr>
    </w:tbl>
    <w:p>
      <w:pPr>
        <w:spacing w:line="560" w:lineRule="exact"/>
        <w:rPr>
          <w:rFonts w:hint="eastAsia" w:ascii="仿宋_GB2312" w:hAnsi="仿宋_GB2312" w:eastAsia="仿宋_GB2312" w:cs="仿宋_GB2312"/>
          <w:b/>
          <w:bCs/>
          <w:sz w:val="24"/>
        </w:rPr>
      </w:pPr>
      <w:r>
        <w:rPr>
          <w:rFonts w:hint="eastAsia" w:ascii="仿宋_GB2312" w:hAnsi="仿宋_GB2312" w:eastAsia="仿宋_GB2312" w:cs="仿宋_GB2312"/>
          <w:b/>
          <w:bCs/>
          <w:sz w:val="24"/>
        </w:rPr>
        <w:t>填报说明：</w:t>
      </w:r>
    </w:p>
    <w:p>
      <w:pPr>
        <w:spacing w:line="560" w:lineRule="exact"/>
        <w:rPr>
          <w:rFonts w:ascii="仿宋_GB2312" w:hAnsi="仿宋_GB2312" w:eastAsia="仿宋_GB2312" w:cs="仿宋_GB2312"/>
          <w:b/>
          <w:bCs/>
          <w:color w:val="000000"/>
          <w:kern w:val="0"/>
          <w:sz w:val="24"/>
          <w:lang w:bidi="ar"/>
        </w:rPr>
      </w:pPr>
      <w:r>
        <w:rPr>
          <w:rFonts w:hint="eastAsia" w:ascii="仿宋_GB2312" w:hAnsi="仿宋_GB2312" w:eastAsia="仿宋_GB2312" w:cs="仿宋_GB2312"/>
          <w:color w:val="000000"/>
          <w:kern w:val="0"/>
          <w:sz w:val="24"/>
          <w:lang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color w:val="000000"/>
          <w:kern w:val="0"/>
          <w:sz w:val="24"/>
          <w:lang w:bidi="ar"/>
        </w:rPr>
        <w:t>预算数=年初预算+年中追加-12月1日前追减数。差异率=（预算数-决算数）/预算数*100%，打分时用2024年差异率（绝对值）-2023年差异率（绝对值），相减结果为1%（含）-2%，扣0.4分，2%（含）-3%，扣0.8分，以此类推，每高出1个百分点扣0.4分，扣完为止。</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pPr>
        <w:spacing w:line="560" w:lineRule="exact"/>
        <w:rPr>
          <w:rFonts w:hint="eastAsia" w:ascii="仿宋_GB2312" w:hAnsi="仿宋_GB2312" w:eastAsia="仿宋_GB2312" w:cs="仿宋_GB2312"/>
          <w:color w:val="000000"/>
          <w:kern w:val="0"/>
          <w:sz w:val="24"/>
          <w:lang w:bidi="ar"/>
        </w:rPr>
      </w:pPr>
      <w:r>
        <w:rPr>
          <w:rFonts w:hint="eastAsia" w:ascii="仿宋_GB2312" w:hAnsi="仿宋_GB2312" w:eastAsia="仿宋_GB2312" w:cs="仿宋_GB2312"/>
          <w:color w:val="000000"/>
          <w:kern w:val="0"/>
          <w:sz w:val="24"/>
          <w:lang w:bidi="ar"/>
        </w:rPr>
        <w:t>第二部分“整体绩效目标实现情况”填报分为四步。</w:t>
      </w:r>
      <w:r>
        <w:rPr>
          <w:rFonts w:hint="eastAsia" w:ascii="仿宋_GB2312" w:hAnsi="仿宋_GB2312" w:eastAsia="仿宋_GB2312" w:cs="仿宋_GB2312"/>
          <w:b/>
          <w:bCs/>
          <w:color w:val="000000"/>
          <w:kern w:val="0"/>
          <w:sz w:val="24"/>
          <w:lang w:bidi="ar"/>
        </w:rPr>
        <w:t>第一步：</w:t>
      </w:r>
      <w:r>
        <w:rPr>
          <w:rFonts w:hint="eastAsia" w:ascii="仿宋_GB2312" w:hAnsi="仿宋_GB2312" w:eastAsia="仿宋_GB2312" w:cs="仿宋_GB2312"/>
          <w:color w:val="000000"/>
          <w:kern w:val="0"/>
          <w:sz w:val="24"/>
          <w:lang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color w:val="000000"/>
          <w:kern w:val="0"/>
          <w:sz w:val="24"/>
          <w:lang w:bidi="ar"/>
        </w:rPr>
        <w:t>第二步：</w:t>
      </w:r>
      <w:r>
        <w:rPr>
          <w:rFonts w:hint="eastAsia" w:ascii="仿宋_GB2312" w:hAnsi="仿宋_GB2312" w:eastAsia="仿宋_GB2312" w:cs="仿宋_GB2312"/>
          <w:color w:val="000000"/>
          <w:kern w:val="0"/>
          <w:sz w:val="24"/>
          <w:lang w:bidi="ar"/>
        </w:rPr>
        <w:t>“年度完成情况”填写当年度该项指标实际完成情况，完成情况应与指标内容和指标值对应。</w:t>
      </w:r>
      <w:r>
        <w:rPr>
          <w:rFonts w:hint="eastAsia" w:ascii="仿宋_GB2312" w:hAnsi="仿宋_GB2312" w:eastAsia="仿宋_GB2312" w:cs="仿宋_GB2312"/>
          <w:b/>
          <w:bCs/>
          <w:color w:val="000000"/>
          <w:kern w:val="0"/>
          <w:sz w:val="24"/>
          <w:lang w:bidi="ar"/>
        </w:rPr>
        <w:t>第三步：</w:t>
      </w:r>
      <w:r>
        <w:rPr>
          <w:rFonts w:hint="eastAsia" w:ascii="仿宋_GB2312" w:hAnsi="仿宋_GB2312" w:eastAsia="仿宋_GB2312" w:cs="仿宋_GB2312"/>
          <w:color w:val="000000"/>
          <w:kern w:val="0"/>
          <w:sz w:val="24"/>
          <w:lang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color w:val="000000"/>
          <w:kern w:val="0"/>
          <w:sz w:val="24"/>
          <w:lang w:bidi="ar"/>
        </w:rPr>
        <w:t>第四步：</w:t>
      </w:r>
      <w:r>
        <w:rPr>
          <w:rFonts w:hint="eastAsia" w:ascii="仿宋_GB2312" w:hAnsi="仿宋_GB2312" w:eastAsia="仿宋_GB2312" w:cs="仿宋_GB2312"/>
          <w:color w:val="000000"/>
          <w:kern w:val="0"/>
          <w:sz w:val="24"/>
          <w:lang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color w:val="000000"/>
          <w:kern w:val="0"/>
          <w:sz w:val="24"/>
          <w:lang w:bidi="ar"/>
        </w:rPr>
        <w:t>①</w:t>
      </w:r>
      <w:r>
        <w:rPr>
          <w:rFonts w:hint="eastAsia" w:ascii="仿宋_GB2312" w:hAnsi="仿宋_GB2312" w:eastAsia="仿宋_GB2312" w:cs="仿宋_GB2312"/>
          <w:sz w:val="24"/>
        </w:rPr>
        <w:t>若</w:t>
      </w:r>
      <w:r>
        <w:rPr>
          <w:rFonts w:hint="eastAsia" w:ascii="仿宋_GB2312" w:hAnsi="仿宋_GB2312" w:eastAsia="仿宋_GB2312" w:cs="仿宋_GB2312"/>
          <w:color w:val="000000"/>
          <w:kern w:val="0"/>
          <w:sz w:val="24"/>
          <w:lang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color w:val="000000"/>
          <w:kern w:val="0"/>
          <w:sz w:val="24"/>
          <w:lang w:bidi="ar"/>
        </w:rPr>
        <w:t>②</w:t>
      </w:r>
      <w:r>
        <w:rPr>
          <w:rFonts w:hint="eastAsia" w:ascii="仿宋_GB2312" w:hAnsi="仿宋_GB2312" w:eastAsia="仿宋_GB2312" w:cs="仿宋_GB2312"/>
          <w:color w:val="000000"/>
          <w:kern w:val="0"/>
          <w:sz w:val="24"/>
          <w:lang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color w:val="000000"/>
          <w:kern w:val="0"/>
          <w:sz w:val="24"/>
          <w:lang w:bidi="ar"/>
        </w:rPr>
        <w:t>③</w:t>
      </w:r>
      <w:r>
        <w:rPr>
          <w:rFonts w:hint="eastAsia" w:ascii="仿宋_GB2312" w:hAnsi="仿宋_GB2312" w:eastAsia="仿宋_GB2312" w:cs="仿宋_GB2312"/>
          <w:color w:val="000000"/>
          <w:kern w:val="0"/>
          <w:sz w:val="24"/>
          <w:lang w:bidi="ar"/>
        </w:rPr>
        <w:t>若为定性指标，则根据完成情况分为“优、良、中、差”四等，“优”获得该项分值90%-100%，“良”获得该项分值80%-90%，“中”获得该项分值60%-80%，“差”获得该项分值0%-60%。</w:t>
      </w:r>
    </w:p>
    <w:p>
      <w:pPr>
        <w:spacing w:line="560" w:lineRule="exact"/>
        <w:jc w:val="center"/>
        <w:rPr>
          <w:rFonts w:hint="eastAsia" w:ascii="宋体" w:hAnsi="宋体" w:cs="宋体"/>
          <w:b/>
          <w:bCs/>
          <w:sz w:val="32"/>
          <w:szCs w:val="32"/>
        </w:rPr>
      </w:pPr>
      <w:r>
        <w:rPr>
          <w:rFonts w:hint="eastAsia" w:ascii="楷体_GB2312" w:hAnsi="楷体_GB2312" w:eastAsia="楷体_GB2312" w:cs="楷体_GB2312"/>
          <w:b/>
          <w:bCs/>
          <w:sz w:val="44"/>
          <w:szCs w:val="44"/>
        </w:rPr>
        <w:br w:type="page"/>
      </w:r>
      <w:r>
        <w:rPr>
          <w:rFonts w:hint="eastAsia" w:ascii="宋体" w:hAnsi="宋体" w:cs="宋体"/>
          <w:b/>
          <w:bCs/>
          <w:sz w:val="32"/>
          <w:szCs w:val="32"/>
        </w:rPr>
        <w:t>项目支出绩效评价报告</w:t>
      </w:r>
    </w:p>
    <w:p>
      <w:pPr>
        <w:jc w:val="center"/>
        <w:rPr>
          <w:rFonts w:ascii="仿宋_GB2312"/>
          <w:szCs w:val="30"/>
        </w:rPr>
      </w:pPr>
    </w:p>
    <w:p>
      <w:pPr>
        <w:spacing w:line="560" w:lineRule="exact"/>
        <w:ind w:firstLine="560" w:firstLineChars="200"/>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我部门2024年未开展项目支出绩效评价。</w:t>
      </w:r>
    </w:p>
    <w:p>
      <w:pPr>
        <w:rPr>
          <w:rFonts w:hint="eastAsia"/>
        </w:rPr>
      </w:pPr>
      <w:r>
        <w:rPr>
          <w:rFonts w:hint="eastAsia"/>
        </w:rPr>
        <w:br w:type="page"/>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项目支出绩效自评表</w:t>
      </w:r>
    </w:p>
    <w:p>
      <w:pPr>
        <w:spacing w:line="560" w:lineRule="exact"/>
        <w:ind w:firstLine="560" w:firstLineChars="200"/>
        <w:rPr>
          <w:rFonts w:hint="eastAsia" w:ascii="仿宋_GB2312" w:hAnsi="仿宋_GB2312" w:eastAsia="仿宋_GB2312" w:cs="仿宋_GB2312"/>
          <w:color w:val="000000"/>
          <w:kern w:val="0"/>
          <w:sz w:val="28"/>
          <w:szCs w:val="28"/>
          <w:lang w:val="en-US" w:eastAsia="zh-CN" w:bidi="ar"/>
        </w:rPr>
      </w:pPr>
      <w:r>
        <w:rPr>
          <w:rFonts w:hint="eastAsia" w:ascii="仿宋_GB2312" w:hAnsi="仿宋_GB2312" w:eastAsia="仿宋_GB2312" w:cs="仿宋_GB2312"/>
          <w:color w:val="000000"/>
          <w:kern w:val="0"/>
          <w:sz w:val="28"/>
          <w:szCs w:val="28"/>
          <w:lang w:val="en-US" w:eastAsia="zh-CN" w:bidi="ar"/>
        </w:rPr>
        <w:t>项目支出绩效自评表见附件。</w:t>
      </w:r>
    </w:p>
    <w:p>
      <w:pPr>
        <w:pStyle w:val="2"/>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Droid Sans">
    <w:altName w:val="微软雅黑"/>
    <w:panose1 w:val="00000000000000000000"/>
    <w:charset w:val="00"/>
    <w:family w:val="auto"/>
    <w:pitch w:val="default"/>
    <w:sig w:usb0="00000000" w:usb1="00000000" w:usb2="00000000"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LhwZ9QEAALsDAAAOAAAAAAAAAAEAIAAAAB8BAABkcnMvZTJvRG9jLnhtbFBLBQYAAAAA&#10;BgAGAFkBAACG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2"/>
                            <w:rPr>
                              <w:rStyle w:val="15"/>
                            </w:rPr>
                          </w:pPr>
                          <w:r>
                            <w:fldChar w:fldCharType="begin"/>
                          </w:r>
                          <w:r>
                            <w:rPr>
                              <w:rStyle w:val="15"/>
                            </w:rPr>
                            <w:instrText xml:space="preserve">PAGE  </w:instrText>
                          </w:r>
                          <w:r>
                            <w:fldChar w:fldCharType="separate"/>
                          </w:r>
                          <w:r>
                            <w:rPr>
                              <w:rStyle w:val="15"/>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OVf09QEAALoDAAAOAAAAAAAAAAEAIAAAAB8BAABkcnMvZTJvRG9jLnhtbFBLBQYAAAAA&#10;BgAGAFkBAACGBQAAAAA=&#10;">
              <v:fill on="f" focussize="0,0"/>
              <v:stroke on="f"/>
              <v:imagedata o:title=""/>
              <o:lock v:ext="edit" aspectratio="f"/>
              <v:textbox inset="0mm,0mm,0mm,0mm" style="mso-fit-shape-to-text:t;">
                <w:txbxContent>
                  <w:p>
                    <w:pPr>
                      <w:pStyle w:val="2"/>
                      <w:rPr>
                        <w:rStyle w:val="15"/>
                      </w:rPr>
                    </w:pPr>
                    <w:r>
                      <w:fldChar w:fldCharType="begin"/>
                    </w:r>
                    <w:r>
                      <w:rPr>
                        <w:rStyle w:val="15"/>
                      </w:rPr>
                      <w:instrText xml:space="preserve">PAGE  </w:instrText>
                    </w:r>
                    <w:r>
                      <w:fldChar w:fldCharType="separate"/>
                    </w:r>
                    <w:r>
                      <w:rPr>
                        <w:rStyle w:val="15"/>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8C993"/>
    <w:multiLevelType w:val="singleLevel"/>
    <w:tmpl w:val="98F8C993"/>
    <w:lvl w:ilvl="0" w:tentative="0">
      <w:start w:val="2"/>
      <w:numFmt w:val="decimal"/>
      <w:lvlText w:val="%1."/>
      <w:lvlJc w:val="left"/>
      <w:pPr>
        <w:tabs>
          <w:tab w:val="left" w:pos="312"/>
        </w:tabs>
      </w:pPr>
    </w:lvl>
  </w:abstractNum>
  <w:abstractNum w:abstractNumId="1">
    <w:nsid w:val="F5315C4B"/>
    <w:multiLevelType w:val="singleLevel"/>
    <w:tmpl w:val="F5315C4B"/>
    <w:lvl w:ilvl="0" w:tentative="0">
      <w:start w:val="6"/>
      <w:numFmt w:val="chineseCounting"/>
      <w:suff w:val="nothing"/>
      <w:lvlText w:val="%1、"/>
      <w:lvlJc w:val="left"/>
      <w:rPr>
        <w:rFonts w:hint="eastAsia"/>
      </w:rPr>
    </w:lvl>
  </w:abstractNum>
  <w:abstractNum w:abstractNumId="2">
    <w:nsid w:val="0C08EF94"/>
    <w:multiLevelType w:val="singleLevel"/>
    <w:tmpl w:val="0C08EF94"/>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4YjRkMDMzMGE1Zjk0MTgxZjBhMmJmYjY4YTU2N2Q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C7444"/>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22C0D9E"/>
    <w:rsid w:val="036E597C"/>
    <w:rsid w:val="038E6E7A"/>
    <w:rsid w:val="04592C5D"/>
    <w:rsid w:val="05BA458B"/>
    <w:rsid w:val="079004AC"/>
    <w:rsid w:val="08925E3D"/>
    <w:rsid w:val="0AFD09DD"/>
    <w:rsid w:val="0C3C372F"/>
    <w:rsid w:val="0C7B7F86"/>
    <w:rsid w:val="0E1928A7"/>
    <w:rsid w:val="0F8E2C57"/>
    <w:rsid w:val="1059665E"/>
    <w:rsid w:val="10AC13BA"/>
    <w:rsid w:val="11576263"/>
    <w:rsid w:val="11E30C62"/>
    <w:rsid w:val="124610E1"/>
    <w:rsid w:val="135572DF"/>
    <w:rsid w:val="163F4A7E"/>
    <w:rsid w:val="172D0ACF"/>
    <w:rsid w:val="18A22B4C"/>
    <w:rsid w:val="18CD63BA"/>
    <w:rsid w:val="1AEC0734"/>
    <w:rsid w:val="1B323594"/>
    <w:rsid w:val="1B43291B"/>
    <w:rsid w:val="1C7254ED"/>
    <w:rsid w:val="1DEF20B0"/>
    <w:rsid w:val="1F401DDF"/>
    <w:rsid w:val="1F664E2A"/>
    <w:rsid w:val="21422A39"/>
    <w:rsid w:val="214243FA"/>
    <w:rsid w:val="228F49C0"/>
    <w:rsid w:val="232235C5"/>
    <w:rsid w:val="257A14F5"/>
    <w:rsid w:val="27196C26"/>
    <w:rsid w:val="28996D07"/>
    <w:rsid w:val="29EF086F"/>
    <w:rsid w:val="2A8415D0"/>
    <w:rsid w:val="2B366C7A"/>
    <w:rsid w:val="2BF13CCD"/>
    <w:rsid w:val="2C650294"/>
    <w:rsid w:val="2D343BFB"/>
    <w:rsid w:val="2EFFE297"/>
    <w:rsid w:val="301437CA"/>
    <w:rsid w:val="323052D7"/>
    <w:rsid w:val="32785148"/>
    <w:rsid w:val="353C75FB"/>
    <w:rsid w:val="368974AA"/>
    <w:rsid w:val="386D6DD1"/>
    <w:rsid w:val="39712C0D"/>
    <w:rsid w:val="3A7410AA"/>
    <w:rsid w:val="3A851927"/>
    <w:rsid w:val="3AE50479"/>
    <w:rsid w:val="3DC141B0"/>
    <w:rsid w:val="3DE04810"/>
    <w:rsid w:val="3DFD6097"/>
    <w:rsid w:val="3E882005"/>
    <w:rsid w:val="3F143319"/>
    <w:rsid w:val="3F3B19D7"/>
    <w:rsid w:val="4208288A"/>
    <w:rsid w:val="42F27DD4"/>
    <w:rsid w:val="433E495C"/>
    <w:rsid w:val="44617DEC"/>
    <w:rsid w:val="45A90126"/>
    <w:rsid w:val="4616442F"/>
    <w:rsid w:val="46B753D0"/>
    <w:rsid w:val="48804E0D"/>
    <w:rsid w:val="49090450"/>
    <w:rsid w:val="4A1B0F53"/>
    <w:rsid w:val="4AC27CB3"/>
    <w:rsid w:val="4ADE3681"/>
    <w:rsid w:val="4B6D146C"/>
    <w:rsid w:val="4BF72BEF"/>
    <w:rsid w:val="4CD80866"/>
    <w:rsid w:val="4DEB2135"/>
    <w:rsid w:val="4ECC4DD1"/>
    <w:rsid w:val="50502C65"/>
    <w:rsid w:val="51DB3C59"/>
    <w:rsid w:val="550A17D8"/>
    <w:rsid w:val="55762E42"/>
    <w:rsid w:val="56086C35"/>
    <w:rsid w:val="568B6949"/>
    <w:rsid w:val="57581445"/>
    <w:rsid w:val="578634F7"/>
    <w:rsid w:val="57A7B272"/>
    <w:rsid w:val="58470068"/>
    <w:rsid w:val="58886F75"/>
    <w:rsid w:val="58B9536A"/>
    <w:rsid w:val="58C146D8"/>
    <w:rsid w:val="5A1720F9"/>
    <w:rsid w:val="5B9C37C2"/>
    <w:rsid w:val="5BA7C654"/>
    <w:rsid w:val="5CF74D38"/>
    <w:rsid w:val="5F2D3D9B"/>
    <w:rsid w:val="5F8A0474"/>
    <w:rsid w:val="60FF240D"/>
    <w:rsid w:val="638A7560"/>
    <w:rsid w:val="639E2389"/>
    <w:rsid w:val="641F04E5"/>
    <w:rsid w:val="64C0607C"/>
    <w:rsid w:val="65AC6CC3"/>
    <w:rsid w:val="672D1356"/>
    <w:rsid w:val="676F09E1"/>
    <w:rsid w:val="696173A6"/>
    <w:rsid w:val="69E53374"/>
    <w:rsid w:val="6A9B1DCA"/>
    <w:rsid w:val="6C2C6080"/>
    <w:rsid w:val="6F375468"/>
    <w:rsid w:val="6FE55BEA"/>
    <w:rsid w:val="70240079"/>
    <w:rsid w:val="721821DB"/>
    <w:rsid w:val="731E2B7F"/>
    <w:rsid w:val="74270E43"/>
    <w:rsid w:val="756172B0"/>
    <w:rsid w:val="75A44ED9"/>
    <w:rsid w:val="75E74A0A"/>
    <w:rsid w:val="763D0296"/>
    <w:rsid w:val="768F7680"/>
    <w:rsid w:val="77512F0B"/>
    <w:rsid w:val="77F80C6B"/>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footer"/>
    <w:basedOn w:val="1"/>
    <w:link w:val="16"/>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toc 3"/>
    <w:basedOn w:val="1"/>
    <w:next w:val="1"/>
    <w:qFormat/>
    <w:uiPriority w:val="0"/>
    <w:pPr>
      <w:ind w:left="840" w:leftChars="400"/>
    </w:p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5"/>
    <w:uiPriority w:val="0"/>
  </w:style>
  <w:style w:type="character" w:styleId="14">
    <w:name w:val="Strong"/>
    <w:qFormat/>
    <w:uiPriority w:val="0"/>
    <w:rPr>
      <w:b/>
    </w:rPr>
  </w:style>
  <w:style w:type="character" w:styleId="15">
    <w:name w:val="page number"/>
    <w:qFormat/>
    <w:uiPriority w:val="0"/>
  </w:style>
  <w:style w:type="character" w:customStyle="1" w:styleId="16">
    <w:name w:val="页脚 字符"/>
    <w:link w:val="2"/>
    <w:qFormat/>
    <w:uiPriority w:val="0"/>
    <w:rPr>
      <w:rFonts w:eastAsia="宋体"/>
      <w:kern w:val="2"/>
      <w:sz w:val="18"/>
      <w:szCs w:val="18"/>
      <w:lang w:val="en-US" w:eastAsia="zh-CN" w:bidi="ar-SA"/>
    </w:rPr>
  </w:style>
  <w:style w:type="character" w:customStyle="1" w:styleId="17">
    <w:name w:val="页眉 字符"/>
    <w:link w:val="9"/>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21"/>
    <w:basedOn w:val="13"/>
    <w:qFormat/>
    <w:uiPriority w:val="0"/>
    <w:rPr>
      <w:rFonts w:hint="eastAsia" w:ascii="宋体" w:hAnsi="宋体" w:eastAsia="宋体" w:cs="宋体"/>
      <w:color w:val="000000"/>
      <w:sz w:val="18"/>
      <w:szCs w:val="18"/>
      <w:u w:val="none"/>
    </w:rPr>
  </w:style>
  <w:style w:type="character" w:customStyle="1" w:styleId="23">
    <w:name w:val="font0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P\DESKTOP\&#39292;&#29366;&#22270;&#29983;&#25104;&#21442;&#32771;.et"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P\DESKTOP\&#39292;&#29366;&#22270;&#29983;&#25104;&#21442;&#32771;.e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[饼状图生成参考.et]Sheet1!$B$1</c:f>
              <c:strCache>
                <c:ptCount val="1"/>
                <c:pt idx="0">
                  <c:v>收入决算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[饼状图生成参考.et]Sheet1!$A$2:$A$7</c:f>
              <c:strCache>
                <c:ptCount val="6"/>
                <c:pt idx="0">
                  <c:v>财政拨款收入</c:v>
                </c:pt>
                <c:pt idx="2">
                  <c:v>事业收入</c:v>
                </c:pt>
                <c:pt idx="5">
                  <c:v>其他收入</c:v>
                </c:pt>
              </c:strCache>
            </c:strRef>
          </c:cat>
          <c:val>
            <c:numRef>
              <c:f>[饼状图生成参考.et]Sheet1!$B$2:$B$7</c:f>
              <c:numCache>
                <c:formatCode>0.00%</c:formatCode>
                <c:ptCount val="6"/>
                <c:pt idx="0">
                  <c:v>0.9204</c:v>
                </c:pt>
                <c:pt idx="2">
                  <c:v>0.0781</c:v>
                </c:pt>
                <c:pt idx="5">
                  <c:v>0.0015</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egendEntry>
        <c:idx val="1"/>
        <c:delete val="1"/>
      </c:legendEntry>
      <c:legendEntry>
        <c:idx val="3"/>
        <c:delete val="1"/>
      </c:legendEntry>
      <c:legendEntry>
        <c:idx val="4"/>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[饼状图生成参考.et]Sheet1!$B$1</c:f>
              <c:strCache>
                <c:ptCount val="1"/>
                <c:pt idx="0">
                  <c:v>支出决算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[饼状图生成参考.et]Sheet1!$A$2:$A$7</c:f>
              <c:strCache>
                <c:ptCount val="6"/>
                <c:pt idx="0">
                  <c:v>基本支出</c:v>
                </c:pt>
                <c:pt idx="2">
                  <c:v>项目支出</c:v>
                </c:pt>
              </c:strCache>
            </c:strRef>
          </c:cat>
          <c:val>
            <c:numRef>
              <c:f>[饼状图生成参考.et]Sheet1!$B$2:$B$7</c:f>
              <c:numCache>
                <c:formatCode>0.00%</c:formatCode>
                <c:ptCount val="6"/>
                <c:pt idx="0">
                  <c:v>0.1694</c:v>
                </c:pt>
                <c:pt idx="2">
                  <c:v>0.8306</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egendEntry>
        <c:idx val="1"/>
        <c:delete val="1"/>
      </c:legendEntry>
      <c:legendEntry>
        <c:idx val="3"/>
        <c:delete val="1"/>
      </c:legendEntry>
      <c:legendEntry>
        <c:idx val="4"/>
        <c:delete val="1"/>
      </c:legendEntry>
      <c:legendEntry>
        <c:idx val="5"/>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49</Pages>
  <Words>18845</Words>
  <Characters>21093</Characters>
  <Lines>588</Lines>
  <Paragraphs>343</Paragraphs>
  <TotalTime>12</TotalTime>
  <ScaleCrop>false</ScaleCrop>
  <LinksUpToDate>false</LinksUpToDate>
  <CharactersWithSpaces>21147</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北京市大兴区安定镇财政所</cp:lastModifiedBy>
  <cp:lastPrinted>2020-08-07T11:39:00Z</cp:lastPrinted>
  <dcterms:modified xsi:type="dcterms:W3CDTF">2025-07-02T01:52:30Z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8E0D435A5D154928BF864CBC7CB392AD_13</vt:lpwstr>
  </property>
  <property fmtid="{D5CDD505-2E9C-101B-9397-08002B2CF9AE}" pid="4" name="KSOTemplateDocerSaveRecord">
    <vt:lpwstr>eyJoZGlkIjoiMzc4NWY1MzkzMjk1MGZhYTYzN2RlYzY2ZjI5NzA1ZTciLCJ1c2VySWQiOiIxMDExMTUzMTMyIn0=</vt:lpwstr>
  </property>
</Properties>
</file>