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北京市大兴区</w:t>
      </w:r>
      <w:r>
        <w:rPr>
          <w:rFonts w:hint="eastAsia" w:ascii="黑体" w:eastAsia="黑体"/>
          <w:sz w:val="72"/>
          <w:szCs w:val="72"/>
          <w:lang w:eastAsia="zh-CN"/>
        </w:rPr>
        <w:t>礼贤镇部门</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一、部门基本情况</w:t>
      </w:r>
    </w:p>
    <w:p>
      <w:pPr>
        <w:tabs>
          <w:tab w:val="center" w:pos="6979"/>
        </w:tabs>
        <w:spacing w:line="580" w:lineRule="exact"/>
        <w:ind w:firstLine="570"/>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一</w:t>
      </w:r>
      <w:r>
        <w:rPr>
          <w:rFonts w:hint="eastAsia" w:ascii="楷体" w:hAnsi="楷体" w:eastAsia="楷体" w:cs="楷体"/>
          <w:sz w:val="28"/>
          <w:szCs w:val="28"/>
          <w:lang w:eastAsia="zh-CN"/>
        </w:rPr>
        <w:t>）部门主要职责</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贯彻执行国家的法律、法规、规章和市、区人民政府的决定、命令、指示。</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执行本镇（地区）人民代表大会的各项决议。</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lang w:eastAsia="zh-CN"/>
        </w:rPr>
        <w:t>制定本镇（地区）经济社会发展中、长期规划和年度计划，并组织实施。</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lang w:eastAsia="zh-CN"/>
        </w:rPr>
        <w:t>指导各村不断完善村民自治章程，推进各村民主选举、民主决策、民主管理和民主监督。</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5、</w:t>
      </w:r>
      <w:r>
        <w:rPr>
          <w:rFonts w:hint="eastAsia" w:ascii="仿宋_GB2312" w:eastAsia="仿宋_GB2312"/>
          <w:sz w:val="28"/>
          <w:szCs w:val="28"/>
          <w:lang w:eastAsia="zh-CN"/>
        </w:rPr>
        <w:t>负责辖区内的经济、教育、科学、文化、体育、卫生、人口与计划生育、财政工作和民政、优抚、残疾人的服务管理、劳动和社会保障、住房保障等工作。</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6、</w:t>
      </w:r>
      <w:r>
        <w:rPr>
          <w:rFonts w:hint="eastAsia" w:ascii="仿宋_GB2312" w:eastAsia="仿宋_GB2312"/>
          <w:sz w:val="28"/>
          <w:szCs w:val="28"/>
          <w:lang w:eastAsia="zh-CN"/>
        </w:rPr>
        <w:t>负责辖区内社会建设工作和社区建设与管理工作。</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lang w:eastAsia="zh-CN"/>
        </w:rPr>
        <w:t>负责辖区内农村和城镇的规划建设与管理，保障人口、资源、环境的协调可持续发展。</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lang w:eastAsia="zh-CN"/>
        </w:rPr>
        <w:t>负责公安、司法、社会治安综合治理以及环保、环卫、交通、能源、安全、防火、防汛等工作。</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lang w:eastAsia="zh-CN"/>
        </w:rPr>
        <w:t>保护全民所有和集体所有财产，保护公民私人所有的合法财产，维护社会秩序，保障公民的人身权利、民主权利和其他权利，保护各种经济组织的合法权益，保障少数民族的权利和尊重少数民族的风俗习惯。</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10、完成上级人民政府交办的其他任务。</w:t>
      </w:r>
    </w:p>
    <w:p>
      <w:pPr>
        <w:tabs>
          <w:tab w:val="center" w:pos="6979"/>
        </w:tabs>
        <w:spacing w:line="580" w:lineRule="exact"/>
        <w:ind w:firstLine="570"/>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（二）单位性质、机构设置及人员情况</w:t>
      </w:r>
    </w:p>
    <w:p>
      <w:pPr>
        <w:tabs>
          <w:tab w:val="center" w:pos="6979"/>
        </w:tabs>
        <w:spacing w:line="580" w:lineRule="exact"/>
        <w:ind w:firstLine="570"/>
        <w:rPr>
          <w:rFonts w:hint="eastAsia" w:ascii="仿宋_GB2312" w:eastAsia="仿宋_GB2312"/>
          <w:kern w:val="0"/>
          <w:sz w:val="28"/>
          <w:szCs w:val="28"/>
          <w:highlight w:val="yellow"/>
        </w:rPr>
      </w:pPr>
      <w:r>
        <w:rPr>
          <w:rFonts w:hint="eastAsia" w:ascii="仿宋_GB2312" w:eastAsia="仿宋_GB2312"/>
          <w:sz w:val="28"/>
          <w:szCs w:val="28"/>
          <w:lang w:val="en-US" w:eastAsia="zh-CN"/>
        </w:rPr>
        <w:t>礼贤镇人民政府为行政机关单位，内设7个科室（党群工作办公室（挂人大办公室牌子）、平安建设办公室（挂人民武装部、司法所牌子）、城乡建设办公室、经济发展办公室（挂统计所牌子）、农业农村办公室、综合保障办公室、</w:t>
      </w:r>
      <w:r>
        <w:rPr>
          <w:rFonts w:hint="eastAsia" w:ascii="仿宋_GB2312" w:eastAsia="仿宋_GB2312"/>
          <w:sz w:val="28"/>
          <w:szCs w:val="28"/>
          <w:highlight w:val="none"/>
          <w:lang w:val="en-US" w:eastAsia="zh-CN"/>
        </w:rPr>
        <w:t>民生保障和社区建设办公室以及1个执法队（北京市大兴区礼贤镇综合行政执法队），所属5个事业单位（北京市大兴区礼贤镇市民活动中心、北京市大兴区礼贤镇市民诉求处置中心（加挂北京市大兴区礼贤镇综治中心牌子）、北京市大兴区礼贤镇便民服务中心（加挂北京市大兴区礼贤镇退役军人服务站牌子）、北京市大兴区礼贤镇城镇建设服务中心、北京市大兴区礼贤镇产业发展服务中心）</w:t>
      </w:r>
      <w:r>
        <w:rPr>
          <w:rFonts w:hint="eastAsia" w:ascii="仿宋_GB2312" w:eastAsia="仿宋_GB2312"/>
          <w:sz w:val="28"/>
          <w:szCs w:val="28"/>
          <w:lang w:val="en-US" w:eastAsia="zh-CN"/>
        </w:rPr>
        <w:t>；下划事业单位1家（北京市大兴区礼贤镇中心卫生院）。</w:t>
      </w:r>
      <w:r>
        <w:rPr>
          <w:rFonts w:hint="eastAsia" w:ascii="仿宋_GB2312" w:eastAsia="仿宋_GB2312"/>
          <w:kern w:val="0"/>
          <w:sz w:val="28"/>
          <w:szCs w:val="28"/>
          <w:highlight w:val="none"/>
          <w:lang w:val="en-US" w:eastAsia="zh-CN"/>
        </w:rPr>
        <w:t>人员编制数285人,</w:t>
      </w:r>
      <w:r>
        <w:rPr>
          <w:rFonts w:hint="eastAsia" w:ascii="仿宋_GB2312" w:eastAsia="仿宋_GB2312"/>
          <w:sz w:val="28"/>
          <w:szCs w:val="28"/>
          <w:highlight w:val="none"/>
          <w:lang w:eastAsia="zh-CN"/>
        </w:rPr>
        <w:t>年末实有人数</w:t>
      </w:r>
      <w:r>
        <w:rPr>
          <w:rFonts w:hint="eastAsia" w:ascii="仿宋_GB2312" w:eastAsia="仿宋_GB2312"/>
          <w:sz w:val="28"/>
          <w:szCs w:val="28"/>
          <w:highlight w:val="none"/>
          <w:lang w:val="en-US" w:eastAsia="zh-CN"/>
        </w:rPr>
        <w:t>395</w:t>
      </w:r>
      <w:r>
        <w:rPr>
          <w:rFonts w:hint="eastAsia" w:ascii="仿宋_GB2312" w:eastAsia="仿宋_GB2312"/>
          <w:sz w:val="28"/>
          <w:szCs w:val="28"/>
          <w:highlight w:val="none"/>
          <w:lang w:eastAsia="zh-CN"/>
        </w:rPr>
        <w:t>人</w:t>
      </w:r>
      <w:r>
        <w:rPr>
          <w:rFonts w:hint="eastAsia" w:ascii="仿宋_GB2312" w:eastAsia="仿宋_GB2312"/>
          <w:sz w:val="28"/>
          <w:szCs w:val="28"/>
          <w:highlight w:val="none"/>
          <w:lang w:val="en-US" w:eastAsia="zh-CN"/>
        </w:rPr>
        <w:t>。</w:t>
      </w:r>
      <w:r>
        <w:rPr>
          <w:rFonts w:hint="eastAsia" w:ascii="仿宋_GB2312" w:eastAsia="仿宋_GB2312"/>
          <w:color w:val="auto"/>
          <w:sz w:val="28"/>
          <w:szCs w:val="28"/>
          <w:highlight w:val="none"/>
          <w:lang w:eastAsia="zh-CN"/>
        </w:rPr>
        <w:t>其中：</w:t>
      </w:r>
      <w:r>
        <w:rPr>
          <w:rFonts w:hint="eastAsia" w:ascii="仿宋_GB2312" w:eastAsia="仿宋_GB2312"/>
          <w:color w:val="auto"/>
          <w:sz w:val="28"/>
          <w:szCs w:val="28"/>
          <w:highlight w:val="none"/>
          <w:lang w:val="en-US" w:eastAsia="zh-CN"/>
        </w:rPr>
        <w:t>行政机关70人，事业人员183人，退休人员142人。</w:t>
      </w:r>
    </w:p>
    <w:p>
      <w:pPr>
        <w:tabs>
          <w:tab w:val="center" w:pos="6979"/>
        </w:tabs>
        <w:spacing w:line="580" w:lineRule="exact"/>
        <w:ind w:firstLine="565" w:firstLineChars="202"/>
        <w:rPr>
          <w:rFonts w:hint="eastAsia" w:ascii="黑体" w:eastAsia="黑体"/>
          <w:sz w:val="28"/>
          <w:szCs w:val="28"/>
          <w:highlight w:val="none"/>
        </w:rPr>
      </w:pPr>
      <w:r>
        <w:rPr>
          <w:rFonts w:hint="eastAsia" w:ascii="黑体" w:eastAsia="黑体"/>
          <w:sz w:val="28"/>
          <w:szCs w:val="28"/>
          <w:highlight w:val="none"/>
        </w:rPr>
        <w:t>二、部门决算单位构成</w:t>
      </w:r>
    </w:p>
    <w:p>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rPr>
        <w:t>从预算单位构成看，</w:t>
      </w:r>
      <w:r>
        <w:rPr>
          <w:rFonts w:hint="eastAsia" w:ascii="仿宋_GB2312" w:eastAsia="仿宋_GB2312"/>
          <w:kern w:val="0"/>
          <w:sz w:val="28"/>
          <w:szCs w:val="28"/>
          <w:highlight w:val="none"/>
        </w:rPr>
        <w:t>本部门</w:t>
      </w:r>
      <w:r>
        <w:rPr>
          <w:rFonts w:hint="eastAsia" w:ascii="仿宋_GB2312" w:eastAsia="仿宋_GB2312"/>
          <w:sz w:val="28"/>
          <w:szCs w:val="28"/>
          <w:highlight w:val="none"/>
        </w:rPr>
        <w:t>决算包括：</w:t>
      </w:r>
      <w:r>
        <w:rPr>
          <w:rFonts w:hint="eastAsia" w:ascii="仿宋_GB2312" w:eastAsia="仿宋_GB2312"/>
          <w:sz w:val="28"/>
          <w:szCs w:val="28"/>
          <w:highlight w:val="none"/>
          <w:lang w:val="en-US" w:eastAsia="zh-CN"/>
        </w:rPr>
        <w:t>礼贤镇政府本级决算、部门所属事业单位决算</w:t>
      </w:r>
      <w:r>
        <w:rPr>
          <w:rFonts w:hint="eastAsia" w:ascii="仿宋_GB2312" w:eastAsia="仿宋_GB2312"/>
          <w:sz w:val="28"/>
          <w:szCs w:val="28"/>
          <w:highlight w:val="none"/>
        </w:rPr>
        <w:t>。具体为：</w:t>
      </w:r>
    </w:p>
    <w:p>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highlight w:val="none"/>
          <w:lang w:eastAsia="zh-CN"/>
        </w:rPr>
        <w:t>（一）</w:t>
      </w:r>
      <w:r>
        <w:rPr>
          <w:rFonts w:hint="eastAsia" w:ascii="仿宋_GB2312" w:eastAsia="仿宋_GB2312"/>
          <w:sz w:val="28"/>
          <w:szCs w:val="28"/>
          <w:highlight w:val="none"/>
          <w:lang w:val="en-US" w:eastAsia="zh-CN"/>
        </w:rPr>
        <w:t>北京市大兴区礼贤镇政府（本级）</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eastAsia="zh-CN"/>
        </w:rPr>
        <w:t>（二）</w:t>
      </w:r>
      <w:r>
        <w:rPr>
          <w:rFonts w:hint="eastAsia" w:ascii="仿宋_GB2312" w:eastAsia="仿宋_GB2312"/>
          <w:sz w:val="28"/>
          <w:szCs w:val="28"/>
          <w:highlight w:val="none"/>
          <w:lang w:val="en-US" w:eastAsia="zh-CN"/>
        </w:rPr>
        <w:t>北京市大兴区礼贤镇中心卫生院</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83205.45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5902.08万元，增长</w:t>
      </w:r>
      <w:r>
        <w:rPr>
          <w:rFonts w:hint="eastAsia" w:ascii="仿宋_GB2312" w:eastAsia="仿宋_GB2312"/>
          <w:sz w:val="28"/>
          <w:szCs w:val="28"/>
          <w:lang w:val="en-US" w:eastAsia="zh-CN"/>
        </w:rPr>
        <w:t>7.63</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一是追加区级专项资金，二是事业收入有所增加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年度支出总计83205.45万元，</w:t>
      </w:r>
      <w:r>
        <w:rPr>
          <w:rFonts w:ascii="仿宋_GB2312" w:eastAsia="仿宋_GB2312"/>
          <w:sz w:val="28"/>
          <w:szCs w:val="28"/>
        </w:rPr>
        <w:t>比上年增加</w:t>
      </w:r>
      <w:r>
        <w:rPr>
          <w:rFonts w:hint="eastAsia" w:ascii="仿宋_GB2312" w:eastAsia="仿宋_GB2312"/>
          <w:sz w:val="28"/>
          <w:szCs w:val="28"/>
        </w:rPr>
        <w:t>5902.08万元，增长</w:t>
      </w:r>
      <w:r>
        <w:rPr>
          <w:rFonts w:hint="eastAsia" w:ascii="仿宋_GB2312" w:eastAsia="仿宋_GB2312"/>
          <w:sz w:val="28"/>
          <w:szCs w:val="28"/>
          <w:lang w:val="en-US" w:eastAsia="zh-CN"/>
        </w:rPr>
        <w:t>7.63</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一是补发人员第三批房补，二是区级项目专项资金支出有所增加。</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2024年度本年收入合计80367.21万元，</w:t>
      </w:r>
      <w:r>
        <w:rPr>
          <w:rFonts w:ascii="仿宋_GB2312" w:eastAsia="仿宋_GB2312"/>
          <w:sz w:val="28"/>
          <w:szCs w:val="28"/>
        </w:rPr>
        <w:t>比上年增加</w:t>
      </w:r>
      <w:r>
        <w:rPr>
          <w:rFonts w:hint="eastAsia" w:ascii="仿宋_GB2312" w:eastAsia="仿宋_GB2312"/>
          <w:sz w:val="28"/>
          <w:szCs w:val="28"/>
        </w:rPr>
        <w:t>4773.68万元，增长</w:t>
      </w:r>
      <w:r>
        <w:rPr>
          <w:rFonts w:hint="eastAsia" w:ascii="仿宋_GB2312" w:eastAsia="仿宋_GB2312"/>
          <w:sz w:val="28"/>
          <w:szCs w:val="28"/>
          <w:lang w:val="en-US" w:eastAsia="zh-CN"/>
        </w:rPr>
        <w:t>6.31%</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一是追加区级专项资金，二是事业收入有所增加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68353.81</w:t>
      </w:r>
      <w:r>
        <w:rPr>
          <w:rFonts w:hint="eastAsia" w:ascii="仿宋_GB2312" w:eastAsia="仿宋_GB2312"/>
          <w:sz w:val="28"/>
          <w:szCs w:val="28"/>
        </w:rPr>
        <w:t>万元，占收入合计的</w:t>
      </w:r>
      <w:r>
        <w:rPr>
          <w:rFonts w:hint="eastAsia" w:ascii="仿宋_GB2312" w:eastAsia="仿宋_GB2312"/>
          <w:sz w:val="28"/>
          <w:szCs w:val="28"/>
          <w:lang w:val="en-US" w:eastAsia="zh-CN"/>
        </w:rPr>
        <w:t>85.05</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55244.12</w:t>
      </w:r>
      <w:r>
        <w:rPr>
          <w:rFonts w:hint="eastAsia" w:ascii="仿宋_GB2312" w:eastAsia="仿宋_GB2312"/>
          <w:sz w:val="28"/>
          <w:szCs w:val="28"/>
        </w:rPr>
        <w:t>万元，占收入合计的</w:t>
      </w:r>
      <w:r>
        <w:rPr>
          <w:rFonts w:hint="eastAsia" w:ascii="仿宋_GB2312" w:eastAsia="仿宋_GB2312"/>
          <w:sz w:val="28"/>
          <w:szCs w:val="28"/>
          <w:lang w:val="en-US" w:eastAsia="zh-CN"/>
        </w:rPr>
        <w:t>80.82</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13109.69</w:t>
      </w:r>
      <w:r>
        <w:rPr>
          <w:rFonts w:hint="eastAsia" w:ascii="仿宋_GB2312" w:eastAsia="仿宋_GB2312"/>
          <w:sz w:val="28"/>
          <w:szCs w:val="28"/>
        </w:rPr>
        <w:t>万元，占收入合计的</w:t>
      </w:r>
      <w:r>
        <w:rPr>
          <w:rFonts w:hint="eastAsia" w:ascii="仿宋_GB2312" w:eastAsia="仿宋_GB2312"/>
          <w:sz w:val="28"/>
          <w:szCs w:val="28"/>
          <w:lang w:val="en-US" w:eastAsia="zh-CN"/>
        </w:rPr>
        <w:t>19.18</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11794.83</w:t>
      </w:r>
      <w:r>
        <w:rPr>
          <w:rFonts w:hint="eastAsia" w:ascii="仿宋_GB2312" w:eastAsia="仿宋_GB2312"/>
          <w:sz w:val="28"/>
          <w:szCs w:val="28"/>
        </w:rPr>
        <w:t>万元，占收入合计的</w:t>
      </w:r>
      <w:r>
        <w:rPr>
          <w:rFonts w:hint="eastAsia" w:ascii="仿宋_GB2312" w:eastAsia="仿宋_GB2312"/>
          <w:sz w:val="28"/>
          <w:szCs w:val="28"/>
          <w:lang w:val="en-US" w:eastAsia="zh-CN"/>
        </w:rPr>
        <w:t>14.68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218.57</w:t>
      </w:r>
      <w:bookmarkStart w:id="0" w:name="_GoBack"/>
      <w:bookmarkEnd w:id="0"/>
      <w:r>
        <w:rPr>
          <w:rFonts w:hint="eastAsia" w:ascii="仿宋_GB2312" w:eastAsia="仿宋_GB2312"/>
          <w:sz w:val="28"/>
          <w:szCs w:val="28"/>
        </w:rPr>
        <w:t>万元，占收入合计的</w:t>
      </w:r>
      <w:r>
        <w:rPr>
          <w:rFonts w:hint="eastAsia" w:ascii="仿宋_GB2312" w:eastAsia="仿宋_GB2312"/>
          <w:sz w:val="28"/>
          <w:szCs w:val="28"/>
          <w:lang w:val="en-US" w:eastAsia="zh-CN"/>
        </w:rPr>
        <w:t>0.27</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2"/>
        <w:ind w:firstLine="0"/>
        <w:jc w:val="center"/>
        <w:rPr>
          <w:rFonts w:hint="eastAsia" w:ascii="仿宋_GB2312" w:eastAsia="仿宋_GB2312"/>
          <w:color w:val="000000"/>
          <w:sz w:val="32"/>
          <w:szCs w:val="32"/>
          <w:highlight w:val="none"/>
          <w:lang w:val="en-US" w:eastAsia="zh-CN"/>
        </w:rPr>
      </w:pPr>
      <w:r>
        <w:drawing>
          <wp:inline distT="0" distB="0" distL="114300" distR="114300">
            <wp:extent cx="4826000" cy="2743200"/>
            <wp:effectExtent l="4445" t="4445" r="8255" b="14605"/>
            <wp:docPr id="5"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2024年度本年支出合计80437.3万元，</w:t>
      </w:r>
      <w:r>
        <w:rPr>
          <w:rFonts w:ascii="仿宋_GB2312" w:eastAsia="仿宋_GB2312"/>
          <w:sz w:val="28"/>
          <w:szCs w:val="28"/>
        </w:rPr>
        <w:t>比上年增加</w:t>
      </w:r>
      <w:r>
        <w:rPr>
          <w:rFonts w:hint="eastAsia" w:ascii="仿宋_GB2312" w:eastAsia="仿宋_GB2312"/>
          <w:sz w:val="28"/>
          <w:szCs w:val="28"/>
        </w:rPr>
        <w:t>5210.64万元，增长</w:t>
      </w:r>
      <w:r>
        <w:rPr>
          <w:rFonts w:hint="eastAsia" w:ascii="仿宋_GB2312" w:eastAsia="仿宋_GB2312"/>
          <w:sz w:val="28"/>
          <w:szCs w:val="28"/>
          <w:lang w:val="en-US" w:eastAsia="zh-CN"/>
        </w:rPr>
        <w:t>6.93</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一是补发人员第三批房补，二是区级项目专项资金支出有所增加。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20339.79</w:t>
      </w:r>
      <w:r>
        <w:rPr>
          <w:rFonts w:hint="eastAsia" w:ascii="仿宋_GB2312" w:eastAsia="仿宋_GB2312"/>
          <w:sz w:val="28"/>
          <w:szCs w:val="28"/>
        </w:rPr>
        <w:t>万元，占支出合计的</w:t>
      </w:r>
      <w:r>
        <w:rPr>
          <w:rFonts w:hint="eastAsia" w:ascii="仿宋_GB2312" w:eastAsia="仿宋_GB2312"/>
          <w:sz w:val="28"/>
          <w:szCs w:val="28"/>
          <w:lang w:val="en-US" w:eastAsia="zh-CN"/>
        </w:rPr>
        <w:t>25.29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60097.51</w:t>
      </w:r>
      <w:r>
        <w:rPr>
          <w:rFonts w:hint="eastAsia" w:ascii="仿宋_GB2312" w:eastAsia="仿宋_GB2312"/>
          <w:sz w:val="28"/>
          <w:szCs w:val="28"/>
        </w:rPr>
        <w:t>万元，占支出合计的</w:t>
      </w:r>
      <w:r>
        <w:rPr>
          <w:rFonts w:hint="eastAsia" w:ascii="仿宋_GB2312" w:eastAsia="仿宋_GB2312"/>
          <w:sz w:val="28"/>
          <w:szCs w:val="28"/>
          <w:lang w:val="en-US" w:eastAsia="zh-CN"/>
        </w:rPr>
        <w:t>74.71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826000" cy="2743200"/>
            <wp:effectExtent l="4445" t="4445" r="8255" b="14605"/>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69201.58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4502.28万元，增长</w:t>
      </w:r>
      <w:r>
        <w:rPr>
          <w:rFonts w:hint="eastAsia" w:ascii="仿宋_GB2312" w:eastAsia="仿宋_GB2312"/>
          <w:sz w:val="28"/>
          <w:szCs w:val="28"/>
          <w:lang w:val="en-US" w:eastAsia="zh-CN"/>
        </w:rPr>
        <w:t>6.96</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一是追加区级专项资金，二是事业收入有所增加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r>
        <w:rPr>
          <w:rFonts w:hint="eastAsia" w:ascii="仿宋_GB2312" w:eastAsia="仿宋_GB2312"/>
          <w:sz w:val="28"/>
          <w:szCs w:val="28"/>
          <w:lang w:val="en-US" w:eastAsia="zh-CN"/>
        </w:rPr>
        <w:t>69201.58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4502.28万元，增长</w:t>
      </w:r>
      <w:r>
        <w:rPr>
          <w:rFonts w:hint="eastAsia" w:ascii="仿宋_GB2312" w:eastAsia="仿宋_GB2312"/>
          <w:sz w:val="28"/>
          <w:szCs w:val="28"/>
          <w:lang w:val="en-US" w:eastAsia="zh-CN"/>
        </w:rPr>
        <w:t>6.96</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一是补发人员第三批房补，二是区级项目专项资金支出有所增加。</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56091.88</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13318.43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23.74</w:t>
      </w:r>
      <w:r>
        <w:rPr>
          <w:rFonts w:hint="eastAsia" w:ascii="仿宋_GB2312" w:eastAsia="仿宋_GB2312"/>
          <w:sz w:val="28"/>
          <w:szCs w:val="28"/>
        </w:rPr>
        <w:t>%；</w:t>
      </w:r>
      <w:r>
        <w:rPr>
          <w:rFonts w:hint="eastAsia" w:ascii="仿宋_GB2312" w:eastAsia="仿宋_GB2312"/>
          <w:sz w:val="28"/>
          <w:szCs w:val="28"/>
          <w:lang w:eastAsia="zh-CN"/>
        </w:rPr>
        <w:t>公共安全</w:t>
      </w:r>
      <w:r>
        <w:rPr>
          <w:rFonts w:hint="eastAsia" w:ascii="仿宋_GB2312" w:eastAsia="仿宋_GB2312"/>
          <w:sz w:val="28"/>
          <w:szCs w:val="28"/>
          <w:lang w:val="en-US" w:eastAsia="zh-CN"/>
        </w:rPr>
        <w:t>支出45万元，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教育支出228.13万元，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文化旅游体育与传媒支出328.92万元，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社会保障和就业支出2645.60万元，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4.72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卫生健康支出5126.10万元，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9.14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节能环保支出671.64万元，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1.20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城乡社区支出8004.05万元，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14.27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农林水支出24393.22万元，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43.49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交通运输支出10.54万元，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自然资源海洋气象等支出230.64万元，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住房保障支出848.27万元，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1.51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灾害防治及应急管理支出241.34万元，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0.43</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13318.43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1989.45</w:t>
      </w:r>
      <w:r>
        <w:rPr>
          <w:rFonts w:hint="eastAsia" w:ascii="仿宋_GB2312" w:eastAsia="仿宋_GB2312"/>
          <w:sz w:val="28"/>
          <w:szCs w:val="28"/>
        </w:rPr>
        <w:t>万元，增长</w:t>
      </w:r>
      <w:r>
        <w:rPr>
          <w:rFonts w:hint="eastAsia" w:ascii="仿宋_GB2312" w:eastAsia="仿宋_GB2312"/>
          <w:sz w:val="28"/>
          <w:szCs w:val="28"/>
          <w:lang w:val="en-US" w:eastAsia="zh-CN"/>
        </w:rPr>
        <w:t>17.56</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“人大事务”202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92.87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40.07</w:t>
      </w:r>
      <w:r>
        <w:rPr>
          <w:rFonts w:hint="eastAsia" w:ascii="仿宋_GB2312" w:eastAsia="仿宋_GB2312"/>
          <w:sz w:val="28"/>
          <w:szCs w:val="28"/>
        </w:rPr>
        <w:t>万元，增长</w:t>
      </w:r>
      <w:r>
        <w:rPr>
          <w:rFonts w:hint="eastAsia" w:ascii="仿宋_GB2312" w:eastAsia="仿宋_GB2312"/>
          <w:sz w:val="28"/>
          <w:szCs w:val="28"/>
          <w:lang w:val="en-US" w:eastAsia="zh-CN"/>
        </w:rPr>
        <w:t>75.9</w:t>
      </w:r>
      <w:r>
        <w:rPr>
          <w:rFonts w:hint="eastAsia" w:ascii="仿宋_GB2312" w:eastAsia="仿宋_GB2312"/>
          <w:sz w:val="28"/>
          <w:szCs w:val="28"/>
        </w:rPr>
        <w:t>%。主要原因：</w:t>
      </w:r>
      <w:r>
        <w:rPr>
          <w:rFonts w:hint="eastAsia" w:ascii="仿宋_GB2312" w:eastAsia="仿宋_GB2312"/>
          <w:sz w:val="28"/>
          <w:szCs w:val="28"/>
          <w:lang w:val="en-US" w:eastAsia="zh-CN"/>
        </w:rPr>
        <w:t>追加人大代表经费</w:t>
      </w:r>
      <w:r>
        <w:rPr>
          <w:rFonts w:hint="eastAsia" w:ascii="仿宋_GB2312" w:eastAsia="仿宋_GB2312"/>
          <w:sz w:val="28"/>
          <w:szCs w:val="28"/>
        </w:rPr>
        <w:t>。</w:t>
      </w:r>
      <w:r>
        <w:rPr>
          <w:rFonts w:hint="eastAsia" w:ascii="仿宋_GB2312" w:eastAsia="仿宋_GB2312"/>
          <w:b w:val="0"/>
          <w:kern w:val="2"/>
          <w:sz w:val="28"/>
          <w:szCs w:val="28"/>
          <w:lang w:val="en-US" w:eastAsia="zh-CN" w:bidi="ar-SA"/>
        </w:rPr>
        <w:t>“政府办公厅</w:t>
      </w:r>
      <w:r>
        <w:rPr>
          <w:rFonts w:hint="eastAsia" w:ascii="仿宋_GB2312" w:eastAsia="仿宋_GB2312"/>
          <w:b w:val="0"/>
          <w:kern w:val="2"/>
          <w:sz w:val="28"/>
          <w:szCs w:val="28"/>
          <w:highlight w:val="none"/>
          <w:lang w:val="en-US" w:eastAsia="zh-CN" w:bidi="ar-SA"/>
        </w:rPr>
        <w:t>（室）及相关机构事务”2024年度决算9456.10万元，比2024年度年初预算增加554.32万元，增长6.23%。主要原因：追加三保外其他刚性支出。“统计信息事务”2024年度决算84.67万元，比2024年度年初预算增加16.29万元，增长23.83%。主要原因：追加统计调查经费。“商贸事务”2024年度决算1287.66万元，比2024年度年初预算增加1287.66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b w:val="0"/>
          <w:kern w:val="2"/>
          <w:sz w:val="28"/>
          <w:szCs w:val="28"/>
          <w:highlight w:val="none"/>
          <w:lang w:val="en-US" w:eastAsia="zh-CN" w:bidi="ar-SA"/>
        </w:rPr>
        <w:t>。主要原因：追加临空经济区产业兑现资金。“民族事务”2024年度决算0.12万元，比2024年度年初预算增加0.12万元，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b w:val="0"/>
          <w:kern w:val="2"/>
          <w:sz w:val="28"/>
          <w:szCs w:val="28"/>
          <w:highlight w:val="none"/>
          <w:lang w:val="en-US" w:eastAsia="zh-CN" w:bidi="ar-SA"/>
        </w:rPr>
        <w:t>主要原因：民族事务救助专项资金。“ 党委办公厅（室）及相关机构事务”2024年度决算5.5万元，比2024年度年初预算增加5.5万元，增长100%，主要原因：追加党代表活动经费。“组织事务”2024年度决算2202.51万元，比2024年度年初预算减少19.32万元，下降0.87%，主要原因：社区党组织服务群众经费有所减少。“其</w:t>
      </w:r>
      <w:r>
        <w:rPr>
          <w:rFonts w:hint="eastAsia" w:ascii="仿宋_GB2312" w:eastAsia="仿宋_GB2312"/>
          <w:b w:val="0"/>
          <w:kern w:val="2"/>
          <w:sz w:val="28"/>
          <w:szCs w:val="28"/>
          <w:lang w:val="en-US" w:eastAsia="zh-CN" w:bidi="ar-SA"/>
        </w:rPr>
        <w:t>他共产党事支出务”2024年度决算84.16万元，比2024年度年初预算减少0.02万元，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0.02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b w:val="0"/>
          <w:kern w:val="2"/>
          <w:sz w:val="28"/>
          <w:szCs w:val="28"/>
          <w:lang w:val="en-US" w:eastAsia="zh-CN" w:bidi="ar-SA"/>
        </w:rPr>
        <w:t>主要原因：</w:t>
      </w:r>
      <w:r>
        <w:rPr>
          <w:rFonts w:hint="eastAsia" w:ascii="仿宋_GB2312" w:eastAsia="仿宋_GB2312"/>
          <w:b w:val="0"/>
          <w:kern w:val="2"/>
          <w:sz w:val="28"/>
          <w:szCs w:val="28"/>
          <w:highlight w:val="none"/>
          <w:lang w:val="en-US" w:eastAsia="zh-CN" w:bidi="ar-SA"/>
        </w:rPr>
        <w:t>外围防线队伍经费专项资金有所减少。 “社会工作事务</w:t>
      </w:r>
      <w:r>
        <w:rPr>
          <w:rFonts w:hint="eastAsia" w:ascii="仿宋_GB2312" w:eastAsia="仿宋_GB2312"/>
          <w:b w:val="0"/>
          <w:kern w:val="2"/>
          <w:sz w:val="28"/>
          <w:szCs w:val="28"/>
          <w:lang w:val="en-US" w:eastAsia="zh-CN" w:bidi="ar-SA"/>
        </w:rPr>
        <w:t>”2024年度决算104.82万元，比2024年度年初预算增加104.82万元，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b w:val="0"/>
          <w:kern w:val="2"/>
          <w:sz w:val="28"/>
          <w:szCs w:val="28"/>
          <w:lang w:val="en-US" w:eastAsia="zh-CN" w:bidi="ar-SA"/>
        </w:rPr>
        <w:t>主要原因：追加社区新春亮化项目</w:t>
      </w:r>
      <w:r>
        <w:rPr>
          <w:rFonts w:hint="eastAsia" w:ascii="仿宋_GB2312" w:eastAsia="仿宋_GB2312"/>
          <w:b w:val="0"/>
          <w:kern w:val="2"/>
          <w:sz w:val="28"/>
          <w:szCs w:val="28"/>
          <w:highlight w:val="none"/>
          <w:lang w:val="en-US" w:eastAsia="zh-CN" w:bidi="ar-SA"/>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公共安全</w:t>
      </w:r>
      <w:r>
        <w:rPr>
          <w:rFonts w:hint="eastAsia" w:ascii="仿宋_GB2312" w:eastAsia="仿宋_GB2312"/>
          <w:sz w:val="28"/>
          <w:szCs w:val="28"/>
        </w:rPr>
        <w:t>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left="558" w:leftChars="266" w:firstLine="0" w:firstLineChars="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司法</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增长100%</w:t>
      </w:r>
      <w:r>
        <w:rPr>
          <w:rFonts w:hint="eastAsia" w:ascii="仿宋_GB2312" w:eastAsia="仿宋_GB2312"/>
          <w:sz w:val="28"/>
          <w:szCs w:val="28"/>
        </w:rPr>
        <w:t>。主要原因：</w:t>
      </w:r>
      <w:r>
        <w:rPr>
          <w:rFonts w:hint="eastAsia" w:ascii="仿宋_GB2312" w:eastAsia="仿宋_GB2312"/>
          <w:sz w:val="28"/>
          <w:szCs w:val="28"/>
          <w:lang w:val="en-US" w:eastAsia="zh-CN"/>
        </w:rPr>
        <w:t>追加法律顾问费及律师案件代理费</w:t>
      </w:r>
      <w:r>
        <w:rPr>
          <w:rFonts w:hint="eastAsia" w:ascii="仿宋_GB2312" w:eastAsia="仿宋_GB2312"/>
          <w:sz w:val="28"/>
          <w:szCs w:val="28"/>
        </w:rPr>
        <w:t>。</w:t>
      </w:r>
    </w:p>
    <w:p>
      <w:pPr>
        <w:spacing w:line="580" w:lineRule="exact"/>
        <w:ind w:left="558" w:leftChars="266" w:firstLine="0" w:firstLineChars="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.“教育支出”(类)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228.13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164.13</w:t>
      </w:r>
      <w:r>
        <w:rPr>
          <w:rFonts w:hint="eastAsia" w:ascii="仿宋_GB2312" w:eastAsia="仿宋_GB2312"/>
          <w:sz w:val="28"/>
          <w:szCs w:val="28"/>
        </w:rPr>
        <w:t>万元，增长</w:t>
      </w:r>
      <w:r>
        <w:rPr>
          <w:rFonts w:hint="eastAsia" w:ascii="仿宋_GB2312" w:eastAsia="仿宋_GB2312"/>
          <w:sz w:val="28"/>
          <w:szCs w:val="28"/>
          <w:lang w:val="en-US" w:eastAsia="zh-CN"/>
        </w:rPr>
        <w:t>256.45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184.21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184.21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增长100%</w:t>
      </w:r>
      <w:r>
        <w:rPr>
          <w:rFonts w:hint="eastAsia" w:ascii="仿宋_GB2312" w:eastAsia="仿宋_GB2312"/>
          <w:sz w:val="28"/>
          <w:szCs w:val="28"/>
        </w:rPr>
        <w:t>。主要原因：</w:t>
      </w:r>
      <w:r>
        <w:rPr>
          <w:rFonts w:hint="eastAsia" w:ascii="仿宋_GB2312" w:eastAsia="仿宋_GB2312"/>
          <w:sz w:val="28"/>
          <w:szCs w:val="28"/>
          <w:lang w:val="en-US" w:eastAsia="zh-CN"/>
        </w:rPr>
        <w:t>追加中高考考生奖励、教育经费</w:t>
      </w:r>
      <w:r>
        <w:rPr>
          <w:rFonts w:hint="eastAsia" w:ascii="仿宋_GB2312" w:eastAsia="仿宋_GB2312"/>
          <w:sz w:val="28"/>
          <w:szCs w:val="28"/>
        </w:rPr>
        <w:t>。“</w:t>
      </w:r>
      <w:r>
        <w:rPr>
          <w:rFonts w:hint="eastAsia" w:ascii="仿宋_GB2312" w:eastAsia="仿宋_GB2312"/>
          <w:sz w:val="28"/>
          <w:szCs w:val="28"/>
          <w:lang w:val="en-US" w:eastAsia="zh-CN"/>
        </w:rPr>
        <w:t>成人教育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43.92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20.08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下降31.38%</w:t>
      </w:r>
      <w:r>
        <w:rPr>
          <w:rFonts w:hint="eastAsia" w:ascii="仿宋_GB2312" w:eastAsia="仿宋_GB2312"/>
          <w:sz w:val="28"/>
          <w:szCs w:val="28"/>
        </w:rPr>
        <w:t>。主要原因：</w:t>
      </w:r>
      <w:r>
        <w:rPr>
          <w:rFonts w:hint="eastAsia" w:ascii="仿宋_GB2312" w:eastAsia="仿宋_GB2312"/>
          <w:sz w:val="28"/>
          <w:szCs w:val="28"/>
          <w:lang w:val="en-US" w:eastAsia="zh-CN"/>
        </w:rPr>
        <w:t>成人学校的电费有所减少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“文化旅游体育与传媒支出”(类)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328.92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188.08</w:t>
      </w:r>
      <w:r>
        <w:rPr>
          <w:rFonts w:hint="eastAsia" w:ascii="仿宋_GB2312" w:eastAsia="仿宋_GB2312"/>
          <w:sz w:val="28"/>
          <w:szCs w:val="28"/>
        </w:rPr>
        <w:t>万元，增长</w:t>
      </w:r>
      <w:r>
        <w:rPr>
          <w:rFonts w:hint="eastAsia" w:ascii="仿宋_GB2312" w:eastAsia="仿宋_GB2312"/>
          <w:sz w:val="28"/>
          <w:szCs w:val="28"/>
          <w:lang w:val="en-US" w:eastAsia="zh-CN"/>
        </w:rPr>
        <w:t>133.55</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304.42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163.58</w:t>
      </w:r>
      <w:r>
        <w:rPr>
          <w:rFonts w:hint="eastAsia" w:ascii="仿宋_GB2312" w:eastAsia="仿宋_GB2312"/>
          <w:sz w:val="28"/>
          <w:szCs w:val="28"/>
        </w:rPr>
        <w:t>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116.15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增加群众文化活动支出</w:t>
      </w:r>
      <w:r>
        <w:rPr>
          <w:rFonts w:hint="eastAsia" w:ascii="仿宋_GB2312" w:eastAsia="仿宋_GB2312"/>
          <w:sz w:val="28"/>
          <w:szCs w:val="28"/>
          <w:highlight w:val="none"/>
        </w:rPr>
        <w:t>。</w:t>
      </w:r>
      <w:r>
        <w:rPr>
          <w:rFonts w:hint="eastAsia" w:ascii="仿宋_GB2312" w:eastAsia="仿宋_GB2312"/>
          <w:sz w:val="28"/>
          <w:szCs w:val="28"/>
          <w:lang w:eastAsia="zh-CN"/>
        </w:rPr>
        <w:t>“</w:t>
      </w:r>
      <w:r>
        <w:rPr>
          <w:rFonts w:hint="eastAsia" w:ascii="仿宋_GB2312" w:eastAsia="仿宋_GB2312"/>
          <w:sz w:val="28"/>
          <w:szCs w:val="28"/>
        </w:rPr>
        <w:t>其他文化旅游体育与传媒支出”202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24.5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追加基层文化建设资金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“社会保障和就业支出”(类)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2645.6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361.8</w:t>
      </w:r>
      <w:r>
        <w:rPr>
          <w:rFonts w:hint="eastAsia" w:ascii="仿宋_GB2312" w:eastAsia="仿宋_GB2312"/>
          <w:sz w:val="28"/>
          <w:szCs w:val="28"/>
        </w:rPr>
        <w:t>万元，增长</w:t>
      </w:r>
      <w:r>
        <w:rPr>
          <w:rFonts w:hint="eastAsia" w:ascii="仿宋_GB2312" w:eastAsia="仿宋_GB2312"/>
          <w:sz w:val="28"/>
          <w:szCs w:val="28"/>
          <w:lang w:val="en-US" w:eastAsia="zh-CN"/>
        </w:rPr>
        <w:t>15.84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“人力资源和社会保障管理事务”202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120.26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3.82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3.08</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劳动监察员经费有所减少</w:t>
      </w:r>
      <w:r>
        <w:rPr>
          <w:rFonts w:hint="eastAsia" w:ascii="仿宋_GB2312" w:eastAsia="仿宋_GB2312"/>
          <w:sz w:val="28"/>
          <w:szCs w:val="28"/>
          <w:highlight w:val="none"/>
        </w:rPr>
        <w:t>。“民政管理事务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997.98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119.43</w:t>
      </w:r>
      <w:r>
        <w:rPr>
          <w:rFonts w:hint="eastAsia" w:ascii="仿宋_GB2312" w:eastAsia="仿宋_GB2312"/>
          <w:sz w:val="28"/>
          <w:szCs w:val="28"/>
        </w:rPr>
        <w:t>万元，增长</w:t>
      </w:r>
      <w:r>
        <w:rPr>
          <w:rFonts w:hint="eastAsia" w:ascii="仿宋_GB2312" w:eastAsia="仿宋_GB2312"/>
          <w:sz w:val="28"/>
          <w:szCs w:val="28"/>
          <w:lang w:val="en-US" w:eastAsia="zh-CN"/>
        </w:rPr>
        <w:t>13.59</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追加社区治理等相关支出</w:t>
      </w:r>
      <w:r>
        <w:rPr>
          <w:rFonts w:hint="eastAsia" w:ascii="仿宋_GB2312" w:eastAsia="仿宋_GB2312"/>
          <w:sz w:val="28"/>
          <w:szCs w:val="28"/>
          <w:highlight w:val="none"/>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632.45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70.09</w:t>
      </w:r>
      <w:r>
        <w:rPr>
          <w:rFonts w:hint="eastAsia" w:ascii="仿宋_GB2312" w:eastAsia="仿宋_GB2312"/>
          <w:sz w:val="28"/>
          <w:szCs w:val="28"/>
        </w:rPr>
        <w:t>万元，增长</w:t>
      </w:r>
      <w:r>
        <w:rPr>
          <w:rFonts w:hint="eastAsia" w:ascii="仿宋_GB2312" w:eastAsia="仿宋_GB2312"/>
          <w:sz w:val="28"/>
          <w:szCs w:val="28"/>
          <w:lang w:val="en-US" w:eastAsia="zh-CN"/>
        </w:rPr>
        <w:t>12.46</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追加事业人员社会保障经费</w:t>
      </w:r>
      <w:r>
        <w:rPr>
          <w:rFonts w:hint="eastAsia" w:ascii="仿宋_GB2312" w:eastAsia="仿宋_GB2312"/>
          <w:sz w:val="28"/>
          <w:szCs w:val="28"/>
          <w:highlight w:val="none"/>
        </w:rPr>
        <w:t>。“就业补助”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309.31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121.20</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28.15</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公益性岗位补贴由专项资金支出，未使用年初预算</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抚恤</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47.57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47.57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追加义务兵优待专项资金和事业单位人员死亡抚恤金</w:t>
      </w:r>
      <w:r>
        <w:rPr>
          <w:rFonts w:hint="eastAsia" w:ascii="仿宋_GB2312" w:eastAsia="仿宋_GB2312"/>
          <w:sz w:val="28"/>
          <w:szCs w:val="28"/>
        </w:rPr>
        <w:t>。“退役安置”202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136.59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2.84</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2.04</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退役军人优抚对象医疗减免费用有所减少</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社会福利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216.60</w:t>
      </w:r>
      <w:r>
        <w:rPr>
          <w:rFonts w:hint="eastAsia" w:ascii="仿宋_GB2312" w:eastAsia="仿宋_GB2312"/>
          <w:sz w:val="28"/>
          <w:szCs w:val="28"/>
        </w:rPr>
        <w:t>万</w:t>
      </w:r>
      <w:r>
        <w:rPr>
          <w:rFonts w:hint="eastAsia" w:ascii="仿宋_GB2312" w:eastAsia="仿宋_GB2312"/>
          <w:sz w:val="28"/>
          <w:szCs w:val="28"/>
          <w:highlight w:val="none"/>
        </w:rPr>
        <w:t>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183.91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增长562.6</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追加敬老爱老活动慰问及庭照护床位建设补助专项资金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残疾人事业</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177.72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w:t>
      </w:r>
      <w:r>
        <w:rPr>
          <w:rFonts w:hint="eastAsia" w:ascii="仿宋_GB2312" w:eastAsia="仿宋_GB2312"/>
          <w:sz w:val="28"/>
          <w:szCs w:val="28"/>
        </w:rPr>
        <w:t>加</w:t>
      </w:r>
      <w:r>
        <w:rPr>
          <w:rFonts w:hint="eastAsia" w:ascii="仿宋_GB2312" w:eastAsia="仿宋_GB2312"/>
          <w:sz w:val="28"/>
          <w:szCs w:val="28"/>
          <w:lang w:val="en-US" w:eastAsia="zh-CN"/>
        </w:rPr>
        <w:t>76.12</w:t>
      </w:r>
      <w:r>
        <w:rPr>
          <w:rFonts w:hint="eastAsia" w:ascii="仿宋_GB2312" w:eastAsia="仿宋_GB2312"/>
          <w:sz w:val="28"/>
          <w:szCs w:val="28"/>
        </w:rPr>
        <w:t>万元，增长</w:t>
      </w:r>
      <w:r>
        <w:rPr>
          <w:rFonts w:hint="eastAsia" w:ascii="仿宋_GB2312" w:eastAsia="仿宋_GB2312"/>
          <w:sz w:val="28"/>
          <w:szCs w:val="28"/>
          <w:lang w:val="en-US" w:eastAsia="zh-CN"/>
        </w:rPr>
        <w:t>74.93</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追加职康站运行保障经费</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最低生活保障</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3.7</w:t>
      </w:r>
      <w:r>
        <w:rPr>
          <w:rFonts w:hint="eastAsia" w:ascii="仿宋_GB2312" w:eastAsia="仿宋_GB2312"/>
          <w:sz w:val="28"/>
          <w:szCs w:val="28"/>
        </w:rPr>
        <w:t>万元，</w:t>
      </w:r>
      <w:r>
        <w:rPr>
          <w:rFonts w:hint="eastAsia" w:ascii="仿宋_GB2312" w:eastAsia="仿宋_GB2312"/>
          <w:sz w:val="28"/>
          <w:szCs w:val="28"/>
          <w:lang w:val="en-US" w:eastAsia="zh-CN"/>
        </w:rPr>
        <w:t>增长100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追加城乡养老保险低保补贴</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临时救助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减少3.79</w:t>
      </w:r>
      <w:r>
        <w:rPr>
          <w:rFonts w:hint="eastAsia" w:ascii="仿宋_GB2312" w:eastAsia="仿宋_GB2312"/>
          <w:sz w:val="28"/>
          <w:szCs w:val="28"/>
        </w:rPr>
        <w:t>万元，</w:t>
      </w:r>
      <w:r>
        <w:rPr>
          <w:rFonts w:hint="eastAsia" w:ascii="仿宋_GB2312" w:eastAsia="仿宋_GB2312"/>
          <w:sz w:val="28"/>
          <w:szCs w:val="28"/>
          <w:lang w:val="en-US" w:eastAsia="zh-CN"/>
        </w:rPr>
        <w:t>下降90.15</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减少临时救助备用金支出</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财政对基本养老保险基金的补助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减少4.5</w:t>
      </w:r>
      <w:r>
        <w:rPr>
          <w:rFonts w:hint="eastAsia" w:ascii="仿宋_GB2312" w:eastAsia="仿宋_GB2312"/>
          <w:sz w:val="28"/>
          <w:szCs w:val="28"/>
        </w:rPr>
        <w:t>万元，</w:t>
      </w:r>
      <w:r>
        <w:rPr>
          <w:rFonts w:hint="eastAsia" w:ascii="仿宋_GB2312" w:eastAsia="仿宋_GB2312"/>
          <w:sz w:val="28"/>
          <w:szCs w:val="28"/>
          <w:lang w:val="en-US" w:eastAsia="zh-CN"/>
        </w:rPr>
        <w:t>下降100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调整城乡养老保险低保补贴的科目</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退役军人管理事务</w:t>
      </w:r>
      <w:r>
        <w:rPr>
          <w:rFonts w:hint="eastAsia" w:ascii="仿宋_GB2312" w:eastAsia="仿宋_GB2312"/>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1.21万</w:t>
      </w:r>
      <w:r>
        <w:rPr>
          <w:rFonts w:hint="eastAsia" w:ascii="仿宋_GB2312" w:eastAsia="仿宋_GB2312"/>
          <w:sz w:val="28"/>
          <w:szCs w:val="28"/>
        </w:rPr>
        <w:t>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追加礼贤镇烈士墓建设及迁移工作经费</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其他社会保障和就业支出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4.08</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69.51</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城镇登记失业人员自采暖补贴及两节慰问有所减少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5126.1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1108.23</w:t>
      </w:r>
      <w:r>
        <w:rPr>
          <w:rFonts w:hint="eastAsia" w:ascii="仿宋_GB2312" w:eastAsia="仿宋_GB2312"/>
          <w:sz w:val="28"/>
          <w:szCs w:val="28"/>
        </w:rPr>
        <w:t>万元，增长</w:t>
      </w:r>
      <w:r>
        <w:rPr>
          <w:rFonts w:hint="eastAsia" w:ascii="仿宋_GB2312" w:eastAsia="仿宋_GB2312"/>
          <w:sz w:val="28"/>
          <w:szCs w:val="28"/>
          <w:lang w:val="en-US" w:eastAsia="zh-CN"/>
        </w:rPr>
        <w:t>27.58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2262.56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277.38</w:t>
      </w:r>
      <w:r>
        <w:rPr>
          <w:rFonts w:hint="eastAsia" w:ascii="仿宋_GB2312" w:eastAsia="仿宋_GB2312"/>
          <w:sz w:val="28"/>
          <w:szCs w:val="28"/>
        </w:rPr>
        <w:t>万元，增长</w:t>
      </w:r>
      <w:r>
        <w:rPr>
          <w:rFonts w:hint="eastAsia" w:ascii="仿宋_GB2312" w:eastAsia="仿宋_GB2312"/>
          <w:sz w:val="28"/>
          <w:szCs w:val="28"/>
          <w:lang w:val="en-US" w:eastAsia="zh-CN"/>
        </w:rPr>
        <w:t>13.97</w:t>
      </w:r>
      <w:r>
        <w:rPr>
          <w:rFonts w:hint="eastAsia" w:ascii="仿宋_GB2312" w:eastAsia="仿宋_GB2312"/>
          <w:sz w:val="28"/>
          <w:szCs w:val="28"/>
        </w:rPr>
        <w:t>%。主要原因：</w:t>
      </w:r>
      <w:r>
        <w:rPr>
          <w:rFonts w:hint="eastAsia" w:ascii="仿宋_GB2312" w:eastAsia="仿宋_GB2312"/>
          <w:sz w:val="28"/>
          <w:szCs w:val="28"/>
          <w:lang w:val="en-US" w:eastAsia="zh-CN"/>
        </w:rPr>
        <w:t>追加卫生院东西院区消防系统升级改造项目及基层医疗卫生服务能力提升项目补助专项资金</w:t>
      </w:r>
      <w:r>
        <w:rPr>
          <w:rFonts w:hint="eastAsia" w:ascii="仿宋_GB2312" w:eastAsia="仿宋_GB2312"/>
          <w:sz w:val="28"/>
          <w:szCs w:val="28"/>
        </w:rPr>
        <w:t>。“公共卫生”202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2108.12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612.30</w:t>
      </w:r>
      <w:r>
        <w:rPr>
          <w:rFonts w:hint="eastAsia" w:ascii="仿宋_GB2312" w:eastAsia="仿宋_GB2312"/>
          <w:sz w:val="28"/>
          <w:szCs w:val="28"/>
        </w:rPr>
        <w:t>万元，增长</w:t>
      </w:r>
      <w:r>
        <w:rPr>
          <w:rFonts w:hint="eastAsia" w:ascii="仿宋_GB2312" w:eastAsia="仿宋_GB2312"/>
          <w:sz w:val="28"/>
          <w:szCs w:val="28"/>
          <w:lang w:val="en-US" w:eastAsia="zh-CN"/>
        </w:rPr>
        <w:t>40.93</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追加应急保障消杀费用及病媒防治项目费用</w:t>
      </w:r>
      <w:r>
        <w:rPr>
          <w:rFonts w:hint="eastAsia" w:ascii="仿宋_GB2312" w:eastAsia="仿宋_GB2312"/>
          <w:sz w:val="28"/>
          <w:szCs w:val="28"/>
        </w:rPr>
        <w:t>。</w:t>
      </w:r>
      <w:r>
        <w:rPr>
          <w:rFonts w:hint="eastAsia" w:ascii="仿宋_GB2312" w:eastAsia="仿宋_GB2312"/>
          <w:sz w:val="28"/>
          <w:szCs w:val="28"/>
          <w:highlight w:val="none"/>
        </w:rPr>
        <w:t>“计划生育事务”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282.38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220.06</w:t>
      </w:r>
      <w:r>
        <w:rPr>
          <w:rFonts w:hint="eastAsia" w:ascii="仿宋_GB2312" w:eastAsia="仿宋_GB2312"/>
          <w:sz w:val="28"/>
          <w:szCs w:val="28"/>
        </w:rPr>
        <w:t>万元，增长</w:t>
      </w:r>
      <w:r>
        <w:rPr>
          <w:rFonts w:hint="eastAsia" w:ascii="仿宋_GB2312" w:eastAsia="仿宋_GB2312"/>
          <w:sz w:val="28"/>
          <w:szCs w:val="28"/>
          <w:lang w:val="en-US" w:eastAsia="zh-CN"/>
        </w:rPr>
        <w:t>353.11</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追加奖特扶、大兴区独生子女伤残死亡家庭特别扶助资金及一次性经济帮助资金专项资金</w:t>
      </w:r>
      <w:r>
        <w:rPr>
          <w:rFonts w:hint="eastAsia" w:ascii="仿宋_GB2312" w:eastAsia="仿宋_GB2312"/>
          <w:sz w:val="28"/>
          <w:szCs w:val="28"/>
          <w:highlight w:val="none"/>
        </w:rPr>
        <w:t>。</w:t>
      </w:r>
      <w:r>
        <w:rPr>
          <w:rFonts w:hint="eastAsia" w:ascii="仿宋_GB2312" w:eastAsia="仿宋_GB2312"/>
          <w:sz w:val="28"/>
          <w:szCs w:val="28"/>
        </w:rPr>
        <w:t>“行政事业单位医疗”20</w:t>
      </w:r>
      <w:r>
        <w:rPr>
          <w:rFonts w:hint="eastAsia" w:ascii="仿宋_GB2312" w:eastAsia="仿宋_GB2312"/>
          <w:sz w:val="28"/>
          <w:szCs w:val="28"/>
          <w:lang w:val="en-US" w:eastAsia="zh-CN"/>
        </w:rPr>
        <w:t>24</w:t>
      </w:r>
      <w:r>
        <w:rPr>
          <w:rFonts w:hint="eastAsia" w:ascii="仿宋_GB2312" w:eastAsia="仿宋_GB2312"/>
          <w:sz w:val="28"/>
          <w:szCs w:val="28"/>
        </w:rPr>
        <w:t>年度决算</w:t>
      </w:r>
      <w:r>
        <w:rPr>
          <w:rFonts w:hint="eastAsia" w:ascii="仿宋_GB2312" w:eastAsia="仿宋_GB2312"/>
          <w:sz w:val="28"/>
          <w:szCs w:val="28"/>
          <w:lang w:val="en-US" w:eastAsia="zh-CN"/>
        </w:rPr>
        <w:t>323.63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0.01</w:t>
      </w:r>
      <w:r>
        <w:rPr>
          <w:rFonts w:hint="eastAsia" w:ascii="仿宋_GB2312" w:eastAsia="仿宋_GB2312"/>
          <w:sz w:val="28"/>
          <w:szCs w:val="28"/>
        </w:rPr>
        <w:t>万元，</w:t>
      </w:r>
      <w:r>
        <w:rPr>
          <w:rFonts w:hint="eastAsia" w:ascii="仿宋_GB2312" w:eastAsia="仿宋_GB2312"/>
          <w:sz w:val="28"/>
          <w:szCs w:val="28"/>
          <w:lang w:eastAsia="zh-CN"/>
        </w:rPr>
        <w:t>基本持平</w:t>
      </w:r>
      <w:r>
        <w:rPr>
          <w:rFonts w:hint="eastAsia" w:ascii="仿宋_GB2312" w:eastAsia="仿宋_GB2312"/>
          <w:sz w:val="28"/>
          <w:szCs w:val="28"/>
        </w:rPr>
        <w:t>。“</w:t>
      </w:r>
      <w:r>
        <w:rPr>
          <w:rFonts w:hint="eastAsia" w:ascii="仿宋_GB2312" w:eastAsia="仿宋_GB2312"/>
          <w:sz w:val="28"/>
          <w:szCs w:val="28"/>
          <w:lang w:val="en-US" w:eastAsia="zh-CN"/>
        </w:rPr>
        <w:t>优抚对象医疗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保持不变</w:t>
      </w:r>
      <w:r>
        <w:rPr>
          <w:rFonts w:hint="eastAsia" w:ascii="仿宋_GB2312" w:eastAsia="仿宋_GB2312"/>
          <w:sz w:val="28"/>
          <w:szCs w:val="28"/>
        </w:rPr>
        <w:t>。“</w:t>
      </w:r>
      <w:r>
        <w:rPr>
          <w:rFonts w:hint="eastAsia" w:ascii="仿宋_GB2312" w:eastAsia="仿宋_GB2312"/>
          <w:sz w:val="28"/>
          <w:szCs w:val="28"/>
          <w:lang w:val="en-US" w:eastAsia="zh-CN"/>
        </w:rPr>
        <w:t>中医药事务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6.19</w:t>
      </w:r>
      <w:r>
        <w:rPr>
          <w:rFonts w:hint="eastAsia" w:ascii="仿宋_GB2312" w:eastAsia="仿宋_GB2312"/>
          <w:sz w:val="28"/>
          <w:szCs w:val="28"/>
        </w:rPr>
        <w:t>万元，比20</w:t>
      </w:r>
      <w:r>
        <w:rPr>
          <w:rFonts w:hint="eastAsia" w:ascii="仿宋_GB2312" w:eastAsia="仿宋_GB2312"/>
          <w:sz w:val="28"/>
          <w:szCs w:val="28"/>
          <w:lang w:val="en-US" w:eastAsia="zh-CN"/>
        </w:rPr>
        <w:t>24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3.81</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38.14</w:t>
      </w:r>
      <w:r>
        <w:rPr>
          <w:rFonts w:hint="eastAsia" w:ascii="仿宋_GB2312" w:eastAsia="仿宋_GB2312"/>
          <w:sz w:val="28"/>
          <w:szCs w:val="28"/>
        </w:rPr>
        <w:t>%。主要原因：</w:t>
      </w:r>
      <w:r>
        <w:rPr>
          <w:rFonts w:hint="eastAsia" w:ascii="仿宋_GB2312" w:eastAsia="仿宋_GB2312"/>
          <w:sz w:val="28"/>
          <w:szCs w:val="28"/>
          <w:highlight w:val="none"/>
        </w:rPr>
        <w:t>中医药传承创新发展</w:t>
      </w:r>
      <w:r>
        <w:rPr>
          <w:rFonts w:hint="eastAsia" w:ascii="仿宋_GB2312" w:eastAsia="仿宋_GB2312"/>
          <w:sz w:val="28"/>
          <w:szCs w:val="28"/>
          <w:highlight w:val="none"/>
          <w:lang w:val="en-US" w:eastAsia="zh-CN"/>
        </w:rPr>
        <w:t>专项资金支出有所减少</w:t>
      </w:r>
      <w:r>
        <w:rPr>
          <w:rFonts w:hint="eastAsia" w:ascii="仿宋_GB2312" w:eastAsia="仿宋_GB2312"/>
          <w:sz w:val="28"/>
          <w:szCs w:val="28"/>
          <w:highlight w:val="none"/>
        </w:rPr>
        <w:t>。</w:t>
      </w:r>
      <w:r>
        <w:rPr>
          <w:rFonts w:hint="eastAsia" w:ascii="仿宋_GB2312" w:eastAsia="仿宋_GB2312"/>
          <w:sz w:val="28"/>
          <w:szCs w:val="28"/>
        </w:rPr>
        <w:t>“其他卫生健康支出”202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130.43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2.31</w:t>
      </w:r>
      <w:r>
        <w:rPr>
          <w:rFonts w:hint="eastAsia" w:ascii="仿宋_GB2312" w:eastAsia="仿宋_GB2312"/>
          <w:sz w:val="28"/>
          <w:szCs w:val="28"/>
        </w:rPr>
        <w:t>万元，增长</w:t>
      </w:r>
      <w:r>
        <w:rPr>
          <w:rFonts w:hint="eastAsia" w:ascii="仿宋_GB2312" w:eastAsia="仿宋_GB2312"/>
          <w:sz w:val="28"/>
          <w:szCs w:val="28"/>
          <w:lang w:val="en-US" w:eastAsia="zh-CN"/>
        </w:rPr>
        <w:t>1.8</w:t>
      </w:r>
      <w:r>
        <w:rPr>
          <w:rFonts w:hint="eastAsia" w:ascii="仿宋_GB2312" w:eastAsia="仿宋_GB2312"/>
          <w:sz w:val="28"/>
          <w:szCs w:val="28"/>
        </w:rPr>
        <w:t>%。主要原因：</w:t>
      </w:r>
      <w:r>
        <w:rPr>
          <w:rFonts w:hint="eastAsia" w:ascii="仿宋_GB2312" w:eastAsia="仿宋_GB2312"/>
          <w:sz w:val="28"/>
          <w:szCs w:val="28"/>
          <w:lang w:val="en-US" w:eastAsia="zh-CN"/>
        </w:rPr>
        <w:t>追加2024乡村医生岗位人员补助专项资金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“节能环保支出”(类)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671.64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113.65</w:t>
      </w:r>
      <w:r>
        <w:rPr>
          <w:rFonts w:hint="eastAsia" w:ascii="仿宋_GB2312" w:eastAsia="仿宋_GB2312"/>
          <w:sz w:val="28"/>
          <w:szCs w:val="28"/>
        </w:rPr>
        <w:t>万元，增长</w:t>
      </w:r>
      <w:r>
        <w:rPr>
          <w:rFonts w:hint="eastAsia" w:ascii="仿宋_GB2312" w:eastAsia="仿宋_GB2312"/>
          <w:sz w:val="28"/>
          <w:szCs w:val="28"/>
          <w:lang w:val="en-US" w:eastAsia="zh-CN"/>
        </w:rPr>
        <w:t>20.37</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“环境保护管理事务”202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0.66</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7.37</w:t>
      </w:r>
      <w:r>
        <w:rPr>
          <w:rFonts w:hint="eastAsia" w:ascii="仿宋_GB2312" w:eastAsia="仿宋_GB2312"/>
          <w:sz w:val="28"/>
          <w:szCs w:val="28"/>
        </w:rPr>
        <w:t>%。</w:t>
      </w:r>
      <w:r>
        <w:rPr>
          <w:rFonts w:hint="eastAsia" w:ascii="仿宋_GB2312" w:eastAsia="仿宋_GB2312"/>
          <w:sz w:val="28"/>
          <w:szCs w:val="28"/>
          <w:lang w:val="en-US" w:eastAsia="zh-CN"/>
        </w:rPr>
        <w:t>主要原因：环保监督员经费支出有所减少。</w:t>
      </w:r>
      <w:r>
        <w:rPr>
          <w:rFonts w:hint="eastAsia" w:ascii="仿宋_GB2312" w:eastAsia="仿宋_GB2312"/>
          <w:sz w:val="28"/>
          <w:szCs w:val="28"/>
        </w:rPr>
        <w:t>“污染防治”202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663.30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114.31</w:t>
      </w:r>
      <w:r>
        <w:rPr>
          <w:rFonts w:hint="eastAsia" w:ascii="仿宋_GB2312" w:eastAsia="仿宋_GB2312"/>
          <w:sz w:val="28"/>
          <w:szCs w:val="28"/>
        </w:rPr>
        <w:t>万元，增长</w:t>
      </w:r>
      <w:r>
        <w:rPr>
          <w:rFonts w:hint="eastAsia" w:ascii="仿宋_GB2312" w:eastAsia="仿宋_GB2312"/>
          <w:sz w:val="28"/>
          <w:szCs w:val="28"/>
          <w:lang w:val="en-US" w:eastAsia="zh-CN"/>
        </w:rPr>
        <w:t>20.82</w:t>
      </w:r>
      <w:r>
        <w:rPr>
          <w:rFonts w:hint="eastAsia" w:ascii="仿宋_GB2312" w:eastAsia="仿宋_GB2312"/>
          <w:sz w:val="28"/>
          <w:szCs w:val="28"/>
        </w:rPr>
        <w:t>%。主要原因：</w:t>
      </w:r>
      <w:r>
        <w:rPr>
          <w:rFonts w:hint="eastAsia" w:ascii="仿宋_GB2312" w:eastAsia="仿宋_GB2312"/>
          <w:sz w:val="28"/>
          <w:szCs w:val="28"/>
          <w:lang w:eastAsia="zh-CN"/>
        </w:rPr>
        <w:t>追加</w:t>
      </w:r>
      <w:r>
        <w:rPr>
          <w:rFonts w:hint="eastAsia" w:ascii="仿宋_GB2312" w:eastAsia="仿宋_GB2312"/>
          <w:sz w:val="28"/>
          <w:szCs w:val="28"/>
          <w:lang w:val="en-US" w:eastAsia="zh-CN"/>
        </w:rPr>
        <w:t>大兴区农村地区巩固无煤化成果电费补贴专项资金投入</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8.</w:t>
      </w:r>
      <w:r>
        <w:rPr>
          <w:rFonts w:hint="eastAsia" w:ascii="仿宋_GB2312" w:eastAsia="仿宋_GB2312"/>
          <w:sz w:val="28"/>
          <w:szCs w:val="28"/>
        </w:rPr>
        <w:t>“城乡社区支出”(类)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8004.05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eastAsia="仿宋_GB2312"/>
          <w:sz w:val="28"/>
          <w:szCs w:val="28"/>
          <w:highlight w:val="none"/>
        </w:rPr>
        <w:t>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1582.52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16.51</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“城乡社区管理事务”202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4145.77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3866.68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48.26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对城镇基础设施建设、管控等方面的投入</w:t>
      </w:r>
      <w:r>
        <w:rPr>
          <w:rFonts w:hint="eastAsia" w:ascii="仿宋_GB2312" w:eastAsia="仿宋_GB2312"/>
          <w:sz w:val="28"/>
          <w:szCs w:val="28"/>
          <w:highlight w:val="none"/>
        </w:rPr>
        <w:t>。“城乡社区规划与管理”202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439.93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249.93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131.54</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追加镇域规划编制等投入</w:t>
      </w:r>
      <w:r>
        <w:rPr>
          <w:rFonts w:hint="eastAsia" w:ascii="仿宋_GB2312" w:eastAsia="仿宋_GB2312"/>
          <w:sz w:val="28"/>
          <w:szCs w:val="28"/>
          <w:highlight w:val="none"/>
        </w:rPr>
        <w:t>。“城乡社区公共设施”202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896.43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896.43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追加乡村公路大修、路灯维护、桥梁维修等公共设施支出</w:t>
      </w:r>
      <w:r>
        <w:rPr>
          <w:rFonts w:hint="eastAsia" w:ascii="仿宋_GB2312" w:eastAsia="仿宋_GB2312"/>
          <w:sz w:val="28"/>
          <w:szCs w:val="28"/>
          <w:highlight w:val="none"/>
        </w:rPr>
        <w:t>。“城乡社区</w:t>
      </w:r>
      <w:r>
        <w:rPr>
          <w:rFonts w:hint="eastAsia" w:ascii="仿宋_GB2312" w:eastAsia="仿宋_GB2312"/>
          <w:sz w:val="28"/>
          <w:szCs w:val="28"/>
          <w:highlight w:val="none"/>
          <w:lang w:val="en-US" w:eastAsia="zh-CN"/>
        </w:rPr>
        <w:t>环境卫生</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1991.27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885.83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80.13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追加24个村环境服务项目资金、垃圾分类、公厕保洁等相关支出</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其他</w:t>
      </w:r>
      <w:r>
        <w:rPr>
          <w:rFonts w:hint="eastAsia" w:ascii="仿宋_GB2312" w:eastAsia="仿宋_GB2312"/>
          <w:sz w:val="28"/>
          <w:szCs w:val="28"/>
          <w:highlight w:val="none"/>
        </w:rPr>
        <w:t>城乡社区</w:t>
      </w:r>
      <w:r>
        <w:rPr>
          <w:rFonts w:hint="eastAsia" w:ascii="仿宋_GB2312" w:eastAsia="仿宋_GB2312"/>
          <w:sz w:val="28"/>
          <w:szCs w:val="28"/>
          <w:highlight w:val="none"/>
          <w:lang w:val="en-US" w:eastAsia="zh-CN"/>
        </w:rPr>
        <w:t>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530.65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251.97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90.41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追加疏整促专项资金、加大对城乡建设方面的投入</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“农林水支出”(类)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24393.22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435.07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1.75</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农业农村</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4229.30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916.69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17.81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菜田补贴专项资金支出有所减少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林业和草原</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15452.26</w:t>
      </w:r>
      <w:r>
        <w:rPr>
          <w:rFonts w:hint="eastAsia" w:ascii="仿宋_GB2312" w:eastAsia="仿宋_GB2312"/>
          <w:sz w:val="28"/>
          <w:szCs w:val="28"/>
          <w:highlight w:val="none"/>
        </w:rPr>
        <w:t>万元，比20</w:t>
      </w:r>
      <w:r>
        <w:rPr>
          <w:rFonts w:hint="eastAsia" w:ascii="仿宋_GB2312" w:eastAsia="仿宋_GB2312"/>
          <w:sz w:val="28"/>
          <w:szCs w:val="28"/>
          <w:highlight w:val="none"/>
          <w:lang w:val="en-US" w:eastAsia="zh-CN"/>
        </w:rPr>
        <w:t>24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336.29</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2.22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追加平原生态林养护及土地流转、重点纪念林养护补助等专项资金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水利</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855.92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358.23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71.98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追加小马坊村等6个村供水管线连接线建设项目、永兴河道（礼贤镇段）杂草治理项目、镇域河道水体重点治理项目等支出</w:t>
      </w:r>
      <w:r>
        <w:rPr>
          <w:rFonts w:hint="eastAsia" w:ascii="仿宋_GB2312" w:eastAsia="仿宋_GB2312"/>
          <w:sz w:val="28"/>
          <w:szCs w:val="28"/>
          <w:highlight w:val="none"/>
        </w:rPr>
        <w:t>。“巩固脱贫攻坚成果衔接乡村振兴”202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30</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追加2024年中央财政衔接推进乡村振兴专项补助资金</w:t>
      </w:r>
      <w:r>
        <w:rPr>
          <w:rFonts w:hint="eastAsia" w:ascii="仿宋_GB2312" w:eastAsia="仿宋_GB2312"/>
          <w:sz w:val="28"/>
          <w:szCs w:val="28"/>
          <w:highlight w:val="none"/>
        </w:rPr>
        <w:t>。“农村综合改革”202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3821.34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242.91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5.98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上解</w:t>
      </w:r>
      <w:r>
        <w:rPr>
          <w:rFonts w:hint="eastAsia" w:ascii="仿宋_GB2312" w:eastAsia="仿宋_GB2312"/>
          <w:sz w:val="28"/>
          <w:szCs w:val="28"/>
          <w:highlight w:val="none"/>
          <w:lang w:val="en-US" w:eastAsia="zh-CN"/>
        </w:rPr>
        <w:t>村级公益事业专项补助资金</w:t>
      </w:r>
      <w:r>
        <w:rPr>
          <w:rFonts w:hint="eastAsia" w:ascii="仿宋_GB2312" w:eastAsia="仿宋_GB2312"/>
          <w:sz w:val="28"/>
          <w:szCs w:val="28"/>
          <w:highlight w:val="none"/>
        </w:rPr>
        <w:t>。“普惠金融发展支出”202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保持不变</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“交通运输支出”(类)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10.54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铁路运输</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10.54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铁路护路专项资金支出有所减少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自然资源海洋气象等</w:t>
      </w:r>
      <w:r>
        <w:rPr>
          <w:rFonts w:hint="eastAsia" w:ascii="仿宋_GB2312" w:eastAsia="仿宋_GB2312"/>
          <w:sz w:val="28"/>
          <w:szCs w:val="28"/>
          <w:highlight w:val="none"/>
        </w:rPr>
        <w:t>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230.64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w:t>
      </w:r>
      <w:r>
        <w:rPr>
          <w:rFonts w:hint="eastAsia" w:ascii="仿宋_GB2312" w:eastAsia="仿宋_GB2312"/>
          <w:sz w:val="28"/>
          <w:szCs w:val="28"/>
          <w:highlight w:val="none"/>
          <w:lang w:eastAsia="zh-CN"/>
        </w:rPr>
        <w:t>算减少</w:t>
      </w:r>
      <w:r>
        <w:rPr>
          <w:rFonts w:hint="eastAsia" w:ascii="仿宋_GB2312" w:eastAsia="仿宋_GB2312"/>
          <w:sz w:val="28"/>
          <w:szCs w:val="28"/>
          <w:highlight w:val="none"/>
          <w:lang w:val="en-US" w:eastAsia="zh-CN"/>
        </w:rPr>
        <w:t>0.67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0.29</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lang w:val="en-US" w:eastAsia="zh-CN"/>
        </w:rPr>
        <w:t>自然资源事务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230.64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0.67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0.29</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宅基地、集体建设用地地籍调查和确权登记工作专项支出有所减少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848.27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847.77</w:t>
      </w:r>
      <w:r>
        <w:rPr>
          <w:rFonts w:hint="eastAsia" w:ascii="仿宋_GB2312" w:eastAsia="仿宋_GB2312"/>
          <w:sz w:val="28"/>
          <w:szCs w:val="28"/>
        </w:rPr>
        <w:t>万元，增长</w:t>
      </w:r>
      <w:r>
        <w:rPr>
          <w:rFonts w:hint="eastAsia" w:ascii="仿宋_GB2312" w:eastAsia="仿宋_GB2312"/>
          <w:sz w:val="28"/>
          <w:szCs w:val="28"/>
          <w:lang w:val="en-US" w:eastAsia="zh-CN"/>
        </w:rPr>
        <w:t>169554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lang w:eastAsia="zh-CN"/>
        </w:rPr>
        <w:t>保障性安居工程支出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保持不变</w:t>
      </w: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847.77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847.77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追加在编人员住房补贴第三批补发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“灾害防治及应急管理支出”(类)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241.36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12.71</w:t>
      </w:r>
      <w:r>
        <w:rPr>
          <w:rFonts w:hint="eastAsia" w:ascii="仿宋_GB2312" w:eastAsia="仿宋_GB2312"/>
          <w:sz w:val="28"/>
          <w:szCs w:val="28"/>
        </w:rPr>
        <w:t>万元，增长</w:t>
      </w:r>
      <w:r>
        <w:rPr>
          <w:rFonts w:hint="eastAsia" w:ascii="仿宋_GB2312" w:eastAsia="仿宋_GB2312"/>
          <w:sz w:val="28"/>
          <w:szCs w:val="28"/>
          <w:lang w:val="en-US" w:eastAsia="zh-CN"/>
        </w:rPr>
        <w:t>5.56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“应急管理事务”2202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241.36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12.71</w:t>
      </w:r>
      <w:r>
        <w:rPr>
          <w:rFonts w:hint="eastAsia" w:ascii="仿宋_GB2312" w:eastAsia="仿宋_GB2312"/>
          <w:sz w:val="28"/>
          <w:szCs w:val="28"/>
        </w:rPr>
        <w:t>万元，增长</w:t>
      </w:r>
      <w:r>
        <w:rPr>
          <w:rFonts w:hint="eastAsia" w:ascii="仿宋_GB2312" w:eastAsia="仿宋_GB2312"/>
          <w:sz w:val="28"/>
          <w:szCs w:val="28"/>
          <w:lang w:val="en-US" w:eastAsia="zh-CN"/>
        </w:rPr>
        <w:t>5.56</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安全员经费有所增加</w:t>
      </w:r>
      <w:r>
        <w:rPr>
          <w:rFonts w:hint="eastAsia" w:ascii="仿宋_GB2312" w:eastAsia="仿宋_GB2312"/>
          <w:sz w:val="28"/>
          <w:szCs w:val="28"/>
          <w:highlight w:val="none"/>
        </w:rPr>
        <w:t>。</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13109.69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13039.49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99.46</w:t>
      </w:r>
      <w:r>
        <w:rPr>
          <w:rFonts w:hint="eastAsia" w:ascii="仿宋_GB2312" w:eastAsia="仿宋_GB2312"/>
          <w:sz w:val="28"/>
          <w:szCs w:val="28"/>
        </w:rPr>
        <w:t>%；</w:t>
      </w:r>
      <w:r>
        <w:rPr>
          <w:rFonts w:hint="eastAsia" w:ascii="仿宋_GB2312" w:eastAsia="仿宋_GB2312"/>
          <w:sz w:val="28"/>
          <w:szCs w:val="28"/>
          <w:lang w:val="en-US" w:eastAsia="zh-CN"/>
        </w:rPr>
        <w:t>资源勘探工业信息等支出1.72万元，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eastAsia="仿宋_GB2312"/>
          <w:sz w:val="28"/>
          <w:szCs w:val="28"/>
          <w:lang w:val="en-US" w:eastAsia="zh-CN"/>
        </w:rPr>
        <w:t>其他支出68.48万元，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1.“城乡社区支出”（类）2024年度决算</w:t>
      </w:r>
      <w:r>
        <w:rPr>
          <w:rFonts w:hint="eastAsia" w:ascii="仿宋_GB2312" w:eastAsia="仿宋_GB2312"/>
          <w:sz w:val="28"/>
          <w:szCs w:val="28"/>
          <w:lang w:val="en-US" w:eastAsia="zh-CN"/>
        </w:rPr>
        <w:t>13039.49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7422.99</w:t>
      </w:r>
      <w:r>
        <w:rPr>
          <w:rFonts w:hint="eastAsia" w:ascii="仿宋_GB2312" w:eastAsia="仿宋_GB2312"/>
          <w:sz w:val="28"/>
          <w:szCs w:val="28"/>
        </w:rPr>
        <w:t>万元，增长</w:t>
      </w:r>
      <w:r>
        <w:rPr>
          <w:rFonts w:hint="eastAsia" w:ascii="仿宋_GB2312" w:eastAsia="仿宋_GB2312"/>
          <w:sz w:val="28"/>
          <w:szCs w:val="28"/>
          <w:lang w:val="en-US" w:eastAsia="zh-CN"/>
        </w:rPr>
        <w:t>132.16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“国有土地使用权出让收入安排的支出”202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13039.49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7422.99</w:t>
      </w:r>
      <w:r>
        <w:rPr>
          <w:rFonts w:hint="eastAsia" w:ascii="仿宋_GB2312" w:eastAsia="仿宋_GB2312"/>
          <w:sz w:val="28"/>
          <w:szCs w:val="28"/>
        </w:rPr>
        <w:t>万元，增长</w:t>
      </w:r>
      <w:r>
        <w:rPr>
          <w:rFonts w:hint="eastAsia" w:ascii="仿宋_GB2312" w:eastAsia="仿宋_GB2312"/>
          <w:sz w:val="28"/>
          <w:szCs w:val="28"/>
          <w:lang w:val="en-US" w:eastAsia="zh-CN"/>
        </w:rPr>
        <w:t>132.16</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增加孙营小学级配套设施、综合服务用房、土地整治等专项资金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 xml:space="preserve"> </w:t>
      </w:r>
      <w:r>
        <w:rPr>
          <w:rFonts w:hint="eastAsia" w:ascii="仿宋_GB2312" w:eastAsia="仿宋_GB2312"/>
          <w:sz w:val="28"/>
          <w:szCs w:val="28"/>
        </w:rPr>
        <w:t>2.“资源勘探工业信息等支出”（类）2024年度决算</w:t>
      </w:r>
      <w:r>
        <w:rPr>
          <w:rFonts w:hint="eastAsia" w:ascii="仿宋_GB2312" w:eastAsia="仿宋_GB2312"/>
          <w:sz w:val="28"/>
          <w:szCs w:val="28"/>
          <w:lang w:val="en-US" w:eastAsia="zh-CN"/>
        </w:rPr>
        <w:t>1.72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1.72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“超长期特别国债安排的支出”202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1.72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增加农机报废更新补贴专项资金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 xml:space="preserve">  </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其他支出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68.48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0.01</w:t>
      </w:r>
      <w:r>
        <w:rPr>
          <w:rFonts w:hint="eastAsia" w:ascii="仿宋_GB2312" w:eastAsia="仿宋_GB2312"/>
          <w:sz w:val="28"/>
          <w:szCs w:val="28"/>
        </w:rPr>
        <w:t>万元，</w:t>
      </w:r>
      <w:r>
        <w:rPr>
          <w:rFonts w:hint="eastAsia" w:ascii="仿宋_GB2312" w:eastAsia="仿宋_GB2312"/>
          <w:sz w:val="28"/>
          <w:szCs w:val="28"/>
          <w:lang w:eastAsia="zh-CN"/>
        </w:rPr>
        <w:t>基本持平</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“彩票公益金安排的支出”202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68.48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0.01</w:t>
      </w:r>
      <w:r>
        <w:rPr>
          <w:rFonts w:hint="eastAsia" w:ascii="仿宋_GB2312" w:eastAsia="仿宋_GB2312"/>
          <w:sz w:val="28"/>
          <w:szCs w:val="28"/>
        </w:rPr>
        <w:t>万元，</w:t>
      </w:r>
      <w:r>
        <w:rPr>
          <w:rFonts w:hint="eastAsia" w:ascii="仿宋_GB2312" w:eastAsia="仿宋_GB2312"/>
          <w:sz w:val="28"/>
          <w:szCs w:val="28"/>
          <w:lang w:eastAsia="zh-CN"/>
        </w:rPr>
        <w:t>基本持平</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ind w:firstLine="537" w:firstLineChars="192"/>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9445.84</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住房公积金</w:t>
      </w:r>
      <w:r>
        <w:rPr>
          <w:rFonts w:hint="eastAsia" w:ascii="仿宋_GB2312" w:eastAsia="仿宋_GB2312"/>
          <w:sz w:val="28"/>
          <w:szCs w:val="28"/>
          <w:lang w:eastAsia="zh-CN"/>
        </w:rPr>
        <w:t>、</w:t>
      </w:r>
      <w:r>
        <w:rPr>
          <w:rFonts w:ascii="仿宋_GB2312" w:eastAsia="仿宋_GB2312"/>
          <w:sz w:val="28"/>
          <w:szCs w:val="28"/>
        </w:rPr>
        <w:t>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办公费、印刷费、水费、电费、邮电费、取暖费、维修（护）费、工会经费、福利费、公务用车运行维护费、其他交通费、其他商品和服务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“三公”经费包括本部门所属</w:t>
      </w:r>
      <w:r>
        <w:rPr>
          <w:rFonts w:hint="eastAsia" w:ascii="仿宋_GB2312" w:eastAsia="仿宋_GB2312"/>
          <w:bCs/>
          <w:sz w:val="28"/>
          <w:szCs w:val="28"/>
          <w:lang w:val="en-US" w:eastAsia="zh-CN"/>
        </w:rPr>
        <w:t>1</w:t>
      </w:r>
      <w:r>
        <w:rPr>
          <w:rFonts w:hint="eastAsia" w:ascii="仿宋_GB2312" w:eastAsia="仿宋_GB2312"/>
          <w:sz w:val="28"/>
          <w:szCs w:val="28"/>
        </w:rPr>
        <w:t>个行政单位。2024年度“三公”经费财政拨款决算数</w:t>
      </w:r>
      <w:r>
        <w:rPr>
          <w:rFonts w:hint="eastAsia" w:ascii="仿宋_GB2312" w:eastAsia="仿宋_GB2312"/>
          <w:sz w:val="28"/>
          <w:szCs w:val="28"/>
          <w:lang w:val="en-US" w:eastAsia="zh-CN"/>
        </w:rPr>
        <w:t>8.72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34.5</w:t>
      </w:r>
      <w:r>
        <w:rPr>
          <w:rFonts w:hint="eastAsia" w:ascii="仿宋_GB2312" w:eastAsia="仿宋_GB2312"/>
          <w:sz w:val="28"/>
          <w:szCs w:val="28"/>
        </w:rPr>
        <w:t>万元减少</w:t>
      </w:r>
      <w:r>
        <w:rPr>
          <w:rFonts w:hint="eastAsia" w:ascii="仿宋_GB2312" w:eastAsia="仿宋_GB2312"/>
          <w:sz w:val="28"/>
          <w:szCs w:val="28"/>
          <w:lang w:val="en-US" w:eastAsia="zh-CN"/>
        </w:rPr>
        <w:t>25.78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，无增减变动。</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1.5</w:t>
      </w:r>
      <w:r>
        <w:rPr>
          <w:rFonts w:hint="eastAsia" w:ascii="仿宋_GB2312" w:eastAsia="仿宋_GB2312"/>
          <w:sz w:val="28"/>
          <w:szCs w:val="28"/>
        </w:rPr>
        <w:t>万元减少</w:t>
      </w:r>
      <w:r>
        <w:rPr>
          <w:rFonts w:hint="eastAsia" w:ascii="仿宋_GB2312" w:eastAsia="仿宋_GB2312"/>
          <w:sz w:val="28"/>
          <w:szCs w:val="28"/>
          <w:lang w:val="en-US" w:eastAsia="zh-CN"/>
        </w:rPr>
        <w:t>1.5</w:t>
      </w:r>
      <w:r>
        <w:rPr>
          <w:rFonts w:hint="eastAsia" w:ascii="仿宋_GB2312" w:eastAsia="仿宋_GB2312"/>
          <w:sz w:val="28"/>
          <w:szCs w:val="28"/>
        </w:rPr>
        <w:t>万元。主要原因：</w:t>
      </w:r>
      <w:r>
        <w:rPr>
          <w:rFonts w:hint="eastAsia" w:ascii="仿宋_GB2312" w:eastAsia="仿宋_GB2312"/>
          <w:sz w:val="28"/>
          <w:szCs w:val="28"/>
          <w:lang w:val="en-US" w:eastAsia="zh-CN"/>
        </w:rPr>
        <w:t>2024年无公务接待事项</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8.72</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33</w:t>
      </w:r>
      <w:r>
        <w:rPr>
          <w:rFonts w:hint="eastAsia" w:ascii="仿宋_GB2312" w:eastAsia="仿宋_GB2312"/>
          <w:sz w:val="28"/>
          <w:szCs w:val="28"/>
        </w:rPr>
        <w:t>万元减少</w:t>
      </w:r>
      <w:r>
        <w:rPr>
          <w:rFonts w:hint="eastAsia" w:ascii="仿宋_GB2312" w:eastAsia="仿宋_GB2312"/>
          <w:sz w:val="28"/>
          <w:szCs w:val="28"/>
          <w:lang w:val="en-US" w:eastAsia="zh-CN"/>
        </w:rPr>
        <w:t>24.28</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，无增减变动</w:t>
      </w:r>
      <w:r>
        <w:rPr>
          <w:rFonts w:hint="eastAsia" w:ascii="仿宋_GB2312" w:eastAsia="仿宋_GB2312"/>
          <w:sz w:val="28"/>
          <w:szCs w:val="28"/>
        </w:rPr>
        <w:t>。公务用车运行维护费2024年度决算数</w:t>
      </w:r>
      <w:r>
        <w:rPr>
          <w:rFonts w:hint="eastAsia" w:ascii="仿宋_GB2312" w:eastAsia="仿宋_GB2312"/>
          <w:sz w:val="28"/>
          <w:szCs w:val="28"/>
          <w:lang w:val="en-US" w:eastAsia="zh-CN"/>
        </w:rPr>
        <w:t>8.72</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33</w:t>
      </w:r>
      <w:r>
        <w:rPr>
          <w:rFonts w:hint="eastAsia" w:ascii="仿宋_GB2312" w:eastAsia="仿宋_GB2312"/>
          <w:sz w:val="28"/>
          <w:szCs w:val="28"/>
        </w:rPr>
        <w:t>万元减少</w:t>
      </w:r>
      <w:r>
        <w:rPr>
          <w:rFonts w:hint="eastAsia" w:ascii="仿宋_GB2312" w:eastAsia="仿宋_GB2312"/>
          <w:sz w:val="28"/>
          <w:szCs w:val="28"/>
          <w:lang w:val="en-US" w:eastAsia="zh-CN"/>
        </w:rPr>
        <w:t>24.28</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落实政府过紧日子要求，勤俭节约，严控公务车辆运行支出</w:t>
      </w:r>
      <w:r>
        <w:rPr>
          <w:rFonts w:hint="eastAsia" w:ascii="仿宋_GB2312" w:eastAsia="仿宋_GB2312"/>
          <w:sz w:val="28"/>
          <w:szCs w:val="28"/>
        </w:rPr>
        <w:t>。2024年度公务用车运行维护费中，公务用车加油</w:t>
      </w:r>
      <w:r>
        <w:rPr>
          <w:rFonts w:hint="eastAsia" w:ascii="仿宋_GB2312" w:eastAsia="仿宋_GB2312"/>
          <w:sz w:val="28"/>
          <w:szCs w:val="28"/>
          <w:lang w:val="en-US" w:eastAsia="zh-CN"/>
        </w:rPr>
        <w:t>1.5</w:t>
      </w:r>
      <w:r>
        <w:rPr>
          <w:rFonts w:hint="eastAsia" w:ascii="仿宋_GB2312" w:eastAsia="仿宋_GB2312"/>
          <w:sz w:val="28"/>
          <w:szCs w:val="28"/>
        </w:rPr>
        <w:t>万元，公务用车维修</w:t>
      </w:r>
      <w:r>
        <w:rPr>
          <w:rFonts w:hint="eastAsia" w:ascii="仿宋_GB2312" w:eastAsia="仿宋_GB2312"/>
          <w:sz w:val="28"/>
          <w:szCs w:val="28"/>
          <w:lang w:val="en-US" w:eastAsia="zh-CN"/>
        </w:rPr>
        <w:t>5.23</w:t>
      </w:r>
      <w:r>
        <w:rPr>
          <w:rFonts w:hint="eastAsia" w:ascii="仿宋_GB2312" w:eastAsia="仿宋_GB2312"/>
          <w:sz w:val="28"/>
          <w:szCs w:val="28"/>
        </w:rPr>
        <w:t>万元，公务用车保险</w:t>
      </w:r>
      <w:r>
        <w:rPr>
          <w:rFonts w:hint="eastAsia" w:ascii="仿宋_GB2312" w:eastAsia="仿宋_GB2312"/>
          <w:sz w:val="28"/>
          <w:szCs w:val="28"/>
          <w:lang w:val="en-US" w:eastAsia="zh-CN"/>
        </w:rPr>
        <w:t>1.99</w:t>
      </w:r>
      <w:r>
        <w:rPr>
          <w:rFonts w:hint="eastAsia" w:ascii="仿宋_GB2312" w:eastAsia="仿宋_GB2312"/>
          <w:sz w:val="28"/>
          <w:szCs w:val="28"/>
        </w:rPr>
        <w:t>万元。2024年度公务用车保有量</w:t>
      </w:r>
      <w:r>
        <w:rPr>
          <w:rFonts w:hint="eastAsia" w:ascii="仿宋_GB2312" w:eastAsia="仿宋_GB2312"/>
          <w:sz w:val="28"/>
          <w:szCs w:val="28"/>
          <w:lang w:val="en-US" w:eastAsia="zh-CN"/>
        </w:rPr>
        <w:t>10</w:t>
      </w:r>
      <w:r>
        <w:rPr>
          <w:rFonts w:hint="eastAsia" w:ascii="仿宋_GB2312" w:eastAsia="仿宋_GB2312"/>
          <w:sz w:val="28"/>
          <w:szCs w:val="28"/>
        </w:rPr>
        <w:t>辆，车均运行维护费</w:t>
      </w:r>
      <w:r>
        <w:rPr>
          <w:rFonts w:hint="eastAsia" w:ascii="仿宋_GB2312" w:eastAsia="仿宋_GB2312"/>
          <w:sz w:val="28"/>
          <w:szCs w:val="28"/>
          <w:lang w:val="en-US" w:eastAsia="zh-CN"/>
        </w:rPr>
        <w:t>0.87</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2024年度使用财政拨款安排的基本支出中的日常公用经费支出，合计</w:t>
      </w:r>
      <w:r>
        <w:rPr>
          <w:rFonts w:hint="eastAsia" w:ascii="仿宋_GB2312" w:eastAsia="仿宋_GB2312"/>
          <w:sz w:val="28"/>
          <w:szCs w:val="28"/>
          <w:lang w:val="en-US" w:eastAsia="zh-CN"/>
        </w:rPr>
        <w:t>454.17</w:t>
      </w:r>
      <w:r>
        <w:rPr>
          <w:rFonts w:hint="eastAsia" w:ascii="仿宋_GB2312" w:eastAsia="仿宋_GB2312"/>
          <w:sz w:val="28"/>
          <w:szCs w:val="28"/>
        </w:rPr>
        <w:t>万元，比上年增加</w:t>
      </w:r>
      <w:r>
        <w:rPr>
          <w:rFonts w:hint="eastAsia" w:ascii="仿宋_GB2312" w:eastAsia="仿宋_GB2312"/>
          <w:sz w:val="28"/>
          <w:szCs w:val="28"/>
          <w:lang w:val="en-US" w:eastAsia="zh-CN"/>
        </w:rPr>
        <w:t>36.04</w:t>
      </w:r>
      <w:r>
        <w:rPr>
          <w:rFonts w:hint="eastAsia" w:ascii="仿宋_GB2312" w:eastAsia="仿宋_GB2312"/>
          <w:sz w:val="28"/>
          <w:szCs w:val="28"/>
        </w:rPr>
        <w:t>万元，增加原因：</w:t>
      </w:r>
      <w:r>
        <w:rPr>
          <w:rFonts w:hint="eastAsia" w:ascii="仿宋_GB2312" w:eastAsia="仿宋_GB2312"/>
          <w:sz w:val="28"/>
          <w:szCs w:val="28"/>
          <w:lang w:eastAsia="zh-CN"/>
        </w:rPr>
        <w:t>一是因上年度工资总额有所增长，导致</w:t>
      </w:r>
      <w:r>
        <w:rPr>
          <w:rFonts w:hint="eastAsia" w:ascii="仿宋_GB2312" w:eastAsia="仿宋_GB2312"/>
          <w:sz w:val="28"/>
          <w:szCs w:val="28"/>
          <w:lang w:val="en-US" w:eastAsia="zh-CN"/>
        </w:rPr>
        <w:t>2024年工会经费需求增多。二是2024年调整体检费的使用科目，所以福利费较上年有所增长</w:t>
      </w:r>
      <w:r>
        <w:rPr>
          <w:rFonts w:hint="eastAsia" w:ascii="仿宋_GB2312" w:eastAsia="仿宋_GB2312"/>
          <w:sz w:val="28"/>
          <w:szCs w:val="28"/>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6148.06</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160.29</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5462.59</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525.18</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5918.97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96.27</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5537.40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90.07</w:t>
      </w:r>
      <w:r>
        <w:rPr>
          <w:rFonts w:hint="eastAsia" w:ascii="仿宋_GB2312" w:eastAsia="仿宋_GB2312"/>
          <w:sz w:val="28"/>
          <w:szCs w:val="28"/>
          <w:highlight w:val="none"/>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highlight w:val="none"/>
        </w:rPr>
      </w:pPr>
      <w:r>
        <w:rPr>
          <w:rFonts w:hint="eastAsia" w:ascii="仿宋_GB2312" w:eastAsia="仿宋_GB2312"/>
          <w:sz w:val="28"/>
          <w:szCs w:val="28"/>
        </w:rPr>
        <w:t>2024年度</w:t>
      </w:r>
      <w:r>
        <w:rPr>
          <w:rFonts w:hint="eastAsia" w:ascii="仿宋_GB2312" w:eastAsia="仿宋_GB2312"/>
          <w:sz w:val="28"/>
          <w:szCs w:val="28"/>
          <w:highlight w:val="none"/>
          <w:lang w:val="en-US" w:eastAsia="zh-CN"/>
        </w:rPr>
        <w:t>礼贤镇中心卫生院</w:t>
      </w:r>
      <w:r>
        <w:rPr>
          <w:rFonts w:hint="eastAsia" w:ascii="仿宋_GB2312" w:eastAsia="仿宋_GB2312"/>
          <w:sz w:val="28"/>
          <w:szCs w:val="28"/>
        </w:rPr>
        <w:t>新购置车辆</w:t>
      </w:r>
      <w:r>
        <w:rPr>
          <w:rFonts w:hint="eastAsia" w:ascii="仿宋_GB2312" w:eastAsia="仿宋_GB2312"/>
          <w:sz w:val="28"/>
          <w:szCs w:val="28"/>
          <w:lang w:val="en-US" w:eastAsia="zh-CN"/>
        </w:rPr>
        <w:t>1</w:t>
      </w:r>
      <w:r>
        <w:rPr>
          <w:rFonts w:hint="eastAsia" w:ascii="仿宋_GB2312" w:eastAsia="仿宋_GB2312"/>
          <w:sz w:val="28"/>
          <w:szCs w:val="28"/>
        </w:rPr>
        <w:t>台，共计</w:t>
      </w:r>
      <w:r>
        <w:rPr>
          <w:rFonts w:hint="eastAsia" w:ascii="仿宋_GB2312" w:eastAsia="仿宋_GB2312"/>
          <w:sz w:val="28"/>
          <w:szCs w:val="28"/>
          <w:lang w:val="en-US" w:eastAsia="zh-CN"/>
        </w:rPr>
        <w:t>17.99</w:t>
      </w:r>
      <w:r>
        <w:rPr>
          <w:rFonts w:hint="eastAsia" w:ascii="仿宋_GB2312" w:eastAsia="仿宋_GB2312"/>
          <w:sz w:val="28"/>
          <w:szCs w:val="28"/>
        </w:rPr>
        <w:t>万元；</w:t>
      </w:r>
      <w:r>
        <w:rPr>
          <w:rFonts w:hint="eastAsia" w:ascii="仿宋_GB2312" w:eastAsia="仿宋_GB2312"/>
          <w:sz w:val="28"/>
          <w:szCs w:val="28"/>
          <w:highlight w:val="none"/>
        </w:rPr>
        <w:t>新购置单位价值100万元以上的设备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万元。截至2024年底，本部门固定资产总额</w:t>
      </w:r>
      <w:r>
        <w:rPr>
          <w:rFonts w:hint="eastAsia" w:ascii="仿宋_GB2312" w:eastAsia="仿宋_GB2312"/>
          <w:sz w:val="28"/>
          <w:szCs w:val="28"/>
          <w:highlight w:val="none"/>
          <w:lang w:val="en-US" w:eastAsia="zh-CN"/>
        </w:rPr>
        <w:t>9813.57</w:t>
      </w:r>
      <w:r>
        <w:rPr>
          <w:rFonts w:hint="eastAsia" w:ascii="仿宋_GB2312" w:eastAsia="仿宋_GB2312"/>
          <w:sz w:val="28"/>
          <w:szCs w:val="28"/>
          <w:highlight w:val="none"/>
        </w:rPr>
        <w:t>万元，其中车辆</w:t>
      </w:r>
      <w:r>
        <w:rPr>
          <w:rFonts w:hint="eastAsia" w:ascii="仿宋_GB2312" w:eastAsia="仿宋_GB2312"/>
          <w:sz w:val="28"/>
          <w:szCs w:val="28"/>
          <w:highlight w:val="none"/>
          <w:lang w:val="en-US" w:eastAsia="zh-CN"/>
        </w:rPr>
        <w:t>118</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1728.72</w:t>
      </w:r>
      <w:r>
        <w:rPr>
          <w:rFonts w:hint="eastAsia" w:ascii="仿宋_GB2312" w:eastAsia="仿宋_GB2312"/>
          <w:sz w:val="28"/>
          <w:szCs w:val="28"/>
          <w:highlight w:val="none"/>
        </w:rPr>
        <w:t>万元；单位价值100万元以上的设备</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1305.77</w:t>
      </w:r>
      <w:r>
        <w:rPr>
          <w:rFonts w:hint="eastAsia" w:ascii="仿宋_GB2312" w:eastAsia="仿宋_GB2312"/>
          <w:sz w:val="28"/>
          <w:szCs w:val="28"/>
          <w:highlight w:val="none"/>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lang w:val="en-US" w:eastAsia="zh-CN"/>
        </w:rPr>
        <w:t>5</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本部门对202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年度部门项目支出实施了绩效评价，</w:t>
      </w:r>
      <w:r>
        <w:rPr>
          <w:rFonts w:hint="eastAsia" w:ascii="仿宋_GB2312" w:eastAsia="仿宋_GB2312"/>
          <w:sz w:val="28"/>
          <w:szCs w:val="28"/>
          <w:highlight w:val="none"/>
        </w:rPr>
        <w:t>单位自评</w:t>
      </w:r>
      <w:r>
        <w:rPr>
          <w:rFonts w:hint="eastAsia" w:ascii="仿宋_GB2312" w:eastAsia="仿宋_GB2312"/>
          <w:sz w:val="28"/>
          <w:szCs w:val="28"/>
          <w:highlight w:val="none"/>
          <w:lang w:val="en-US" w:eastAsia="zh-CN"/>
        </w:rPr>
        <w:t>584</w:t>
      </w:r>
      <w:r>
        <w:rPr>
          <w:rFonts w:ascii="仿宋_GB2312" w:eastAsia="仿宋_GB2312"/>
          <w:sz w:val="28"/>
          <w:szCs w:val="28"/>
          <w:highlight w:val="none"/>
        </w:rPr>
        <w:t>个，占部门项目总数的</w:t>
      </w:r>
      <w:r>
        <w:rPr>
          <w:rFonts w:hint="eastAsia" w:ascii="仿宋_GB2312" w:eastAsia="仿宋_GB2312"/>
          <w:sz w:val="28"/>
          <w:szCs w:val="28"/>
          <w:highlight w:val="none"/>
          <w:lang w:val="en-US" w:eastAsia="zh-CN"/>
        </w:rPr>
        <w:t>100</w:t>
      </w:r>
      <w:r>
        <w:rPr>
          <w:rFonts w:ascii="仿宋_GB2312" w:eastAsia="仿宋_GB2312"/>
          <w:sz w:val="28"/>
          <w:szCs w:val="28"/>
          <w:highlight w:val="none"/>
        </w:rPr>
        <w:t xml:space="preserve"> %，涉及金额</w:t>
      </w:r>
      <w:r>
        <w:rPr>
          <w:rFonts w:hint="eastAsia" w:ascii="仿宋_GB2312" w:eastAsia="仿宋_GB2312"/>
          <w:sz w:val="28"/>
          <w:szCs w:val="28"/>
          <w:highlight w:val="none"/>
          <w:lang w:val="en-US" w:eastAsia="zh-CN"/>
        </w:rPr>
        <w:t>60097.51</w:t>
      </w:r>
      <w:r>
        <w:rPr>
          <w:rFonts w:ascii="仿宋_GB2312" w:eastAsia="仿宋_GB2312"/>
          <w:sz w:val="28"/>
          <w:szCs w:val="28"/>
          <w:highlight w:val="none"/>
        </w:rPr>
        <w:t>万元。评价得分在90分（含90分）以上的</w:t>
      </w:r>
      <w:r>
        <w:rPr>
          <w:rFonts w:hint="eastAsia" w:ascii="仿宋_GB2312" w:eastAsia="仿宋_GB2312"/>
          <w:sz w:val="28"/>
          <w:szCs w:val="28"/>
          <w:highlight w:val="none"/>
          <w:lang w:val="en-US" w:eastAsia="zh-CN"/>
        </w:rPr>
        <w:t>580</w:t>
      </w:r>
      <w:r>
        <w:rPr>
          <w:rFonts w:ascii="仿宋_GB2312" w:eastAsia="仿宋_GB2312"/>
          <w:sz w:val="28"/>
          <w:szCs w:val="28"/>
          <w:highlight w:val="none"/>
        </w:rPr>
        <w:t>个、评价得分在80-90分（含80分）的</w:t>
      </w:r>
      <w:r>
        <w:rPr>
          <w:rFonts w:hint="eastAsia" w:ascii="仿宋_GB2312" w:eastAsia="仿宋_GB2312"/>
          <w:sz w:val="28"/>
          <w:szCs w:val="28"/>
          <w:highlight w:val="none"/>
          <w:lang w:val="en-US" w:eastAsia="zh-CN"/>
        </w:rPr>
        <w:t>4</w:t>
      </w:r>
      <w:r>
        <w:rPr>
          <w:rFonts w:ascii="仿宋_GB2312" w:eastAsia="仿宋_GB2312"/>
          <w:sz w:val="28"/>
          <w:szCs w:val="28"/>
          <w:highlight w:val="none"/>
        </w:rPr>
        <w:t>个、评价得分在60-80分（含60分）的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个、评价得分在60分以下的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w:t>
      </w:r>
    </w:p>
    <w:p>
      <w:pPr>
        <w:spacing w:line="560" w:lineRule="exact"/>
        <w:ind w:firstLine="560" w:firstLineChars="200"/>
        <w:rPr>
          <w:rFonts w:hint="eastAsia" w:ascii="仿宋_GB2312" w:eastAsia="仿宋_GB2312"/>
          <w:sz w:val="28"/>
          <w:szCs w:val="28"/>
          <w:highlight w:val="none"/>
        </w:rPr>
      </w:pPr>
      <w:r>
        <w:rPr>
          <w:rFonts w:hint="eastAsia" w:ascii="黑体" w:eastAsia="黑体"/>
          <w:sz w:val="28"/>
          <w:szCs w:val="28"/>
          <w:highlight w:val="none"/>
        </w:rPr>
        <w:t>六</w:t>
      </w:r>
      <w:r>
        <w:rPr>
          <w:rFonts w:ascii="黑体" w:eastAsia="黑体"/>
          <w:sz w:val="28"/>
          <w:szCs w:val="28"/>
          <w:highlight w:val="none"/>
        </w:rPr>
        <w:t>、</w:t>
      </w:r>
      <w:r>
        <w:rPr>
          <w:rFonts w:hint="eastAsia" w:ascii="黑体" w:eastAsia="黑体"/>
          <w:sz w:val="28"/>
          <w:szCs w:val="28"/>
          <w:highlight w:val="none"/>
        </w:rPr>
        <w:t>重点行政事业性收费情况</w:t>
      </w:r>
    </w:p>
    <w:p>
      <w:pPr>
        <w:ind w:firstLine="537" w:firstLineChars="192"/>
        <w:rPr>
          <w:rFonts w:ascii="仿宋_GB2312" w:eastAsia="仿宋_GB2312"/>
          <w:sz w:val="28"/>
          <w:szCs w:val="28"/>
        </w:rPr>
      </w:pPr>
      <w:r>
        <w:rPr>
          <w:rFonts w:hint="eastAsia" w:ascii="仿宋_GB2312" w:eastAsia="仿宋_GB2312"/>
          <w:sz w:val="28"/>
          <w:szCs w:val="28"/>
        </w:rPr>
        <w:t>2024年度本部门无行政事业性收费项目，收入</w:t>
      </w:r>
      <w:r>
        <w:rPr>
          <w:rFonts w:ascii="仿宋_GB2312" w:eastAsia="仿宋_GB2312"/>
          <w:sz w:val="28"/>
          <w:szCs w:val="28"/>
        </w:rPr>
        <w:t>0</w:t>
      </w:r>
      <w:r>
        <w:rPr>
          <w:rFonts w:hint="eastAsia" w:ascii="仿宋_GB2312" w:eastAsia="仿宋_GB2312"/>
          <w:sz w:val="28"/>
          <w:szCs w:val="28"/>
        </w:rPr>
        <w:t>元。</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3</w:t>
      </w:r>
      <w:r>
        <w:rPr>
          <w:rFonts w:hint="eastAsia" w:ascii="仿宋_GB2312" w:eastAsia="仿宋_GB2312"/>
          <w:sz w:val="28"/>
          <w:szCs w:val="28"/>
        </w:rPr>
        <w:t>项，金额</w:t>
      </w:r>
      <w:r>
        <w:rPr>
          <w:rFonts w:hint="eastAsia" w:ascii="仿宋_GB2312" w:eastAsia="仿宋_GB2312"/>
          <w:sz w:val="28"/>
          <w:szCs w:val="28"/>
          <w:lang w:val="en-US" w:eastAsia="zh-CN"/>
        </w:rPr>
        <w:t>995.89</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w:t>
      </w:r>
      <w:r>
        <w:rPr>
          <w:rFonts w:hint="eastAsia" w:ascii="仿宋_GB2312" w:eastAsia="仿宋_GB2312"/>
          <w:sz w:val="28"/>
          <w:szCs w:val="28"/>
          <w:lang w:eastAsia="zh-CN"/>
        </w:rPr>
        <w:t>如下</w:t>
      </w:r>
      <w:r>
        <w:rPr>
          <w:rFonts w:hint="eastAsia" w:ascii="仿宋_GB2312" w:eastAsia="仿宋_GB2312"/>
          <w:sz w:val="28"/>
          <w:szCs w:val="28"/>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代表工作</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反映人大代表开展各类视察等方面的支出。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其他人大事务支出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反映除上述项目以外的其他人大事务支出。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一般公共服务支出（类）政府办公厅（室）及相关机构事务（款）行政运行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一般公共服务支出（类）政府办公厅（室）及相关机构事务（款）事业运行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专项普查活动</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反映统计部门开展人口普查、经济普查、农业普查、投入产出调查等周期性普查工作的支出。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统计抽样调查</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反映统计抽样调查队开展统计调查工作的支出。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其他统计信息事务支出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反映除上述项目以外的其他统计信息事务支出。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一般公共服务支出（类）商贸事务（款）</w:t>
      </w:r>
      <w:r>
        <w:rPr>
          <w:rFonts w:hint="eastAsia" w:ascii="仿宋_GB2312" w:eastAsia="仿宋_GB2312"/>
          <w:sz w:val="28"/>
          <w:szCs w:val="28"/>
        </w:rPr>
        <w:t>招商引资</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反映用于招商引资、优化经济环境等方面的支出。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一般公共服务支出（类）民族事务（款）</w:t>
      </w:r>
      <w:r>
        <w:rPr>
          <w:rFonts w:hint="eastAsia" w:ascii="仿宋_GB2312" w:eastAsia="仿宋_GB2312"/>
          <w:sz w:val="28"/>
          <w:szCs w:val="28"/>
        </w:rPr>
        <w:t>民族工作专项</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反映用于民族事务管理方面的专项支出。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一般公共服务支出（类）组织事务（款）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一般公共服务支出（类）其他共产党事务支出（款）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教育支出（类）普通教育（款）</w:t>
      </w:r>
      <w:r>
        <w:rPr>
          <w:rFonts w:hint="eastAsia" w:ascii="仿宋_GB2312" w:eastAsia="仿宋_GB2312"/>
          <w:sz w:val="28"/>
          <w:szCs w:val="28"/>
        </w:rPr>
        <w:t>其他普通教育支出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反映除上述项目以外的其他用于普通教育方面的支出。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教育支出（类）教育费附加安排的支出（款）</w:t>
      </w:r>
      <w:r>
        <w:rPr>
          <w:rFonts w:hint="eastAsia" w:ascii="仿宋_GB2312" w:eastAsia="仿宋_GB2312"/>
          <w:sz w:val="28"/>
          <w:szCs w:val="28"/>
        </w:rPr>
        <w:t>其他教育费附加安排的支出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反映除上述项目以外的教育费附加支出。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文化旅游体育与传媒支出（类）文化和旅游（款）</w:t>
      </w:r>
      <w:r>
        <w:rPr>
          <w:rFonts w:hint="eastAsia" w:ascii="仿宋_GB2312" w:eastAsia="仿宋_GB2312"/>
          <w:sz w:val="28"/>
          <w:szCs w:val="28"/>
        </w:rPr>
        <w:t>其他文化和旅游支出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反映除上述项目以外其他用于文化和旅游方面的支出。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文化旅游体育与传媒支出（类）文物（款）</w:t>
      </w:r>
      <w:r>
        <w:rPr>
          <w:rFonts w:hint="eastAsia" w:ascii="仿宋_GB2312" w:eastAsia="仿宋_GB2312"/>
          <w:sz w:val="28"/>
          <w:szCs w:val="28"/>
        </w:rPr>
        <w:t>文物保护</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反映考古发掘及文物保护方面的支出。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文化旅游体育与传媒支出（类）其他文化旅游体育与传媒支出（款）</w:t>
      </w:r>
      <w:r>
        <w:rPr>
          <w:rFonts w:hint="eastAsia" w:ascii="仿宋_GB2312" w:eastAsia="仿宋_GB2312"/>
          <w:sz w:val="28"/>
          <w:szCs w:val="28"/>
        </w:rPr>
        <w:t>其他文化旅游体育与传媒支出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反映除上述项目以外其他用于文化旅游体育与传媒方面的支出。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社会保障和就业支出（类）人力资源和社会保障管理事务（款）</w:t>
      </w:r>
      <w:r>
        <w:rPr>
          <w:rFonts w:hint="eastAsia" w:ascii="仿宋_GB2312" w:eastAsia="仿宋_GB2312"/>
          <w:sz w:val="28"/>
          <w:szCs w:val="28"/>
        </w:rPr>
        <w:t>劳动保障监察</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反映劳动保障监察事务支出。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社会保障和就业支出（类）人力资源和社会保障管理事务（款）</w:t>
      </w:r>
      <w:r>
        <w:rPr>
          <w:rFonts w:hint="eastAsia" w:ascii="仿宋_GB2312" w:eastAsia="仿宋_GB2312"/>
          <w:sz w:val="28"/>
          <w:szCs w:val="28"/>
        </w:rPr>
        <w:t>其他人力资源和社会保障管理事务支出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w:t>
      </w:r>
      <w:r>
        <w:rPr>
          <w:rFonts w:hint="eastAsia" w:ascii="仿宋_GB2312" w:eastAsia="仿宋_GB2312"/>
          <w:sz w:val="28"/>
          <w:szCs w:val="28"/>
        </w:rPr>
        <w:t>人力资源和社会保障管理事务</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社会保障和就业支出（类）民政管理事务（款）</w:t>
      </w:r>
      <w:r>
        <w:rPr>
          <w:rFonts w:hint="eastAsia" w:ascii="仿宋_GB2312" w:eastAsia="仿宋_GB2312"/>
          <w:sz w:val="28"/>
          <w:szCs w:val="28"/>
        </w:rPr>
        <w:t>基层政权建设和社区治理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反映开展城乡社区治理、城乡社区服务（乡村便民服务）、村（居）民自治、村（居）务公开、乡镇（街道）服务能力建设等基层政权建设和社区治理工作的支出。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社会保障和就业支出（类）民政管理事务（款）</w:t>
      </w:r>
      <w:r>
        <w:rPr>
          <w:rFonts w:hint="eastAsia" w:ascii="仿宋_GB2312" w:eastAsia="仿宋_GB2312"/>
          <w:sz w:val="28"/>
          <w:szCs w:val="28"/>
        </w:rPr>
        <w:t>其他民政管理事务支出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反映除上述项目以外其他用于民政管理事务的支出。</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社会保障和就业支出（类）行政事业单位养老支出（款）事业单位离退休（项）：反映用于事业单位开支的离退休经费。</w:t>
      </w:r>
    </w:p>
    <w:p>
      <w:pPr>
        <w:ind w:firstLine="420" w:firstLineChars="150"/>
        <w:rPr>
          <w:rFonts w:hint="eastAsia" w:ascii="仿宋_GB2312" w:eastAsia="仿宋_GB2312"/>
          <w:color w:val="auto"/>
          <w:sz w:val="28"/>
          <w:szCs w:val="28"/>
          <w:highlight w:val="none"/>
        </w:rPr>
      </w:pPr>
      <w:r>
        <w:rPr>
          <w:rFonts w:hint="eastAsia" w:ascii="仿宋_GB2312" w:eastAsia="仿宋_GB2312"/>
          <w:sz w:val="28"/>
          <w:szCs w:val="28"/>
        </w:rPr>
        <w:t>社会保障和就业支出（类）行政事业单位养老支出（款）机关事业单位基本养老保险缴费支出（项）：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val="en-US" w:eastAsia="zh-CN"/>
        </w:rPr>
        <w:t>机关事业单位实施养老保险制度由单位缴纳的基本养老保险费支出</w:t>
      </w:r>
      <w:r>
        <w:rPr>
          <w:rFonts w:hint="eastAsia" w:ascii="仿宋_GB2312" w:eastAsia="仿宋_GB2312"/>
          <w:color w:val="auto"/>
          <w:sz w:val="28"/>
          <w:szCs w:val="28"/>
          <w:highlight w:val="none"/>
        </w:rPr>
        <w:t>。</w:t>
      </w:r>
    </w:p>
    <w:p>
      <w:pPr>
        <w:ind w:firstLine="420" w:firstLineChars="150"/>
        <w:rPr>
          <w:rFonts w:hint="eastAsia" w:ascii="仿宋_GB2312" w:eastAsia="仿宋_GB2312"/>
          <w:color w:val="auto"/>
          <w:sz w:val="28"/>
          <w:szCs w:val="28"/>
          <w:highlight w:val="none"/>
        </w:rPr>
      </w:pPr>
      <w:r>
        <w:rPr>
          <w:rFonts w:hint="eastAsia" w:ascii="仿宋_GB2312" w:eastAsia="仿宋_GB2312"/>
          <w:sz w:val="28"/>
          <w:szCs w:val="28"/>
          <w:highlight w:val="none"/>
          <w:lang w:val="en-US" w:eastAsia="zh-CN"/>
        </w:rPr>
        <w:t>社会保障和就业支出（类）</w:t>
      </w: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机关事业单位职业年金缴费支出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val="en-US" w:eastAsia="zh-CN"/>
        </w:rPr>
        <w:t>机关事业单位实施养老保险制度由单位实际缴纳的职业年金支出</w:t>
      </w:r>
      <w:r>
        <w:rPr>
          <w:rFonts w:hint="eastAsia" w:ascii="仿宋_GB2312" w:eastAsia="仿宋_GB2312"/>
          <w:color w:val="auto"/>
          <w:sz w:val="28"/>
          <w:szCs w:val="28"/>
          <w:highlight w:val="none"/>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w:t>
      </w:r>
      <w:r>
        <w:rPr>
          <w:rFonts w:hint="eastAsia" w:ascii="仿宋_GB2312" w:eastAsia="仿宋_GB2312"/>
          <w:sz w:val="28"/>
          <w:szCs w:val="28"/>
        </w:rPr>
        <w:t>行政事业单位养老支出</w:t>
      </w:r>
      <w:r>
        <w:rPr>
          <w:rFonts w:hint="eastAsia" w:ascii="仿宋_GB2312" w:eastAsia="仿宋_GB2312"/>
          <w:sz w:val="28"/>
          <w:szCs w:val="28"/>
          <w:lang w:val="en-US" w:eastAsia="zh-CN"/>
        </w:rPr>
        <w:t>（款）</w:t>
      </w:r>
      <w:r>
        <w:rPr>
          <w:rFonts w:hint="eastAsia" w:ascii="仿宋_GB2312" w:eastAsia="仿宋_GB2312"/>
          <w:sz w:val="28"/>
          <w:szCs w:val="28"/>
        </w:rPr>
        <w:t>其他行政事业单位养老支出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公益性岗位补贴</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反映财政对符合条件的就业困难人员在公益性岗位就业给予的补贴支出。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其他就业补助支出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反映除上述项目以外按规定确定的其他用于促进就业的补助支出。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w:t>
      </w:r>
      <w:r>
        <w:rPr>
          <w:rFonts w:hint="eastAsia" w:ascii="仿宋_GB2312" w:eastAsia="仿宋_GB2312"/>
          <w:sz w:val="28"/>
          <w:szCs w:val="28"/>
        </w:rPr>
        <w:t>死亡抚恤</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反映按规定用于烈士和牺牲、病故人员家属的一次性和定期抚恤金、丧葬补助费及烈士褒扬金。</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w:t>
      </w:r>
      <w:r>
        <w:rPr>
          <w:rFonts w:hint="eastAsia" w:ascii="仿宋_GB2312" w:eastAsia="仿宋_GB2312"/>
          <w:sz w:val="28"/>
          <w:szCs w:val="28"/>
        </w:rPr>
        <w:t>义务兵优待</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反映用于义务兵优待方面的支出。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社会保障和就业支出（类）退役安置（款）</w:t>
      </w:r>
      <w:r>
        <w:rPr>
          <w:rFonts w:hint="eastAsia" w:ascii="仿宋_GB2312" w:eastAsia="仿宋_GB2312"/>
          <w:sz w:val="28"/>
          <w:szCs w:val="28"/>
        </w:rPr>
        <w:t>其他退役安置支出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w:t>
      </w:r>
      <w:r>
        <w:rPr>
          <w:rFonts w:hint="eastAsia" w:ascii="仿宋_GB2312" w:eastAsia="仿宋_GB2312"/>
          <w:sz w:val="28"/>
          <w:szCs w:val="28"/>
          <w:highlight w:val="none"/>
          <w:lang w:val="en-US" w:eastAsia="zh-CN"/>
        </w:rPr>
        <w:t>以外</w:t>
      </w:r>
      <w:r>
        <w:rPr>
          <w:rFonts w:hint="eastAsia" w:ascii="仿宋_GB2312" w:eastAsia="仿宋_GB2312"/>
          <w:sz w:val="28"/>
          <w:szCs w:val="28"/>
          <w:lang w:val="en-US" w:eastAsia="zh-CN"/>
        </w:rPr>
        <w:t>其他用于退役安置方面的支出。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养老服务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反映财政在养老服务方面的补助支出，包括支持居家养老服务、社区养老服务和机构养老服务的支出，对养老服务机构的运营、建设补助支出等，不包括对社会福利事业单位内的补助支出。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其他社会福利支出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反映除上述项目以外其他用于社会福利方面的支出。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残疾人康复</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反映残疾人联合会用于残疾人康复方面的支出。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其他残疾人事业支出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反映除上述项目以外其他用于残疾人事业方面的支出。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社会保障和就业支出（类）财政代缴社会保险费支出（款）</w:t>
      </w:r>
      <w:r>
        <w:rPr>
          <w:rFonts w:hint="eastAsia" w:ascii="仿宋_GB2312" w:eastAsia="仿宋_GB2312"/>
          <w:sz w:val="28"/>
          <w:szCs w:val="28"/>
        </w:rPr>
        <w:t>财政代缴城乡居民基本养老保险费支出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反映财政为生活困难人员缴纳的其他社会保险费支出。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社会保障和就业支出（类）其他社会保障和就业支出（款）</w:t>
      </w:r>
      <w:r>
        <w:rPr>
          <w:rFonts w:hint="eastAsia" w:ascii="仿宋_GB2312" w:eastAsia="仿宋_GB2312"/>
          <w:sz w:val="28"/>
          <w:szCs w:val="28"/>
        </w:rPr>
        <w:t>其他社会保障和就业支出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w:t>
      </w:r>
      <w:r>
        <w:rPr>
          <w:rFonts w:hint="eastAsia" w:ascii="仿宋_GB2312" w:eastAsia="仿宋_GB2312"/>
          <w:sz w:val="28"/>
          <w:szCs w:val="28"/>
        </w:rPr>
        <w:t>社会保障和就业</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w:t>
      </w:r>
      <w:r>
        <w:rPr>
          <w:rFonts w:hint="eastAsia" w:ascii="仿宋_GB2312" w:eastAsia="仿宋_GB2312"/>
          <w:sz w:val="28"/>
          <w:szCs w:val="28"/>
        </w:rPr>
        <w:t>乡镇卫生院</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反映用于乡镇卫生院的支出。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卫生健康支出（类）基层医疗卫生机构（款）</w:t>
      </w:r>
      <w:r>
        <w:rPr>
          <w:rFonts w:hint="eastAsia" w:ascii="仿宋_GB2312" w:eastAsia="仿宋_GB2312"/>
          <w:sz w:val="28"/>
          <w:szCs w:val="28"/>
        </w:rPr>
        <w:t>其他基层医疗卫生机构支出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基层医疗卫生机构</w:t>
      </w:r>
      <w:r>
        <w:rPr>
          <w:rFonts w:hint="eastAsia" w:ascii="仿宋_GB2312" w:eastAsia="仿宋_GB2312"/>
          <w:sz w:val="28"/>
          <w:szCs w:val="28"/>
          <w:lang w:val="en-US" w:eastAsia="zh-CN"/>
        </w:rPr>
        <w:t>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基本公共卫生服务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反映基本公共卫生服务的支出。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重大公共卫生服务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反映重大疾病、重大传染病预防控制等重大公共服务项目支出。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突发公共卫生事件应急处理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反映用于突发公共卫生事件应急处置方面的支出。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其他公共卫生支出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公共卫生支出</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卫生健康支出（类）中医药（款）</w:t>
      </w:r>
      <w:r>
        <w:rPr>
          <w:rFonts w:hint="eastAsia" w:ascii="仿宋_GB2312" w:eastAsia="仿宋_GB2312"/>
          <w:sz w:val="28"/>
          <w:szCs w:val="28"/>
          <w:highlight w:val="none"/>
        </w:rPr>
        <w:t>中医（民族医）药专项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反映中医（民族医）药方面的专项的支出。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卫生健康支出（类）计划生育事务（款）</w:t>
      </w:r>
      <w:r>
        <w:rPr>
          <w:rFonts w:hint="eastAsia" w:ascii="仿宋_GB2312" w:eastAsia="仿宋_GB2312"/>
          <w:sz w:val="28"/>
          <w:szCs w:val="28"/>
        </w:rPr>
        <w:t>计划生育服务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反映计划生育服务支出。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卫生健康支出（类）计划生育事务（款）</w:t>
      </w:r>
      <w:r>
        <w:rPr>
          <w:rFonts w:hint="eastAsia" w:ascii="仿宋_GB2312" w:eastAsia="仿宋_GB2312"/>
          <w:sz w:val="28"/>
          <w:szCs w:val="28"/>
        </w:rPr>
        <w:t>其他计划生育事务支出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反映除上述项目以外的其他用于计划生育管理事务方面的支出。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w:t>
      </w:r>
      <w:r>
        <w:rPr>
          <w:rFonts w:hint="eastAsia" w:ascii="仿宋_GB2312" w:eastAsia="仿宋_GB2312"/>
          <w:sz w:val="28"/>
          <w:szCs w:val="28"/>
        </w:rPr>
        <w:t>事业单位医疗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w:t>
      </w:r>
      <w:r>
        <w:rPr>
          <w:rFonts w:hint="eastAsia" w:ascii="仿宋_GB2312" w:eastAsia="仿宋_GB2312"/>
          <w:sz w:val="28"/>
          <w:szCs w:val="28"/>
        </w:rPr>
        <w:t>公务员医疗补助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卫生健康支出（类）医疗救助（款）</w:t>
      </w:r>
      <w:r>
        <w:rPr>
          <w:rFonts w:hint="eastAsia" w:ascii="仿宋_GB2312" w:eastAsia="仿宋_GB2312"/>
          <w:sz w:val="28"/>
          <w:szCs w:val="28"/>
        </w:rPr>
        <w:t>城乡医疗救助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反映财政用于城乡困难群众医疗救助的支出。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卫生健康支出（类）优抚对象医疗（款）</w:t>
      </w:r>
      <w:r>
        <w:rPr>
          <w:rFonts w:hint="eastAsia" w:ascii="仿宋_GB2312" w:eastAsia="仿宋_GB2312"/>
          <w:sz w:val="28"/>
          <w:szCs w:val="28"/>
        </w:rPr>
        <w:t>优抚对象医疗补助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卫生健康支出（类）其他卫生健康支出（款）</w:t>
      </w:r>
      <w:r>
        <w:rPr>
          <w:rFonts w:hint="eastAsia" w:ascii="仿宋_GB2312" w:eastAsia="仿宋_GB2312"/>
          <w:sz w:val="28"/>
          <w:szCs w:val="28"/>
        </w:rPr>
        <w:t>其他卫生健康支出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卫生健康</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节能环保支出（类）污染防治（款）</w:t>
      </w:r>
      <w:r>
        <w:rPr>
          <w:rFonts w:hint="eastAsia" w:ascii="仿宋_GB2312" w:eastAsia="仿宋_GB2312"/>
          <w:sz w:val="28"/>
          <w:szCs w:val="28"/>
        </w:rPr>
        <w:t>大气</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反映政府在治理空气污染、汽车尾气、酸雨、二氧化硫、沙尘暴等方面的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城管执法</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反映城市管理综合行政执法、加强城市市容和环境卫生管理等方面的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其他城乡社区管理事务支出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城乡社区管理事务</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城乡社区支出（类）城乡社区规划与管理（款）</w:t>
      </w:r>
      <w:r>
        <w:rPr>
          <w:rFonts w:hint="eastAsia" w:ascii="仿宋_GB2312" w:eastAsia="仿宋_GB2312"/>
          <w:sz w:val="28"/>
          <w:szCs w:val="28"/>
        </w:rPr>
        <w:t>城乡社区规划与管理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反映城乡社区、防灾减灾、历史名城规划制定与管理等方面的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城乡社区支出（类）城乡社区公共设施（款）</w:t>
      </w:r>
      <w:r>
        <w:rPr>
          <w:rFonts w:hint="eastAsia" w:ascii="仿宋_GB2312" w:eastAsia="仿宋_GB2312"/>
          <w:sz w:val="28"/>
          <w:szCs w:val="28"/>
        </w:rPr>
        <w:t>其他城乡社区公共设施支出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城乡社区公共设施</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城乡社区支出（类）城乡社区环境卫生（款）</w:t>
      </w:r>
      <w:r>
        <w:rPr>
          <w:rFonts w:hint="eastAsia" w:ascii="仿宋_GB2312" w:eastAsia="仿宋_GB2312"/>
          <w:sz w:val="28"/>
          <w:szCs w:val="28"/>
        </w:rPr>
        <w:t>城乡社区环境卫生</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反映城乡社区道路清扫、垃圾清运与处理、公厕建设与维护、园林绿化等方面的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城市建设支出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农村基础设施建设支出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农业生产发展支出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反映土地出让收入用于高标准农田建设、农田水利建设、农村土地综合整治、耕地及永久基本农田保护支出、现代</w:t>
      </w:r>
      <w:r>
        <w:rPr>
          <w:rFonts w:hint="eastAsia" w:ascii="仿宋_GB2312" w:eastAsia="仿宋_GB2312"/>
          <w:sz w:val="28"/>
          <w:szCs w:val="28"/>
          <w:highlight w:val="none"/>
          <w:lang w:val="en-US" w:eastAsia="zh-CN"/>
        </w:rPr>
        <w:t>种业提升等方</w:t>
      </w:r>
      <w:r>
        <w:rPr>
          <w:rFonts w:hint="eastAsia" w:ascii="仿宋_GB2312" w:eastAsia="仿宋_GB2312"/>
          <w:sz w:val="28"/>
          <w:szCs w:val="28"/>
          <w:lang w:val="en-US" w:eastAsia="zh-CN"/>
        </w:rPr>
        <w:t>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农村社会事业支出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反映土地出让收入用于农村教育、农村文化和精神文明建设等方面的支出。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城乡社区支出（类）其他城乡社区支出（款）</w:t>
      </w:r>
      <w:r>
        <w:rPr>
          <w:rFonts w:hint="eastAsia" w:ascii="仿宋_GB2312" w:eastAsia="仿宋_GB2312"/>
          <w:sz w:val="28"/>
          <w:szCs w:val="28"/>
        </w:rPr>
        <w:t>其他城乡社区支出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反映用于耕地地力保护、适度规模经营、农机购置与应用补贴、优势特色主导产业发展、畜牧水产发展、农村一二三产业融合等方面的支出。</w:t>
      </w:r>
    </w:p>
    <w:p>
      <w:pPr>
        <w:ind w:firstLine="420" w:firstLineChars="150"/>
        <w:rPr>
          <w:rFonts w:hint="default"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其他农业农村支出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反映除上述项目以外其他用于农业农村方面的支出。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森林资源培育</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反映育苗(种)、造林、抚育、退化林修复、义务植树以及生物质能源建设等方面的支出。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林业草原防灾减灾</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反映用于病虫害等有害生物灾害、森林草原防火、野生动物疫病灾害等方面的支出。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其他林业和草原支出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反映除上述项目以外其他用于林业和草原方面的支出。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水资源节约管理与保护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反映水资源节约、监管、配置、调度、保护和基础管理工作的支出。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其他水利支出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w:t>
      </w:r>
      <w:r>
        <w:rPr>
          <w:rFonts w:hint="eastAsia" w:ascii="仿宋_GB2312" w:eastAsia="仿宋_GB2312"/>
          <w:sz w:val="28"/>
          <w:szCs w:val="28"/>
          <w:highlight w:val="none"/>
        </w:rPr>
        <w:t>水利</w:t>
      </w:r>
      <w:r>
        <w:rPr>
          <w:rFonts w:hint="eastAsia" w:ascii="仿宋_GB2312" w:eastAsia="仿宋_GB2312"/>
          <w:sz w:val="28"/>
          <w:szCs w:val="28"/>
          <w:highlight w:val="none"/>
          <w:lang w:val="en-US" w:eastAsia="zh-CN"/>
        </w:rPr>
        <w:t>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农林水支出（类）农村综合改革（款）</w:t>
      </w:r>
      <w:r>
        <w:rPr>
          <w:rFonts w:hint="eastAsia" w:ascii="仿宋_GB2312" w:eastAsia="仿宋_GB2312"/>
          <w:sz w:val="28"/>
          <w:szCs w:val="28"/>
          <w:highlight w:val="none"/>
        </w:rPr>
        <w:t>对村民委员会和村党支部的补助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交通运输支出（类）铁路运输（款）</w:t>
      </w:r>
      <w:r>
        <w:rPr>
          <w:rFonts w:hint="eastAsia" w:ascii="仿宋_GB2312" w:eastAsia="仿宋_GB2312"/>
          <w:sz w:val="28"/>
          <w:szCs w:val="28"/>
          <w:highlight w:val="none"/>
        </w:rPr>
        <w:t>铁路安全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反映涉及铁路安全方面的支出。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灾害防治及应急管理支出（类）应急管理事务（款）</w:t>
      </w:r>
      <w:r>
        <w:rPr>
          <w:rFonts w:hint="eastAsia" w:ascii="仿宋_GB2312" w:eastAsia="仿宋_GB2312"/>
          <w:sz w:val="28"/>
          <w:szCs w:val="28"/>
          <w:highlight w:val="none"/>
        </w:rPr>
        <w:t>安全监管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反映安全生产综合监督管理和工贸行业安全生产监督管理方面的支出。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其他支出（类）彩票公益金安排的支出（款）</w:t>
      </w:r>
      <w:r>
        <w:rPr>
          <w:rFonts w:hint="eastAsia" w:ascii="仿宋_GB2312" w:eastAsia="仿宋_GB2312"/>
          <w:sz w:val="28"/>
          <w:szCs w:val="28"/>
          <w:highlight w:val="none"/>
        </w:rPr>
        <w:t>用于体育事业的彩票公益金支出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反映用于体育事业的彩票公益金支出。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both"/>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ind w:firstLine="560" w:firstLineChars="200"/>
        <w:rPr>
          <w:rFonts w:hint="eastAsia" w:ascii="黑体" w:eastAsia="黑体"/>
          <w:sz w:val="28"/>
          <w:szCs w:val="28"/>
          <w:highlight w:val="none"/>
        </w:rPr>
      </w:pPr>
      <w:r>
        <w:rPr>
          <w:rFonts w:hint="eastAsia" w:ascii="黑体" w:eastAsia="黑体"/>
          <w:sz w:val="28"/>
          <w:szCs w:val="28"/>
          <w:highlight w:val="none"/>
        </w:rPr>
        <w:t>一</w:t>
      </w:r>
      <w:r>
        <w:rPr>
          <w:rFonts w:ascii="黑体" w:eastAsia="黑体"/>
          <w:sz w:val="28"/>
          <w:szCs w:val="28"/>
          <w:highlight w:val="none"/>
        </w:rPr>
        <w:t>、</w:t>
      </w:r>
      <w:r>
        <w:rPr>
          <w:rFonts w:hint="eastAsia" w:ascii="黑体" w:eastAsia="黑体"/>
          <w:sz w:val="28"/>
          <w:szCs w:val="28"/>
          <w:highlight w:val="none"/>
        </w:rPr>
        <w:t>部门整体绩效评价报告</w:t>
      </w:r>
    </w:p>
    <w:p>
      <w:pPr>
        <w:ind w:firstLine="560" w:firstLineChars="200"/>
        <w:rPr>
          <w:rFonts w:hint="eastAsia" w:ascii="黑体" w:eastAsia="黑体"/>
          <w:sz w:val="28"/>
          <w:szCs w:val="28"/>
          <w:highlight w:val="none"/>
        </w:rPr>
      </w:pPr>
      <w:r>
        <w:rPr>
          <w:rFonts w:hint="eastAsia" w:ascii="黑体" w:eastAsia="黑体"/>
          <w:sz w:val="28"/>
          <w:szCs w:val="28"/>
          <w:highlight w:val="none"/>
        </w:rPr>
        <w:t>二</w:t>
      </w:r>
      <w:r>
        <w:rPr>
          <w:rFonts w:ascii="黑体" w:eastAsia="黑体"/>
          <w:sz w:val="28"/>
          <w:szCs w:val="28"/>
          <w:highlight w:val="none"/>
        </w:rPr>
        <w:t>、</w:t>
      </w:r>
      <w:r>
        <w:rPr>
          <w:rFonts w:hint="eastAsia" w:ascii="黑体" w:eastAsia="黑体"/>
          <w:sz w:val="28"/>
          <w:szCs w:val="28"/>
          <w:highlight w:val="none"/>
        </w:rPr>
        <w:t>项目支出部门绩效评价报告</w:t>
      </w:r>
    </w:p>
    <w:p>
      <w:pPr>
        <w:ind w:firstLine="560" w:firstLineChars="200"/>
        <w:rPr>
          <w:rFonts w:hint="eastAsia" w:ascii="黑体" w:eastAsia="黑体"/>
          <w:sz w:val="28"/>
          <w:szCs w:val="28"/>
          <w:highlight w:val="none"/>
        </w:rPr>
      </w:pPr>
      <w:r>
        <w:rPr>
          <w:rFonts w:hint="eastAsia" w:ascii="黑体" w:eastAsia="黑体"/>
          <w:sz w:val="28"/>
          <w:szCs w:val="28"/>
          <w:highlight w:val="none"/>
        </w:rPr>
        <w:t>三</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p>
    <w:p>
      <w:pPr>
        <w:tabs>
          <w:tab w:val="center" w:pos="6979"/>
        </w:tabs>
        <w:spacing w:before="156" w:beforeLines="50" w:after="156" w:afterLines="50"/>
        <w:ind w:firstLine="720" w:firstLineChars="200"/>
        <w:jc w:val="left"/>
        <w:rPr>
          <w:rFonts w:hint="eastAsia" w:ascii="仿宋_GB2312" w:eastAsia="仿宋_GB2312"/>
          <w:sz w:val="28"/>
          <w:szCs w:val="28"/>
          <w:highlight w:val="none"/>
        </w:rPr>
      </w:pPr>
      <w:r>
        <w:rPr>
          <w:rFonts w:hint="eastAsia" w:ascii="仿宋_GB2312" w:hAnsi="宋体" w:eastAsia="仿宋_GB2312" w:cs="宋体"/>
          <w:bCs/>
          <w:spacing w:val="40"/>
          <w:kern w:val="0"/>
          <w:sz w:val="28"/>
          <w:szCs w:val="28"/>
          <w:lang w:val="en-US" w:eastAsia="zh-CN"/>
        </w:rPr>
        <w:t>自评</w:t>
      </w:r>
      <w:r>
        <w:rPr>
          <w:rFonts w:hint="eastAsia" w:ascii="仿宋_GB2312" w:hAnsi="宋体" w:eastAsia="仿宋_GB2312" w:cs="宋体"/>
          <w:bCs/>
          <w:spacing w:val="40"/>
          <w:kern w:val="0"/>
          <w:sz w:val="28"/>
          <w:szCs w:val="28"/>
        </w:rPr>
        <w:t>表详见附件</w:t>
      </w:r>
      <w:r>
        <w:rPr>
          <w:rFonts w:hint="eastAsia" w:ascii="仿宋_GB2312" w:hAnsi="宋体" w:eastAsia="仿宋_GB2312" w:cs="宋体"/>
          <w:bCs/>
          <w:spacing w:val="40"/>
          <w:kern w:val="0"/>
          <w:sz w:val="28"/>
          <w:szCs w:val="28"/>
          <w:lang w:eastAsia="zh-CN"/>
        </w:rPr>
        <w:t>（</w:t>
      </w:r>
      <w:r>
        <w:rPr>
          <w:rFonts w:hint="eastAsia" w:ascii="仿宋_GB2312" w:hAnsi="宋体" w:eastAsia="仿宋_GB2312" w:cs="宋体"/>
          <w:bCs/>
          <w:spacing w:val="40"/>
          <w:kern w:val="0"/>
          <w:sz w:val="28"/>
          <w:szCs w:val="28"/>
          <w:lang w:val="en-US" w:eastAsia="zh-CN"/>
        </w:rPr>
        <w:t>评价项目共584个，其中有涉密项目3个不予公开，实际公开581个</w:t>
      </w:r>
      <w:r>
        <w:rPr>
          <w:rFonts w:hint="eastAsia" w:ascii="仿宋_GB2312" w:hAnsi="宋体" w:eastAsia="仿宋_GB2312" w:cs="宋体"/>
          <w:bCs/>
          <w:spacing w:val="40"/>
          <w:kern w:val="0"/>
          <w:sz w:val="28"/>
          <w:szCs w:val="28"/>
          <w:lang w:eastAsia="zh-CN"/>
        </w:rPr>
        <w:t>）</w:t>
      </w:r>
      <w:r>
        <w:rPr>
          <w:rFonts w:hint="eastAsia" w:ascii="仿宋_GB2312" w:hAnsi="宋体" w:eastAsia="仿宋_GB2312" w:cs="宋体"/>
          <w:bCs/>
          <w:spacing w:val="40"/>
          <w:kern w:val="0"/>
          <w:sz w:val="28"/>
          <w:szCs w:val="28"/>
        </w:rPr>
        <w:t>。</w:t>
      </w: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560" w:lineRule="exact"/>
        <w:jc w:val="left"/>
        <w:rPr>
          <w:rFonts w:hint="eastAsia" w:ascii="方正黑体_GBK" w:hAnsi="方正黑体_GBK" w:eastAsia="方正黑体_GBK" w:cs="方正黑体_GBK"/>
          <w:sz w:val="32"/>
          <w:szCs w:val="32"/>
          <w:highlight w:val="none"/>
        </w:rPr>
      </w:pPr>
    </w:p>
    <w:p>
      <w:pPr>
        <w:spacing w:line="560" w:lineRule="exact"/>
        <w:jc w:val="left"/>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附件</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（一）机构设置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礼贤镇人民政府内设7个科室（党群工作办公室（挂人大办公室牌子）、平安建设办公室（挂人民武装部、司法所牌子）、城乡建设办公室、经济发展办公室（挂统计所牌子）、农业农村办公室、综合保障办公室、民生保障和社区建设办公室）以及1个执法队（北京市大兴区礼贤镇综合行政执法队），所属5个事业单位（北京市大兴区礼贤镇市民活动中心（加挂北京市大兴区礼贤镇党群服务中心牌子）、北京市大兴区礼贤镇市民诉求处置中心（加挂北京市大兴区礼贤镇综治中心牌子）、北京市大兴区礼贤镇便民服务中心（加挂北京市大兴区礼贤镇退役军人服务站牌子）、北京市大兴区礼贤镇城镇建设服务中心、北京市大兴区礼贤镇产业发展服务中心），下划事业单位1家，为北京市大兴区礼贤镇中心卫生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职责工作任务情况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1.贯彻执行法律、法规、规章和市、区政府的决定、命令,执行本级人民代表大会的决议,发布决定和命令。</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2.执行本行政区域内的经济和社会发展计划、预算,管理本行政区域内的经济、教育、科学、文化、卫生、体育事业和财政、民政、司法行政、计划生育等行政工作。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3.保护社会主义的全民所有的财产和劳动群众集体所有的财产,保护公民私人所有的合法财产,维护社会秩序,保障公民的人身权利、民主权利和其他权利。</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4.保护各种经济组织的合法权益。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5.保障少数民族的权利和尊重少数民族的风俗习惯。</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6.保障宪法和法律赋予妇女的男女平等、同工同酬和婚姻自由等各项权利。</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7.承办区政府交办的其他事项。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根据礼贤镇2024年政府工作报告、重点工作任务、中长期规划以及相关业务科室工作任务要求、资金管理办法等为基础，按照预算绩效管理要求合理设定整体绩效目标。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2024年度部门整体绩效目标与我部门职能、各内设机构及业务科室职责任务相匹配，绩效目标、指标设置合理。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宋体" w:eastAsia="仿宋_GB2312" w:cs="宋体"/>
          <w:color w:val="000000"/>
          <w:kern w:val="0"/>
          <w:sz w:val="32"/>
          <w:szCs w:val="32"/>
          <w:highlight w:val="none"/>
        </w:rPr>
      </w:pPr>
      <w:r>
        <w:rPr>
          <w:rFonts w:hint="eastAsia" w:ascii="仿宋_GB2312" w:hAnsi="仿宋_GB2312" w:eastAsia="仿宋_GB2312" w:cs="仿宋_GB2312"/>
          <w:color w:val="000000"/>
          <w:kern w:val="0"/>
          <w:sz w:val="28"/>
          <w:szCs w:val="28"/>
          <w:highlight w:val="none"/>
        </w:rPr>
        <w:t>2024年全年预算数82141.07万元，其中，基本支出预算数22043.56万元，项目支出预算数60097.51万元，其他支出预算数0万元。资金总体支出80437.3万元，其中，基本支出20339.79万元，项目支出60097.51万元，其他支出0万元。预算执行率为98%。</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 （一）强协同、增动能，保障临空有力有效。</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保障保障临空区建设方面：一是完成小马坊等7个村468座坟墓迁移，确保滞洪工程（二期）、会展一期项目顺利实施；二是完成城际铁路联络线外部环境整治；完成二期安置房C组团、兴礼街、综保区0107-038、052组团、弘礼街、知礼街及综保区空侧联络道等6个项目征地手续办理。三是与临空区管委会、机场办加强协同，对临空区、机场红线内企业进行联合安全检查14次，发现并整改隐患173处。</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（二）抓项目、促改革，经济实力不断增强。</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在财政组收发面：规上工业产值完成4.1亿元，税收完成3.96亿元，财政收入完成1.2亿元，已连续两年突破1亿元大关。</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在积极开展招商引资，提升企业服务效能案方面：完成新注册企业414家，超额完成招商引资绩效考核全年任务指标；走访企业142家次，解决问题诉求122件，办结率及满意率100%；兑现产业政策支持资金1226余万元。</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提产量、创品牌方面：粮食播种面积15793.4亩，产量10378.5吨，完成播种任务的100.5%；油料播种面积4194.2亩，产量956.1吨，完成播种任务的104.8%；蔬菜种植面积13068.9亩，产量43096.6吨，完成产量任务的107%；建成高标准农田3975亩，成功申报2家“北京优农”品牌；流转土地3.2万亩，引进种植大户32家。</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全力推进“百千工程”创建方面：依托“百千工程”项目建设8大工坊，全力打造“工坊+原麦艺术馆+林下中草药基地”沉浸式体验场景，着力发展传统手工技艺、非遗展示展演，传统药膳美食三大特色产业，营业收入约200万元，为村集体增收近120余万元，提供就业60余人。成立舒勇人工智能创作研究工作室，挂牌舒勇乡村实践艺术创作基地，助推“百千工程”建设。</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积极开展拆违腾退方面：拆除违法建设13.23万平方米，腾退土地12.27万平米；稳步推进耕地“非农化”“非粮化”，整改完成5709亩；大力推进乱占耕地建房专项整治，完成整治住宅类图斑20宗，非住宅类图斑63宗；扎实推进农村房地一体宅基地使用权确权登记，已完成房地测绘5170宗，权属调查5113宗，权源收集4415宗，本宗、邻宗签字完成2526宗；大力开展自建房安全整治，排查并整治1029宗隐患房屋。</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（三）优供给、补短板，民生福祉持续增进。</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在扎实推动重点群体就业方面：开展招聘会13场次，城乡劳动力就业1309人，就业困难人员就业900人，大学生就业246人，受理劳动争议调解案件21件，涉及争议金额125余万元。</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在提升医疗水平方面：家医“全-专”团队下乡服务1100人次，家庭医生签约人数18286人，产妇系统管理率99.73%，早建册率93.28%，产后访视率100%，完成老年人体检5600次，托位数增加40个。</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积极开展社会救助方面：发放社会救助金1931人次、309余万元；发放重度残疾人生活和护理补贴18189人次、778万元；发放重度失能护理补贴17622人次、957万余元；发放高龄老年人津贴13075人次、202余万元；探访困境儿童312人次，发放生活保障费42余万元。</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提高基层文化建设方面：结合七大传统节日，开展活动920余场，惠及群众2.7万余人次；举办第二届礼贤新春文化季、第三届艾草文化季等品牌活动，推动文旅深度融合；打造“礼贤全民运动季”品牌，开展体育赛事8场；增加健身设施供给，为38个村、小区地块申请健身器材40套。</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在完善村庄基础设施方面：完成西白疃村基础设施及环境改造，完成8.61公里乡村公路大修，在南中轴路段、青礼路段安装116盏照明路灯，实现西郏河、董各庄和东安村3个村按户水费收缴。</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（四）抓重点、治污染，生态底色愈加靓丽。</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在持续巩固创城创卫成果方面：开展专项整治行动70余次，参与人数9000余人次，整改各类问题6800余个，清理各类垃圾1100余吨；深入开展人居环境“五边”治理，发现并整改问题2945处。</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深入推进“一微克”行动方面：PM2.5年累计浓度34微克/立方米，年累计区考核排名第2位；TSP年累计浓度85微克/立方米，年累计区考核排名第6位；降尘总量5.04吨/平方公里·月，道路积尘负荷均值0.32g/㎡，排名均位于全区前列.</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持续开展垃圾分类方面：举办主题活动48场，开展入户宣传52轮，开展知识讲座241场，参与群众11600余人次；推进西白疃村等8个村户桶撤除工作；清运其他垃圾6962吨，清运居民厨余垃圾1647.32吨，可回收物垃圾3037吨，有害垃圾0.0419吨。</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坚持河长、林长、田长“三长联动、一巡三查”方面：镇村河长巡河1586次，3203公里，发现整改问题160余处，清理河道垃圾及漂浮物680吨；镇村林长巡林1670次，累计4.8万亩，发现整改问题45处，清理可燃物等杂草垃圾900余车；常态化开展农田巡查，积极整治撂荒地，无害化处理农田尾菜1.5万余吨。</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（五）防风险、强治理，社会大局和谐稳定。</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在重大活动安保维稳工作方面：动员巡查力量2210人次，发现并妥善处置各类隐患和风险点604处，圆满完成全国两会、党的二十届三中全会、新中国成立75周年庆祝活动、中非合作论坛、北京服贸会等服务保障。</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安全生产和火灾隐患大排查大整治方面：全年召开3次安全生产和治本攻坚调度会，督促400余家企业开展企安安法人培训学习及企业负责人带队检查全覆盖；持续开展经营性自建房自查与检查，疏散通道建设达标率、隐患整改率、检查率均达到100%。</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在扎实推进接诉即办方面：全年承办12345市民服务热线诉求6524件，直派平均成绩98.35分，综合平均成绩97.02分。</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在持续推进信访工作方面：接待各类来访、咨询170件，347批次，540人次，登录信访系统信访件80件，158件次，210人次，实现及时受理率和按期办结率双100%。</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加强食品安全检查方面：开展专项整治200余次，抽检单位70户，抽检食品样品350件，抽检合格率99.1％。围绕街面秩序、大气污染防治等领域，行政处罚1471起，罚款220余万元。重拳打击各类违法犯罪行为，全年共打击违法犯罪230人，挽回损失42万元。</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（六）优作风、提效能，政府治理高能高效。</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在加强思想领域建设方面：坚决贯彻落实区委区政府决策部署，抓实抓细区委巡察反馈问题整改，以实际行动忠诚拥护“两个确立”，坚决做到“两个维护”。</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在管党治党方面：扎实开展党纪学习教育活动，狠抓重点领域审计问题整改，严格执行中央八项规定精神及其实施细则。</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在推进法治政府建设方面：开展会前学法5次、依法行政专题讲座2次，办理行政复议诉讼案件74件，组织领导干部应知应会法律法规学习，承办人大代表建议13件，健全政府议事规则、内控手册、基层减负实务手册等制度流程，深入推进“互联网+政务服务”。</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（一）财务管理</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1.财务管理制度健全性</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2024年全面更新财务制度，健全预算资金管理办法、资产管理办法、财务管理制度、会计核算制度等各项制度。</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资金使用合规性和安全性</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部门（单位）使用预算资金符合相关的预算财务管理制度的规定，符合相关规定的开支范围，符合政府采购的程序和流程，以及符合专项资金管理办法的规定；资金的拨付有完整的审批程序和手续；项目的重大开支按照审计工作流程进行审计；资金的拨付符合部门预算批复的用途；不存在截留、挤占、挪用情况；涉及公务卡结算业务符合相关制度。</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通过部门绩效自评，反应的基础数据信息和会计信息资料完全真实、完整、准确。</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资产管理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通过对部门（单位）的资产是否保持安全完整，资产配置是否合理，资产使用和资产处理是否规范，是否能反映和考核部门（单位）资产管理的整体水平等方面进行自评。</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我部门不存在对外投资行为；2024年由后勤部门牵头组织业务科室开展资产盘点工作；在资产配置是否超标准的问题上由业务科室、采购科室联合审核，严格把握资产相应的采购标准；对于资产的使用没有资产出借行为；对于资产的处置方面不存在违规行为。</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绩效管理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首先我部门（单位）能及时对绩效信息进行汇总分析整理；并对绩效目标偏离情况及时进行矫正。2024年我镇持续深化绩效管理工作，提高预算绩效管理水平。一是按照区财政开展事前绩效评估工作要求，我镇选择2025年新增预算项目：村庄公园补植补种环境美化项目，作为首个事前绩效评估项目。通过组织专家交流预备会，重新审视项目设计、项目成本、项目质量等方面存在的问题，以确保项目实施能够实现预期目标。二是为了加强绩效管理，规范财政资金分配，提高财政资金使用效益，我镇每年报送疏整促项目开展绩效评价工作，由专家从项目决策、项目过程、项目产出、项目效益四个大方面对项目进行全方面的评审，指出项目在设置、资金安排上的不足之处，给出相关指导意见并形成报告。此项工作对我镇项目立项依据充分性、预算编制科学性、管理机制完善性、绩效目标规范性等方面具有指导性意义。三是每年年初对上年度预算项目开展绩效自评工作，并对执行较差的项目分析原因，从而进一步加强对项目的绩效管理。四是及时开展100万元以上及中央直达资金项目绩效监控工作，分析执行偏差原因并撰写监控报告；同时与科室沟通及时调整预算，提高预算执行的准确性。</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部门预决算差异率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2024年部门预决算差异率5%，对比2023年部门预决算差异率7%呈下降趋势，预算准确性较上年有所提高。</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（一）评价得分情况</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通过对部门进行整体自评，2024年部门绩效评价得分99,6分。其中，预算执行情况得分19.6分，整体绩效目标实现情况60分，预算管理情况得分20分。评分情况详见下表：</w:t>
      </w:r>
    </w:p>
    <w:tbl>
      <w:tblPr>
        <w:tblStyle w:val="12"/>
        <w:tblW w:w="8791"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0"/>
        <w:gridCol w:w="229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评价指标</w:t>
            </w:r>
          </w:p>
        </w:tc>
        <w:tc>
          <w:tcPr>
            <w:tcW w:w="229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分值</w:t>
            </w:r>
          </w:p>
        </w:tc>
        <w:tc>
          <w:tcPr>
            <w:tcW w:w="2841"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当年预算执行情况</w:t>
            </w:r>
          </w:p>
        </w:tc>
        <w:tc>
          <w:tcPr>
            <w:tcW w:w="229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w:t>
            </w:r>
          </w:p>
        </w:tc>
        <w:tc>
          <w:tcPr>
            <w:tcW w:w="2841"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整体绩效目标实现情况</w:t>
            </w:r>
          </w:p>
        </w:tc>
        <w:tc>
          <w:tcPr>
            <w:tcW w:w="229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60</w:t>
            </w:r>
          </w:p>
        </w:tc>
        <w:tc>
          <w:tcPr>
            <w:tcW w:w="2841"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预算管理情况</w:t>
            </w:r>
          </w:p>
        </w:tc>
        <w:tc>
          <w:tcPr>
            <w:tcW w:w="2290"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w:t>
            </w:r>
          </w:p>
        </w:tc>
        <w:tc>
          <w:tcPr>
            <w:tcW w:w="2841" w:type="dxa"/>
          </w:tcPr>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w:t>
            </w:r>
          </w:p>
        </w:tc>
      </w:tr>
    </w:tbl>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在预算执行方面，支出进度上存在偏差，一是预算编制与执行存在不匹配现象，预算编制精细化程度不够；二是项目实施进度影响财政支出进度，部分项目流程多，各个环节时间较长，有的环节有时间限制，导致整个项目办理手续时间较长，最终导致项目执行进度直接影响到财政支出进度。</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措施建议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针对支出方面，一是依据实际需要和发展情况编制预算，加强科学性和合理性，确保财政支出预算的精细化。二是加强预算执行监管力度，加强对各业务科室预算执行过程动态监督，大力推进项目进度和支出进度，促进预算的有效执行和支出的及时实现，从而促进预算执行率的提升。</w:t>
      </w:r>
    </w:p>
    <w:p>
      <w:pPr>
        <w:spacing w:line="480" w:lineRule="exact"/>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rPr>
          <w:rFonts w:hint="eastAsia" w:ascii="仿宋_GB2312" w:hAnsi="宋体" w:eastAsia="仿宋_GB2312" w:cs="宋体"/>
          <w:color w:val="000000"/>
          <w:kern w:val="0"/>
          <w:sz w:val="32"/>
          <w:szCs w:val="32"/>
          <w:highlight w:val="none"/>
        </w:rPr>
      </w:pPr>
    </w:p>
    <w:tbl>
      <w:tblPr>
        <w:tblStyle w:val="11"/>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1"/>
        <w:gridCol w:w="1095"/>
        <w:gridCol w:w="975"/>
        <w:gridCol w:w="1995"/>
        <w:gridCol w:w="3030"/>
        <w:gridCol w:w="1500"/>
        <w:gridCol w:w="1620"/>
        <w:gridCol w:w="1110"/>
        <w:gridCol w:w="1170"/>
        <w:gridCol w:w="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3920" w:firstLineChars="14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br w:type="page"/>
            </w:r>
            <w:r>
              <w:rPr>
                <w:rFonts w:hint="eastAsia" w:ascii="仿宋_GB2312" w:hAnsi="仿宋_GB2312" w:eastAsia="仿宋_GB2312" w:cs="仿宋_GB2312"/>
                <w:sz w:val="28"/>
                <w:szCs w:val="28"/>
                <w:highlight w:val="none"/>
                <w:lang w:val="en-US" w:eastAsia="zh-CN"/>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一级指标</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二级指标</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三级指标</w:t>
            </w:r>
          </w:p>
        </w:tc>
        <w:tc>
          <w:tcPr>
            <w:tcW w:w="19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指标解释</w:t>
            </w:r>
          </w:p>
        </w:tc>
        <w:tc>
          <w:tcPr>
            <w:tcW w:w="30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评分标准</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预算数（万元）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执行数（万元）</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分值</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得分率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6" w:hRule="atLeast"/>
        </w:trPr>
        <w:tc>
          <w:tcPr>
            <w:tcW w:w="9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当年预算执行情况</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（20分）</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当年预算执行情况（20）</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资金总体</w:t>
            </w:r>
          </w:p>
        </w:tc>
        <w:tc>
          <w:tcPr>
            <w:tcW w:w="19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部门全年执行数与全年预算数的比率。资金总体=基本支出+项目支出+其他</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①得分一档最高不能超过该指标分值上限（20分）。</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②该指标若为正向指标，得分计算方法为：执行数/预算数*20；</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③该指标得分计算资金总体即可，分类支出填写预算数及执行数，无需计算分项执行率；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82141.07</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80437.30</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p>
        </w:tc>
        <w:tc>
          <w:tcPr>
            <w:tcW w:w="11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20</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98%</w:t>
            </w:r>
          </w:p>
        </w:tc>
        <w:tc>
          <w:tcPr>
            <w:tcW w:w="6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2" w:hRule="atLeast"/>
        </w:trPr>
        <w:tc>
          <w:tcPr>
            <w:tcW w:w="981"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基本支出</w:t>
            </w:r>
          </w:p>
        </w:tc>
        <w:tc>
          <w:tcPr>
            <w:tcW w:w="199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303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5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22043.56</w:t>
            </w:r>
          </w:p>
        </w:tc>
        <w:tc>
          <w:tcPr>
            <w:tcW w:w="162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20339.79</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11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17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698"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6" w:hRule="atLeast"/>
        </w:trPr>
        <w:tc>
          <w:tcPr>
            <w:tcW w:w="9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项目支出</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60097.51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60,097.51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698"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6" w:hRule="atLeast"/>
        </w:trPr>
        <w:tc>
          <w:tcPr>
            <w:tcW w:w="9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其他</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0</w:t>
            </w: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698"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215"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小计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一级指标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任务名称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指标名称</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指标内容和指标值</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年度完成情况</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分值</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得分率</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整体绩效目标实现情况（60分）</w:t>
            </w:r>
          </w:p>
        </w:tc>
        <w:tc>
          <w:tcPr>
            <w:tcW w:w="109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强协同、增动能，保障临空有力有效。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保障临空区建设</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完成小马坊等7个村坟墓迁移</w:t>
            </w:r>
            <w:r>
              <w:rPr>
                <w:rFonts w:hint="eastAsia" w:ascii="仿宋_GB2312" w:hAnsi="仿宋_GB2312" w:eastAsia="仿宋_GB2312" w:cs="仿宋_GB2312"/>
                <w:sz w:val="28"/>
                <w:szCs w:val="28"/>
                <w:highlight w:val="none"/>
                <w:lang w:eastAsia="zh-CN"/>
              </w:rPr>
              <w:t>工作，完成</w:t>
            </w:r>
            <w:r>
              <w:rPr>
                <w:rFonts w:hint="eastAsia" w:ascii="仿宋_GB2312" w:hAnsi="仿宋_GB2312" w:eastAsia="仿宋_GB2312" w:cs="仿宋_GB2312"/>
                <w:sz w:val="28"/>
                <w:szCs w:val="28"/>
                <w:highlight w:val="none"/>
                <w:lang w:val="en-US" w:eastAsia="zh-CN"/>
              </w:rPr>
              <w:t>6个项目</w:t>
            </w:r>
            <w:r>
              <w:rPr>
                <w:rFonts w:hint="eastAsia" w:ascii="仿宋_GB2312" w:hAnsi="仿宋_GB2312" w:eastAsia="仿宋_GB2312" w:cs="仿宋_GB2312"/>
                <w:sz w:val="28"/>
                <w:szCs w:val="28"/>
                <w:highlight w:val="none"/>
                <w:lang w:eastAsia="zh-CN"/>
              </w:rPr>
              <w:t>征地手续办理，临空区及机场红线内安全检查不少于</w:t>
            </w:r>
            <w:r>
              <w:rPr>
                <w:rFonts w:hint="eastAsia" w:ascii="仿宋_GB2312" w:hAnsi="仿宋_GB2312" w:eastAsia="仿宋_GB2312" w:cs="仿宋_GB2312"/>
                <w:sz w:val="28"/>
                <w:szCs w:val="28"/>
                <w:highlight w:val="none"/>
                <w:lang w:val="en-US" w:eastAsia="zh-CN"/>
              </w:rPr>
              <w:t>12次</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完成小马坊等7个村468座坟墓迁移，确保滞洪工程（二期）、会展一期项目顺利实施；</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完成城际铁路联络线外部环境整治；完成二期安置房C组团、兴礼街、综保区0107-038、052组团、弘礼街、知礼街及综保区空侧联络道等6个项目征地手续办理。</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rPr>
              <w:t>与临空区管委会、机场办加强协同，对临空区、机场红线内企业进行联合安全检查14次，发现并整改隐患173处。</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抓项目、促改革，经济实力不断增强。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财政组收</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完成财政收入突破</w:t>
            </w:r>
            <w:r>
              <w:rPr>
                <w:rFonts w:hint="eastAsia" w:ascii="仿宋_GB2312" w:hAnsi="仿宋_GB2312" w:eastAsia="仿宋_GB2312" w:cs="仿宋_GB2312"/>
                <w:sz w:val="28"/>
                <w:szCs w:val="28"/>
                <w:highlight w:val="none"/>
                <w:lang w:val="en-US" w:eastAsia="zh-CN"/>
              </w:rPr>
              <w:t>1亿元</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规上工业产值完成4.1亿元，税收完成3.96亿元，财政收入完成1.2亿元，已连续两年突破1亿元大关。</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积极</w:t>
            </w:r>
            <w:r>
              <w:rPr>
                <w:rFonts w:hint="eastAsia" w:ascii="仿宋_GB2312" w:hAnsi="仿宋_GB2312" w:eastAsia="仿宋_GB2312" w:cs="仿宋_GB2312"/>
                <w:sz w:val="28"/>
                <w:szCs w:val="28"/>
                <w:highlight w:val="none"/>
              </w:rPr>
              <w:t>开展招商引资</w:t>
            </w:r>
            <w:r>
              <w:rPr>
                <w:rFonts w:hint="eastAsia" w:ascii="仿宋_GB2312" w:hAnsi="仿宋_GB2312" w:eastAsia="仿宋_GB2312" w:cs="仿宋_GB2312"/>
                <w:sz w:val="28"/>
                <w:szCs w:val="28"/>
                <w:highlight w:val="none"/>
                <w:lang w:eastAsia="zh-CN"/>
              </w:rPr>
              <w:t>，提升企业服务效能</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完成新注册企业不低于</w:t>
            </w:r>
            <w:r>
              <w:rPr>
                <w:rFonts w:hint="eastAsia" w:ascii="仿宋_GB2312" w:hAnsi="仿宋_GB2312" w:eastAsia="仿宋_GB2312" w:cs="仿宋_GB2312"/>
                <w:sz w:val="28"/>
                <w:szCs w:val="28"/>
                <w:highlight w:val="none"/>
                <w:lang w:val="en-US" w:eastAsia="zh-CN"/>
              </w:rPr>
              <w:t>410家</w:t>
            </w:r>
            <w:r>
              <w:rPr>
                <w:rFonts w:hint="eastAsia" w:ascii="仿宋_GB2312" w:hAnsi="仿宋_GB2312" w:eastAsia="仿宋_GB2312" w:cs="仿宋_GB2312"/>
                <w:sz w:val="28"/>
                <w:szCs w:val="28"/>
                <w:highlight w:val="none"/>
                <w:lang w:eastAsia="zh-CN"/>
              </w:rPr>
              <w:t>，走访企业家次不低于</w:t>
            </w:r>
            <w:r>
              <w:rPr>
                <w:rFonts w:hint="eastAsia" w:ascii="仿宋_GB2312" w:hAnsi="仿宋_GB2312" w:eastAsia="仿宋_GB2312" w:cs="仿宋_GB2312"/>
                <w:sz w:val="28"/>
                <w:szCs w:val="28"/>
                <w:highlight w:val="none"/>
                <w:lang w:val="en-US" w:eastAsia="zh-CN"/>
              </w:rPr>
              <w:t>96次/年</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完成新注册企业414家，超额完成招商引资绩效考核全年任务指标；走访企业142家次，解决问题诉求122件，办结率及满意率100%；兑现产业政策支持资金1226余万元。</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提产量、创品牌</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粮食、油料、蔬菜播种面积达到98%以上；完成高标农田建设任务；申报</w:t>
            </w:r>
            <w:r>
              <w:rPr>
                <w:rFonts w:hint="eastAsia" w:ascii="仿宋_GB2312" w:hAnsi="仿宋_GB2312" w:eastAsia="仿宋_GB2312" w:cs="仿宋_GB2312"/>
                <w:sz w:val="28"/>
                <w:szCs w:val="28"/>
                <w:highlight w:val="none"/>
              </w:rPr>
              <w:t>“北京优农”品牌</w:t>
            </w:r>
            <w:r>
              <w:rPr>
                <w:rFonts w:hint="eastAsia" w:ascii="仿宋_GB2312" w:hAnsi="仿宋_GB2312" w:eastAsia="仿宋_GB2312" w:cs="仿宋_GB2312"/>
                <w:sz w:val="28"/>
                <w:szCs w:val="28"/>
                <w:highlight w:val="none"/>
                <w:lang w:eastAsia="zh-CN"/>
              </w:rPr>
              <w:t>不低于</w:t>
            </w:r>
            <w:r>
              <w:rPr>
                <w:rFonts w:hint="eastAsia" w:ascii="仿宋_GB2312" w:hAnsi="仿宋_GB2312" w:eastAsia="仿宋_GB2312" w:cs="仿宋_GB2312"/>
                <w:sz w:val="28"/>
                <w:szCs w:val="28"/>
                <w:highlight w:val="none"/>
                <w:lang w:val="en-US" w:eastAsia="zh-CN"/>
              </w:rPr>
              <w:t>1家</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粮食播种面积15793.4亩，产量10378.5吨，完成播种任务的100.5%；油料播种面积4194.2亩，产量956.1吨，完成播种任务的104.8%；蔬菜种植面积13068.9亩，产量43096.6吨，完成产量任务的107%；建成高标准农田3975亩，成功申报2家“北京优农”品牌；流转土地3.2万亩，引进种植大户32家</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全力推进“百千工程”创建</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完成</w:t>
            </w:r>
            <w:r>
              <w:rPr>
                <w:rFonts w:hint="eastAsia" w:ascii="仿宋_GB2312" w:hAnsi="仿宋_GB2312" w:eastAsia="仿宋_GB2312" w:cs="仿宋_GB2312"/>
                <w:sz w:val="28"/>
                <w:szCs w:val="28"/>
                <w:highlight w:val="none"/>
                <w:lang w:val="en-US" w:eastAsia="zh-CN"/>
              </w:rPr>
              <w:t>8家工坊建设，促村集体增收，提高就业率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依托“百千工程”项目建设8大工坊，全力打造“工坊+原麦艺术馆+林下中草药基地”沉浸式体验场景，着力发展传统手工技艺、非遗展示展演，传统药膳美食三大特色产业，营业收入约200万元，为村集体增收近120余万元，提供就业60余人。成立舒勇人工智能创作研究工作室，挂牌舒勇乡村实践艺术创作基地，助推“百千工程”建设。</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积极开展拆违腾退</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完成拆除违法建设；</w:t>
            </w:r>
            <w:r>
              <w:rPr>
                <w:rFonts w:hint="eastAsia" w:ascii="仿宋_GB2312" w:hAnsi="仿宋_GB2312" w:eastAsia="仿宋_GB2312" w:cs="仿宋_GB2312"/>
                <w:sz w:val="28"/>
                <w:szCs w:val="28"/>
                <w:highlight w:val="none"/>
              </w:rPr>
              <w:t>推进耕地“非农化”“非粮化”</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推进乱占耕地建房专项整治</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推进农村房地一体宅基地使用权确权登记</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展自建房安全整治</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拆除违法建设13.23万平方米，腾退土地12.27万平米；稳步推进耕地“非农化”“非粮化”，整改完成5709亩；大力推进乱占耕地建房专项整治，完成整治住宅类图斑20宗，非住宅类图斑63宗；扎实推进农村房地一体宅基地使用权确权登记，已完成房地测绘5170宗，权属调查5113宗，权源收集4415宗，本宗、邻宗签字完成2526宗；大力开展自建房安全整治，排查并整治1029宗隐患房屋。</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优供给、补短板，民生福祉持续增进。</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扎实推动重点群体就业</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开展招聘会</w:t>
            </w:r>
            <w:r>
              <w:rPr>
                <w:rFonts w:hint="eastAsia" w:ascii="仿宋_GB2312" w:hAnsi="仿宋_GB2312" w:eastAsia="仿宋_GB2312" w:cs="仿宋_GB2312"/>
                <w:sz w:val="28"/>
                <w:szCs w:val="28"/>
                <w:highlight w:val="none"/>
                <w:lang w:eastAsia="zh-CN"/>
              </w:rPr>
              <w:t>不低于</w:t>
            </w:r>
            <w:r>
              <w:rPr>
                <w:rFonts w:hint="eastAsia" w:ascii="仿宋_GB2312" w:hAnsi="仿宋_GB2312" w:eastAsia="仿宋_GB2312" w:cs="仿宋_GB2312"/>
                <w:sz w:val="28"/>
                <w:szCs w:val="28"/>
                <w:highlight w:val="none"/>
                <w:lang w:val="en-US" w:eastAsia="zh-CN"/>
              </w:rPr>
              <w:t>12次，增加特殊群体就业人数</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开展招聘会13场次，城乡劳动力就业1309人，就业困难人员就业900人，大学生就业246人，受理劳动争议调解案件21件，涉及争议金额125余万元。</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提升医疗水平</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家医下乡服务不低于1000人次；</w:t>
            </w:r>
            <w:r>
              <w:rPr>
                <w:rFonts w:hint="eastAsia" w:ascii="仿宋_GB2312" w:hAnsi="仿宋_GB2312" w:eastAsia="仿宋_GB2312" w:cs="仿宋_GB2312"/>
                <w:sz w:val="28"/>
                <w:szCs w:val="28"/>
                <w:highlight w:val="none"/>
              </w:rPr>
              <w:t>家庭医生签约人数</w:t>
            </w:r>
            <w:r>
              <w:rPr>
                <w:rFonts w:hint="eastAsia" w:ascii="仿宋_GB2312" w:hAnsi="仿宋_GB2312" w:eastAsia="仿宋_GB2312" w:cs="仿宋_GB2312"/>
                <w:sz w:val="28"/>
                <w:szCs w:val="28"/>
                <w:highlight w:val="none"/>
                <w:lang w:eastAsia="zh-CN"/>
              </w:rPr>
              <w:t>不低于</w:t>
            </w:r>
            <w:r>
              <w:rPr>
                <w:rFonts w:hint="eastAsia" w:ascii="仿宋_GB2312" w:hAnsi="仿宋_GB2312" w:eastAsia="仿宋_GB2312" w:cs="仿宋_GB2312"/>
                <w:sz w:val="28"/>
                <w:szCs w:val="28"/>
                <w:highlight w:val="none"/>
                <w:lang w:val="en-US" w:eastAsia="zh-CN"/>
              </w:rPr>
              <w:t>18000人；</w:t>
            </w:r>
            <w:r>
              <w:rPr>
                <w:rFonts w:hint="eastAsia" w:ascii="仿宋_GB2312" w:hAnsi="仿宋_GB2312" w:eastAsia="仿宋_GB2312" w:cs="仿宋_GB2312"/>
                <w:sz w:val="28"/>
                <w:szCs w:val="28"/>
                <w:highlight w:val="none"/>
              </w:rPr>
              <w:t>产后访视率</w:t>
            </w:r>
            <w:r>
              <w:rPr>
                <w:rFonts w:hint="eastAsia" w:ascii="仿宋_GB2312" w:hAnsi="仿宋_GB2312" w:eastAsia="仿宋_GB2312" w:cs="仿宋_GB2312"/>
                <w:sz w:val="28"/>
                <w:szCs w:val="28"/>
                <w:highlight w:val="none"/>
                <w:lang w:val="en-US" w:eastAsia="zh-CN"/>
              </w:rPr>
              <w:t>100%；完成老年人体检任务</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家医“全-专”团队下乡服务1100人次，</w:t>
            </w:r>
            <w:r>
              <w:rPr>
                <w:rFonts w:hint="eastAsia" w:ascii="仿宋_GB2312" w:hAnsi="仿宋_GB2312" w:eastAsia="仿宋_GB2312" w:cs="仿宋_GB2312"/>
                <w:sz w:val="28"/>
                <w:szCs w:val="28"/>
                <w:highlight w:val="none"/>
              </w:rPr>
              <w:t>家庭医生签约人数18286人</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产妇系统管理率99.73%，早建册率93.28%，产后访视率100%</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完成老年人体检5600次，托位数增加40个。</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积极开展社会救助</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社会救助金</w:t>
            </w:r>
            <w:r>
              <w:rPr>
                <w:rFonts w:hint="eastAsia" w:ascii="仿宋_GB2312" w:hAnsi="仿宋_GB2312" w:eastAsia="仿宋_GB2312" w:cs="仿宋_GB2312"/>
                <w:sz w:val="28"/>
                <w:szCs w:val="28"/>
                <w:highlight w:val="none"/>
                <w:lang w:eastAsia="zh-CN"/>
              </w:rPr>
              <w:t>覆盖率</w:t>
            </w:r>
            <w:r>
              <w:rPr>
                <w:rFonts w:hint="eastAsia" w:ascii="仿宋_GB2312" w:hAnsi="仿宋_GB2312" w:eastAsia="仿宋_GB2312" w:cs="仿宋_GB2312"/>
                <w:sz w:val="28"/>
                <w:szCs w:val="28"/>
                <w:highlight w:val="none"/>
                <w:lang w:val="en-US" w:eastAsia="zh-CN"/>
              </w:rPr>
              <w:t>100%</w:t>
            </w:r>
            <w:r>
              <w:rPr>
                <w:rFonts w:hint="eastAsia" w:ascii="仿宋_GB2312" w:hAnsi="仿宋_GB2312" w:eastAsia="仿宋_GB2312" w:cs="仿宋_GB2312"/>
                <w:sz w:val="28"/>
                <w:szCs w:val="28"/>
                <w:highlight w:val="none"/>
              </w:rPr>
              <w:t>；重度残疾人生活和护理补贴</w:t>
            </w:r>
            <w:r>
              <w:rPr>
                <w:rFonts w:hint="eastAsia" w:ascii="仿宋_GB2312" w:hAnsi="仿宋_GB2312" w:eastAsia="仿宋_GB2312" w:cs="仿宋_GB2312"/>
                <w:sz w:val="28"/>
                <w:szCs w:val="28"/>
                <w:highlight w:val="none"/>
                <w:lang w:eastAsia="zh-CN"/>
              </w:rPr>
              <w:t>覆盖率</w:t>
            </w:r>
            <w:r>
              <w:rPr>
                <w:rFonts w:hint="eastAsia" w:ascii="仿宋_GB2312" w:hAnsi="仿宋_GB2312" w:eastAsia="仿宋_GB2312" w:cs="仿宋_GB2312"/>
                <w:sz w:val="28"/>
                <w:szCs w:val="28"/>
                <w:highlight w:val="none"/>
                <w:lang w:val="en-US" w:eastAsia="zh-CN"/>
              </w:rPr>
              <w:t>100%</w:t>
            </w:r>
            <w:r>
              <w:rPr>
                <w:rFonts w:hint="eastAsia" w:ascii="仿宋_GB2312" w:hAnsi="仿宋_GB2312" w:eastAsia="仿宋_GB2312" w:cs="仿宋_GB2312"/>
                <w:sz w:val="28"/>
                <w:szCs w:val="28"/>
                <w:highlight w:val="none"/>
              </w:rPr>
              <w:t>；重度失能护理补贴</w:t>
            </w:r>
            <w:r>
              <w:rPr>
                <w:rFonts w:hint="eastAsia" w:ascii="仿宋_GB2312" w:hAnsi="仿宋_GB2312" w:eastAsia="仿宋_GB2312" w:cs="仿宋_GB2312"/>
                <w:sz w:val="28"/>
                <w:szCs w:val="28"/>
                <w:highlight w:val="none"/>
                <w:lang w:eastAsia="zh-CN"/>
              </w:rPr>
              <w:t>覆盖率</w:t>
            </w:r>
            <w:r>
              <w:rPr>
                <w:rFonts w:hint="eastAsia" w:ascii="仿宋_GB2312" w:hAnsi="仿宋_GB2312" w:eastAsia="仿宋_GB2312" w:cs="仿宋_GB2312"/>
                <w:sz w:val="28"/>
                <w:szCs w:val="28"/>
                <w:highlight w:val="none"/>
                <w:lang w:val="en-US" w:eastAsia="zh-CN"/>
              </w:rPr>
              <w:t>100%</w:t>
            </w:r>
            <w:r>
              <w:rPr>
                <w:rFonts w:hint="eastAsia" w:ascii="仿宋_GB2312" w:hAnsi="仿宋_GB2312" w:eastAsia="仿宋_GB2312" w:cs="仿宋_GB2312"/>
                <w:sz w:val="28"/>
                <w:szCs w:val="28"/>
                <w:highlight w:val="none"/>
              </w:rPr>
              <w:t>；高龄老年人津贴</w:t>
            </w:r>
            <w:r>
              <w:rPr>
                <w:rFonts w:hint="eastAsia" w:ascii="仿宋_GB2312" w:hAnsi="仿宋_GB2312" w:eastAsia="仿宋_GB2312" w:cs="仿宋_GB2312"/>
                <w:sz w:val="28"/>
                <w:szCs w:val="28"/>
                <w:highlight w:val="none"/>
                <w:lang w:eastAsia="zh-CN"/>
              </w:rPr>
              <w:t>覆盖率</w:t>
            </w:r>
            <w:r>
              <w:rPr>
                <w:rFonts w:hint="eastAsia" w:ascii="仿宋_GB2312" w:hAnsi="仿宋_GB2312" w:eastAsia="仿宋_GB2312" w:cs="仿宋_GB2312"/>
                <w:sz w:val="28"/>
                <w:szCs w:val="28"/>
                <w:highlight w:val="none"/>
                <w:lang w:val="en-US" w:eastAsia="zh-CN"/>
              </w:rPr>
              <w:t>100%</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完成</w:t>
            </w:r>
            <w:r>
              <w:rPr>
                <w:rFonts w:hint="eastAsia" w:ascii="仿宋_GB2312" w:hAnsi="仿宋_GB2312" w:eastAsia="仿宋_GB2312" w:cs="仿宋_GB2312"/>
                <w:sz w:val="28"/>
                <w:szCs w:val="28"/>
                <w:highlight w:val="none"/>
              </w:rPr>
              <w:t>困境儿童</w:t>
            </w:r>
            <w:r>
              <w:rPr>
                <w:rFonts w:hint="eastAsia" w:ascii="仿宋_GB2312" w:hAnsi="仿宋_GB2312" w:eastAsia="仿宋_GB2312" w:cs="仿宋_GB2312"/>
                <w:sz w:val="28"/>
                <w:szCs w:val="28"/>
                <w:highlight w:val="none"/>
                <w:lang w:eastAsia="zh-CN"/>
              </w:rPr>
              <w:t>探访任务</w:t>
            </w:r>
            <w:r>
              <w:rPr>
                <w:rFonts w:hint="eastAsia" w:ascii="仿宋_GB2312" w:hAnsi="仿宋_GB2312" w:eastAsia="仿宋_GB2312" w:cs="仿宋_GB2312"/>
                <w:sz w:val="28"/>
                <w:szCs w:val="28"/>
                <w:highlight w:val="none"/>
              </w:rPr>
              <w:t>。</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发放社会救助金1931人次、309余万元；发放重度残疾人生活和护理补贴18189人次、778万元；发放重度失能护理补贴17622人次、957万余元；发放高龄老年人津贴13075人次、202余万元；探访困境儿童312人次，发放生活保障费42余万元。</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提高基层文化建设</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积极开展文化活动，</w:t>
            </w:r>
            <w:r>
              <w:rPr>
                <w:rFonts w:hint="eastAsia" w:ascii="仿宋_GB2312" w:hAnsi="仿宋_GB2312" w:eastAsia="仿宋_GB2312" w:cs="仿宋_GB2312"/>
                <w:sz w:val="28"/>
                <w:szCs w:val="28"/>
                <w:highlight w:val="none"/>
              </w:rPr>
              <w:t>推动文旅深度融合</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增加</w:t>
            </w:r>
            <w:r>
              <w:rPr>
                <w:rFonts w:hint="eastAsia" w:ascii="仿宋_GB2312" w:hAnsi="仿宋_GB2312" w:eastAsia="仿宋_GB2312" w:cs="仿宋_GB2312"/>
                <w:sz w:val="28"/>
                <w:szCs w:val="28"/>
                <w:highlight w:val="none"/>
                <w:lang w:eastAsia="zh-CN"/>
              </w:rPr>
              <w:t>镇域内</w:t>
            </w:r>
            <w:r>
              <w:rPr>
                <w:rFonts w:hint="eastAsia" w:ascii="仿宋_GB2312" w:hAnsi="仿宋_GB2312" w:eastAsia="仿宋_GB2312" w:cs="仿宋_GB2312"/>
                <w:sz w:val="28"/>
                <w:szCs w:val="28"/>
                <w:highlight w:val="none"/>
              </w:rPr>
              <w:t>健身设施供给</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结合七大传统节日，开展活动920余场，惠及群众2.7万余人次；举办第二届礼贤新春文化季、第三届艾草文化季等品牌活动，推动文旅深度融合；打造“礼贤全民运动季”品牌，开展体育赛事8场；增加健身设施供给，为38个村、小区地块申请健身器材40套。</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完善村庄基础设施</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完成</w:t>
            </w:r>
            <w:r>
              <w:rPr>
                <w:rFonts w:hint="eastAsia" w:ascii="仿宋_GB2312" w:hAnsi="仿宋_GB2312" w:eastAsia="仿宋_GB2312" w:cs="仿宋_GB2312"/>
                <w:sz w:val="28"/>
                <w:szCs w:val="28"/>
                <w:highlight w:val="none"/>
                <w:lang w:eastAsia="zh-CN"/>
              </w:rPr>
              <w:t>镇域内部分村庄及镇级道路的</w:t>
            </w:r>
            <w:r>
              <w:rPr>
                <w:rFonts w:hint="eastAsia" w:ascii="仿宋_GB2312" w:hAnsi="仿宋_GB2312" w:eastAsia="仿宋_GB2312" w:cs="仿宋_GB2312"/>
                <w:sz w:val="28"/>
                <w:szCs w:val="28"/>
                <w:highlight w:val="none"/>
              </w:rPr>
              <w:t>基础设施及环境改造</w:t>
            </w:r>
            <w:r>
              <w:rPr>
                <w:rFonts w:hint="eastAsia" w:ascii="仿宋_GB2312" w:hAnsi="仿宋_GB2312" w:eastAsia="仿宋_GB2312" w:cs="仿宋_GB2312"/>
                <w:sz w:val="28"/>
                <w:szCs w:val="28"/>
                <w:highlight w:val="none"/>
                <w:lang w:eastAsia="zh-CN"/>
              </w:rPr>
              <w:t>。</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完成西白疃村基础设施及环境改造，完成8.61公里乡村公路大修，在南中轴路段、青礼路段安装116盏照明路灯，实现西郏河、董各庄和东安村3个村按户水费收缴。</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抓重点、治污染，生态底色愈加靓丽。</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持续巩固创城创卫成果</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开展专项整治行动</w:t>
            </w:r>
            <w:r>
              <w:rPr>
                <w:rFonts w:hint="eastAsia" w:ascii="仿宋_GB2312" w:hAnsi="仿宋_GB2312" w:eastAsia="仿宋_GB2312" w:cs="仿宋_GB2312"/>
                <w:sz w:val="28"/>
                <w:szCs w:val="28"/>
                <w:highlight w:val="none"/>
                <w:lang w:eastAsia="zh-CN"/>
              </w:rPr>
              <w:t>不低于</w:t>
            </w:r>
            <w:r>
              <w:rPr>
                <w:rFonts w:hint="eastAsia" w:ascii="仿宋_GB2312" w:hAnsi="仿宋_GB2312" w:eastAsia="仿宋_GB2312" w:cs="仿宋_GB2312"/>
                <w:sz w:val="28"/>
                <w:szCs w:val="28"/>
                <w:highlight w:val="none"/>
                <w:lang w:val="en-US" w:eastAsia="zh-CN"/>
              </w:rPr>
              <w:t>60</w:t>
            </w:r>
            <w:r>
              <w:rPr>
                <w:rFonts w:hint="eastAsia" w:ascii="仿宋_GB2312" w:hAnsi="仿宋_GB2312" w:eastAsia="仿宋_GB2312" w:cs="仿宋_GB2312"/>
                <w:sz w:val="28"/>
                <w:szCs w:val="28"/>
                <w:highlight w:val="none"/>
              </w:rPr>
              <w:t>次</w:t>
            </w:r>
            <w:r>
              <w:rPr>
                <w:rFonts w:hint="eastAsia" w:ascii="仿宋_GB2312" w:hAnsi="仿宋_GB2312" w:eastAsia="仿宋_GB2312" w:cs="仿宋_GB2312"/>
                <w:sz w:val="28"/>
                <w:szCs w:val="28"/>
                <w:highlight w:val="none"/>
                <w:lang w:eastAsia="zh-CN"/>
              </w:rPr>
              <w:t>，清理各类垃圾以及深入开展人居环境治理工作。</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开展专项整治行动70余次，参与人数9000余人次，整改各类问题6800余个，清理各类垃圾1100余吨；深入开展人居环境“五边”治理，发现并整改问题2945处。</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深入推进“一微克”行动</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pm2.5及TSP年累计持续降低，降尘总量不低于4吨/</w:t>
            </w:r>
            <w:r>
              <w:rPr>
                <w:rFonts w:hint="eastAsia" w:ascii="仿宋_GB2312" w:hAnsi="仿宋_GB2312" w:eastAsia="仿宋_GB2312" w:cs="仿宋_GB2312"/>
                <w:sz w:val="28"/>
                <w:szCs w:val="28"/>
                <w:highlight w:val="none"/>
              </w:rPr>
              <w:t>平方公里·</w:t>
            </w:r>
            <w:r>
              <w:rPr>
                <w:rFonts w:hint="eastAsia" w:ascii="仿宋_GB2312" w:hAnsi="仿宋_GB2312" w:eastAsia="仿宋_GB2312" w:cs="仿宋_GB2312"/>
                <w:sz w:val="28"/>
                <w:szCs w:val="28"/>
                <w:highlight w:val="none"/>
                <w:lang w:eastAsia="zh-CN"/>
              </w:rPr>
              <w:t>月</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PM2.5年累计浓度34微克/立方米，年累计区考核排名第2位；TSP年累计浓度85微克/立方米，年累计区考核排名第6位；降尘总量5.04吨/平方公里·月，道路积尘负荷均值0.32g/㎡，排名均位于全区前列</w:t>
            </w:r>
            <w:r>
              <w:rPr>
                <w:rFonts w:hint="eastAsia" w:ascii="仿宋_GB2312" w:hAnsi="仿宋_GB2312" w:eastAsia="仿宋_GB2312" w:cs="仿宋_GB2312"/>
                <w:sz w:val="28"/>
                <w:szCs w:val="28"/>
                <w:highlight w:val="none"/>
                <w:lang w:val="en-US" w:eastAsia="zh-CN"/>
              </w:rPr>
              <w:t>.</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持续开展垃圾分类</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积极开展垃圾分类</w:t>
            </w:r>
            <w:r>
              <w:rPr>
                <w:rFonts w:hint="eastAsia" w:ascii="仿宋_GB2312" w:hAnsi="仿宋_GB2312" w:eastAsia="仿宋_GB2312" w:cs="仿宋_GB2312"/>
                <w:sz w:val="28"/>
                <w:szCs w:val="28"/>
                <w:highlight w:val="none"/>
              </w:rPr>
              <w:t>主题活动，开展入户宣传，知识讲座；推进西白疃村等8个村户桶撤除工作；</w:t>
            </w:r>
            <w:r>
              <w:rPr>
                <w:rFonts w:hint="eastAsia" w:ascii="仿宋_GB2312" w:hAnsi="仿宋_GB2312" w:eastAsia="仿宋_GB2312" w:cs="仿宋_GB2312"/>
                <w:sz w:val="28"/>
                <w:szCs w:val="28"/>
                <w:highlight w:val="none"/>
                <w:lang w:eastAsia="zh-CN"/>
              </w:rPr>
              <w:t>及时清运厨余等垃圾。</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举办主题活动48场，开展入户宣传52轮，开展知识讲座241场，参与群众11600余人次；推进西白疃村等8个村户桶撤除工作；清运其他垃圾6962吨，清运居民厨余垃圾1647.32吨，可回收物垃圾3037吨，有害垃圾0.0419吨。</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坚持河长、林长、田长“三长联动、一巡三查”</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镇村河长巡河</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镇村林长巡林</w:t>
            </w:r>
            <w:r>
              <w:rPr>
                <w:rFonts w:hint="eastAsia" w:ascii="仿宋_GB2312" w:hAnsi="仿宋_GB2312" w:eastAsia="仿宋_GB2312" w:cs="仿宋_GB2312"/>
                <w:sz w:val="28"/>
                <w:szCs w:val="28"/>
                <w:highlight w:val="none"/>
                <w:lang w:eastAsia="zh-CN"/>
              </w:rPr>
              <w:t>、每天不少于</w:t>
            </w:r>
            <w:r>
              <w:rPr>
                <w:rFonts w:hint="eastAsia" w:ascii="仿宋_GB2312" w:hAnsi="仿宋_GB2312" w:eastAsia="仿宋_GB2312" w:cs="仿宋_GB2312"/>
                <w:sz w:val="28"/>
                <w:szCs w:val="28"/>
                <w:highlight w:val="none"/>
                <w:lang w:val="en-US" w:eastAsia="zh-CN"/>
              </w:rPr>
              <w:t>3次；</w:t>
            </w:r>
            <w:r>
              <w:rPr>
                <w:rFonts w:hint="eastAsia" w:ascii="仿宋_GB2312" w:hAnsi="仿宋_GB2312" w:eastAsia="仿宋_GB2312" w:cs="仿宋_GB2312"/>
                <w:sz w:val="28"/>
                <w:szCs w:val="28"/>
                <w:highlight w:val="none"/>
              </w:rPr>
              <w:t>积极整治撂荒地，无害化处理农田尾菜</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镇村河长巡河1586次，3203公里，发现整改问题160余处，清理河道垃圾及漂浮物680吨；镇村林长巡林1670次，累计4.8万亩，发现整改问题45处，清理可燃物等杂草垃圾900余车；常态化开展农田巡查，积极整治撂荒地，无害化处理农田尾菜1.5万余吨。</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防风险、强治理，社会大局和谐稳定。</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全力做好重大活动安保维稳工作</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完成全国两会、党的二十届三中全会、新中国成立75周年庆祝活动、中非合作论坛、北京服贸会等服务保障</w:t>
            </w:r>
            <w:r>
              <w:rPr>
                <w:rFonts w:hint="eastAsia" w:ascii="仿宋_GB2312" w:hAnsi="仿宋_GB2312" w:eastAsia="仿宋_GB2312" w:cs="仿宋_GB2312"/>
                <w:sz w:val="28"/>
                <w:szCs w:val="28"/>
                <w:highlight w:val="none"/>
                <w:lang w:eastAsia="zh-CN"/>
              </w:rPr>
              <w:t>工作。</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动员巡查力量2210人次，发现并妥善处置各类隐患和风险点604处，圆满完成全国两会、党的二十届三中全会、新中国成立75周年庆祝活动、中非合作论坛、北京服贸会等服务保障</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扎实开展安全生产和火灾隐患大排查大整治</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召开</w:t>
            </w:r>
            <w:r>
              <w:rPr>
                <w:rFonts w:hint="eastAsia" w:ascii="仿宋_GB2312" w:hAnsi="仿宋_GB2312" w:eastAsia="仿宋_GB2312" w:cs="仿宋_GB2312"/>
                <w:sz w:val="28"/>
                <w:szCs w:val="28"/>
                <w:highlight w:val="none"/>
              </w:rPr>
              <w:t>安全生产和治本攻坚调度会</w:t>
            </w:r>
            <w:r>
              <w:rPr>
                <w:rFonts w:hint="eastAsia" w:ascii="仿宋_GB2312" w:hAnsi="仿宋_GB2312" w:eastAsia="仿宋_GB2312" w:cs="仿宋_GB2312"/>
                <w:sz w:val="28"/>
                <w:szCs w:val="28"/>
                <w:highlight w:val="none"/>
                <w:lang w:eastAsia="zh-CN"/>
              </w:rPr>
              <w:t>不少于</w:t>
            </w:r>
            <w:r>
              <w:rPr>
                <w:rFonts w:hint="eastAsia" w:ascii="仿宋_GB2312" w:hAnsi="仿宋_GB2312" w:eastAsia="仿宋_GB2312" w:cs="仿宋_GB2312"/>
                <w:sz w:val="28"/>
                <w:szCs w:val="28"/>
                <w:highlight w:val="none"/>
                <w:lang w:val="en-US" w:eastAsia="zh-CN"/>
              </w:rPr>
              <w:t>2次；</w:t>
            </w:r>
            <w:r>
              <w:rPr>
                <w:rFonts w:hint="eastAsia" w:ascii="仿宋_GB2312" w:hAnsi="仿宋_GB2312" w:eastAsia="仿宋_GB2312" w:cs="仿宋_GB2312"/>
                <w:sz w:val="28"/>
                <w:szCs w:val="28"/>
                <w:highlight w:val="none"/>
              </w:rPr>
              <w:t>400余家企业</w:t>
            </w:r>
            <w:r>
              <w:rPr>
                <w:rFonts w:hint="eastAsia" w:ascii="仿宋_GB2312" w:hAnsi="仿宋_GB2312" w:eastAsia="仿宋_GB2312" w:cs="仿宋_GB2312"/>
                <w:sz w:val="28"/>
                <w:szCs w:val="28"/>
                <w:highlight w:val="none"/>
                <w:lang w:eastAsia="zh-CN"/>
              </w:rPr>
              <w:t>人员安全培训；</w:t>
            </w:r>
            <w:r>
              <w:rPr>
                <w:rFonts w:hint="eastAsia" w:ascii="仿宋_GB2312" w:hAnsi="仿宋_GB2312" w:eastAsia="仿宋_GB2312" w:cs="仿宋_GB2312"/>
                <w:sz w:val="28"/>
                <w:szCs w:val="28"/>
                <w:highlight w:val="none"/>
              </w:rPr>
              <w:t>开展经营性自建房检查率达到100%</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全年召开3次安全生产和治本攻坚调度会，督促400余家企业开展企安安法人培训学习及企业负责人带队检查全覆盖；持续开展经营性自建房自查与检查，疏散通道建设达标率、隐患整改率、检查率均达到100%。</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扎实推进接诉即办</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下全面提高响应率、解决率、满意率，综合平均成绩</w:t>
            </w:r>
            <w:r>
              <w:rPr>
                <w:rFonts w:hint="eastAsia" w:ascii="仿宋_GB2312" w:hAnsi="仿宋_GB2312" w:eastAsia="仿宋_GB2312" w:cs="仿宋_GB2312"/>
                <w:sz w:val="28"/>
                <w:szCs w:val="28"/>
                <w:highlight w:val="none"/>
                <w:lang w:val="en-US" w:eastAsia="zh-CN"/>
              </w:rPr>
              <w:t>95%以上</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全年承办12345市民服务热线诉求6524件，直派平均成绩98.35分，综合平均成绩97.02分。</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持续推进信访工作</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接待各类来访</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及时受理率和按期办结率100%</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接待各类来访、咨询170件，347批次，540人次，登录信访系统信访件80件，158件次，210人次，实现及时受理率和按期办结率双100%。</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加强食品安全检查</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rPr>
            </w:pPr>
            <w:r>
              <w:rPr>
                <w:rFonts w:hint="eastAsia" w:ascii="仿宋_GB2312" w:hAnsi="仿宋_GB2312" w:eastAsia="仿宋_GB2312" w:cs="仿宋_GB2312"/>
                <w:sz w:val="28"/>
                <w:szCs w:val="28"/>
                <w:highlight w:val="none"/>
                <w:lang w:val="en-US" w:eastAsia="zh-CN"/>
              </w:rPr>
              <w:t>开展专项整治活动；抽检单位不少于50户，抽检合格率98%以上；加大</w:t>
            </w:r>
            <w:r>
              <w:rPr>
                <w:rFonts w:hint="eastAsia" w:ascii="仿宋_GB2312" w:hAnsi="仿宋_GB2312" w:eastAsia="仿宋_GB2312" w:cs="仿宋_GB2312"/>
                <w:sz w:val="28"/>
                <w:szCs w:val="28"/>
                <w:highlight w:val="none"/>
                <w:lang w:eastAsia="zh-CN"/>
              </w:rPr>
              <w:t>街面秩序、大气污染防治等领域处罚力度；</w:t>
            </w:r>
            <w:r>
              <w:rPr>
                <w:rFonts w:hint="eastAsia" w:ascii="仿宋_GB2312" w:hAnsi="仿宋_GB2312" w:eastAsia="仿宋_GB2312" w:cs="仿宋_GB2312"/>
                <w:sz w:val="28"/>
                <w:szCs w:val="28"/>
                <w:highlight w:val="none"/>
                <w:lang w:val="en-US" w:eastAsia="zh-CN"/>
              </w:rPr>
              <w:t>打击违法犯罪</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开展专项整治200余次，抽检单位70户，抽检食品样品</w:t>
            </w:r>
            <w:r>
              <w:rPr>
                <w:rFonts w:hint="eastAsia" w:ascii="仿宋_GB2312" w:hAnsi="仿宋_GB2312" w:eastAsia="仿宋_GB2312" w:cs="仿宋_GB2312"/>
                <w:sz w:val="28"/>
                <w:szCs w:val="28"/>
                <w:highlight w:val="none"/>
                <w:lang w:val="en" w:eastAsia="zh-CN"/>
              </w:rPr>
              <w:t>350</w:t>
            </w:r>
            <w:r>
              <w:rPr>
                <w:rFonts w:hint="eastAsia" w:ascii="仿宋_GB2312" w:hAnsi="仿宋_GB2312" w:eastAsia="仿宋_GB2312" w:cs="仿宋_GB2312"/>
                <w:sz w:val="28"/>
                <w:szCs w:val="28"/>
                <w:highlight w:val="none"/>
                <w:lang w:val="en-US" w:eastAsia="zh-CN"/>
              </w:rPr>
              <w:t>件，抽检合格率</w:t>
            </w:r>
            <w:r>
              <w:rPr>
                <w:rFonts w:hint="eastAsia" w:ascii="仿宋_GB2312" w:hAnsi="仿宋_GB2312" w:eastAsia="仿宋_GB2312" w:cs="仿宋_GB2312"/>
                <w:sz w:val="28"/>
                <w:szCs w:val="28"/>
                <w:highlight w:val="none"/>
                <w:lang w:val="en" w:eastAsia="zh-CN"/>
              </w:rPr>
              <w:t>99.1</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lang w:eastAsia="zh-CN"/>
              </w:rPr>
              <w:t>围绕街面秩序、大气污染防治等领域，</w:t>
            </w:r>
            <w:r>
              <w:rPr>
                <w:rFonts w:hint="eastAsia" w:ascii="仿宋_GB2312" w:hAnsi="仿宋_GB2312" w:eastAsia="仿宋_GB2312" w:cs="仿宋_GB2312"/>
                <w:sz w:val="28"/>
                <w:szCs w:val="28"/>
                <w:highlight w:val="none"/>
                <w:lang w:val="en-US" w:eastAsia="zh-CN"/>
              </w:rPr>
              <w:t>行政处罚1471起，罚款220余万元。重拳打击各类违法犯罪行为，全年共打击违法犯罪230人，挽回损失42万元。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优作风、提效能，政府治理高能高效。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加强思想领域建设</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始终把政治建设放在首位，深入学习贯彻习近平新时代中国特色社会主义思想和党的二十届三中全会精神，</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坚决贯彻落实区委区政府决策部署，抓实抓细区委巡察反馈问题整改，以实际行动忠诚拥护“两个确立”，坚决做到“两个维护”。</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管党治党更加有力</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始终把全面从严治党贯穿于政府工作全过程、各领域</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扎实开展党纪学习教育活动，狠抓重点领域审计问题整改，严格执行中央八项规定精神及其实施细则。</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纵深推进法治政府建设</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开展法制讲座不少于</w:t>
            </w:r>
            <w:r>
              <w:rPr>
                <w:rFonts w:hint="eastAsia" w:ascii="仿宋_GB2312" w:hAnsi="仿宋_GB2312" w:eastAsia="仿宋_GB2312" w:cs="仿宋_GB2312"/>
                <w:sz w:val="28"/>
                <w:szCs w:val="28"/>
                <w:highlight w:val="none"/>
                <w:lang w:val="en-US" w:eastAsia="zh-CN"/>
              </w:rPr>
              <w:t>5次；及时</w:t>
            </w:r>
            <w:r>
              <w:rPr>
                <w:rFonts w:hint="eastAsia" w:ascii="仿宋_GB2312" w:hAnsi="仿宋_GB2312" w:eastAsia="仿宋_GB2312" w:cs="仿宋_GB2312"/>
                <w:sz w:val="28"/>
                <w:szCs w:val="28"/>
                <w:highlight w:val="none"/>
              </w:rPr>
              <w:t>办理行政复议诉讼案件</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健全政府议事规则、内控手册</w:t>
            </w:r>
            <w:r>
              <w:rPr>
                <w:rFonts w:hint="eastAsia" w:ascii="仿宋_GB2312" w:hAnsi="仿宋_GB2312" w:eastAsia="仿宋_GB2312" w:cs="仿宋_GB2312"/>
                <w:sz w:val="28"/>
                <w:szCs w:val="28"/>
                <w:highlight w:val="none"/>
                <w:lang w:eastAsia="zh-CN"/>
              </w:rPr>
              <w:t>等</w:t>
            </w:r>
            <w:r>
              <w:rPr>
                <w:rFonts w:hint="eastAsia" w:ascii="仿宋_GB2312" w:hAnsi="仿宋_GB2312" w:eastAsia="仿宋_GB2312" w:cs="仿宋_GB2312"/>
                <w:sz w:val="28"/>
                <w:szCs w:val="28"/>
                <w:highlight w:val="none"/>
              </w:rPr>
              <w:t>制度流程</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推进“互联网+政务服务”</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开展会前学法5次、依法行政专题讲座2次，办理行政复议诉讼案件74件，组织领导干部应知应会法律法规学习，承办人大代表建议13件，健全政府议事规则、内控手册、基层减负实务手册等制度流程，深入推进“互联网+政务服务”</w:t>
            </w:r>
          </w:p>
        </w:tc>
        <w:tc>
          <w:tcPr>
            <w:tcW w:w="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7095"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小计</w:t>
            </w:r>
          </w:p>
        </w:tc>
        <w:tc>
          <w:tcPr>
            <w:tcW w:w="423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rPr>
            </w:pPr>
            <w:r>
              <w:rPr>
                <w:rFonts w:hint="eastAsia" w:ascii="仿宋_GB2312" w:hAnsi="仿宋_GB2312" w:eastAsia="仿宋_GB2312" w:cs="仿宋_GB2312"/>
                <w:sz w:val="28"/>
                <w:szCs w:val="28"/>
                <w:highlight w:val="none"/>
                <w:lang w:val="en-US" w:eastAsia="zh-CN"/>
              </w:rPr>
              <w:t>60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一级指标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二级指标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三级指标</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指标解释</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评分标准</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2022年数据</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2023年数据</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分值</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得分率</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预算管理情况（20分）</w:t>
            </w:r>
          </w:p>
        </w:tc>
        <w:tc>
          <w:tcPr>
            <w:tcW w:w="109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财务管理（6）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财务管理制度健全性</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财务管理制度健全性：部门（单位）为加强财务管理、规范财务行为而制定的管理制度。</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①预算资金管理办法、绩效跟踪管理办法、资产管理办法等各项制度是否健全；</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②部门内部财务管理制度是否完善、合规；</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③会计核算制度是否完整、合规。</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每有一项不合格扣1分，扣完为止。</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资金使用合规性和安全性</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资金使用合规性和安全性：部门（单位）使用预算资金是否符合相关的预算财务管理制度的规定，是否符合相关规定的开支范围，用以反映考核部门（单位）预算资金的规范运行和安全运行情况。</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①是否符合国家财经法规和财务管理制度规定以及有关专项资金管理办法的规定；</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②资金的拨付是否有完整的审批程序和手续；</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③项目的重大开支是否经过评估论证；</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④是否符合部门预算批复的用途；</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⑤是否存在截留、挤占、挪用情况；</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⑥资金使用是否符合政府采购的程序和流程；</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⑦资金使用是否符合公务卡结算相关制度和规定。</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每有一项不合格扣0.5分，扣完为止。</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会计基础信息完善性</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会计基础信息完善性：部门（单位）会计基础信息情况。</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①基础数据信息和会计信息资料是否真实；</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②基础数据信息和会计信息资料是否完整；</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③基础数据信息和会计信息资料是否准确。</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每有一项不合格扣1分，扣完为止。</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资产管理（5）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资产管理规范性</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资产管理规范性：部门（单位）的资产是否保持安全完整，资产配置是否合理，资产使用和资产处理是否规范，用以反映和考核部门（单位）资产管理的整体水平。</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①对外投资行为是否经审批，是否存在投资亏损；</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②是否有因管理不当发生严重资产损失和丢失情况；</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③是否存在超标准配置资产；</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④资产使用是否规范，是否存在未经批准擅自出租、出借资产行为；</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⑤资产处置是否规范，是否存在不按要求进行报批或资产不公开处置行为；</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⑥其他资产管理制度办法执行情况。</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每有一项不合格扣1分，扣完为止。</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绩效管理（5）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绩效管理情况</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绩效管理情况：考核部门（单位）在绩效管理信息的汇总和应用情况。</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①部门（单位）是否及时对绩效信息进行汇总分析整理；</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②部门（单位）是否对绩效目标偏离情况及时进行矫正。</w:t>
            </w:r>
            <w:r>
              <w:rPr>
                <w:rFonts w:hint="eastAsia" w:ascii="仿宋_GB2312" w:hAnsi="仿宋_GB2312" w:eastAsia="仿宋_GB2312" w:cs="仿宋_GB2312"/>
                <w:sz w:val="28"/>
                <w:szCs w:val="28"/>
                <w:highlight w:val="none"/>
                <w:lang w:val="en-US" w:eastAsia="zh-CN"/>
              </w:rPr>
              <w:br w:type="textWrapping"/>
            </w:r>
            <w:r>
              <w:rPr>
                <w:rFonts w:hint="eastAsia" w:ascii="仿宋_GB2312" w:hAnsi="仿宋_GB2312" w:eastAsia="仿宋_GB2312" w:cs="仿宋_GB2312"/>
                <w:sz w:val="28"/>
                <w:szCs w:val="28"/>
                <w:highlight w:val="none"/>
                <w:lang w:val="en-US" w:eastAsia="zh-CN"/>
              </w:rPr>
              <w:t>每有一项不合格扣2.5分。</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9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部门预决算差异率（4）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部门预决算差异率</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通过年度部门决算与年初部门预算对比，对部门的年度支出情况进行考核，衡量部门预算的约束力。</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部门预决算差异率（绝对值）低于上年的不扣分；高于上年部门预决算差异率，每高出1个百分点扣0.4分，扣完为止。</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p>
        </w:tc>
        <w:tc>
          <w:tcPr>
            <w:tcW w:w="10215" w:type="dxa"/>
            <w:gridSpan w:val="6"/>
            <w:tcBorders>
              <w:top w:val="single" w:color="000000" w:sz="4" w:space="0"/>
              <w:left w:val="single" w:color="auto" w:sz="4" w:space="0"/>
              <w:bottom w:val="single" w:color="000000" w:sz="4" w:space="0"/>
              <w:right w:val="nil"/>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小计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119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合计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rPr>
            </w:pPr>
            <w:r>
              <w:rPr>
                <w:rFonts w:hint="eastAsia" w:ascii="仿宋_GB2312" w:hAnsi="仿宋_GB2312" w:eastAsia="仿宋_GB2312" w:cs="仿宋_GB2312"/>
                <w:sz w:val="28"/>
                <w:szCs w:val="28"/>
                <w:highlight w:val="none"/>
                <w:lang w:val="en-US" w:eastAsia="zh-CN"/>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99.6</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spacing w:line="560" w:lineRule="exact"/>
        <w:jc w:val="center"/>
        <w:rPr>
          <w:rFonts w:hint="eastAsia" w:ascii="宋体" w:hAnsi="宋体" w:eastAsia="宋体" w:cs="宋体"/>
          <w:b/>
          <w:bCs/>
          <w:sz w:val="32"/>
          <w:szCs w:val="32"/>
          <w:highlight w:val="none"/>
        </w:rPr>
      </w:pPr>
      <w:r>
        <w:rPr>
          <w:rFonts w:hint="eastAsia" w:ascii="楷体_GB2312" w:hAnsi="楷体_GB2312" w:eastAsia="楷体_GB2312" w:cs="楷体_GB2312"/>
          <w:b/>
          <w:bCs/>
          <w:sz w:val="44"/>
          <w:szCs w:val="44"/>
          <w:highlight w:val="none"/>
        </w:rPr>
        <w:br w:type="page"/>
      </w:r>
      <w:r>
        <w:rPr>
          <w:rFonts w:hint="eastAsia" w:ascii="宋体" w:hAnsi="宋体" w:eastAsia="宋体" w:cs="宋体"/>
          <w:b/>
          <w:bCs/>
          <w:sz w:val="32"/>
          <w:szCs w:val="32"/>
          <w:highlight w:val="none"/>
        </w:rPr>
        <w:t>项目支出绩效评价报告</w:t>
      </w:r>
    </w:p>
    <w:p>
      <w:pPr>
        <w:jc w:val="center"/>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一、基本情况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（一）项目背景</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1.项目立项依据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该项目根据《关于“十四五”时期深化推进“疏解整治 促提升”专项行动的实施意见》（京政发〔2021〕1号）和《大兴区河道综合整治与管理意见》的相关要求，遵循《大兴区礼贤镇进一步全面推进河长制工作方案》（兴礼政发〔2017〕52号）的规定。旨在全面达成河道“通畅、整洁、清澈、干净”的环境管理目标，提升永兴河道的景观效果，优化水生态环境，进一步推动礼贤镇水生态环境的构建，打造优质的人居环境，礼贤镇提出实施该项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2.项目实施主体</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该项目主管部门及申报单位均为礼贤镇，具体由北京市大兴区礼贤镇城镇建设服务中心（水务站）（以下简称镇水 务站）组织实施。</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（二）项目主要内容及目标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1.项目主要内容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该项目主要对大兴区永兴河道礼贤镇段开展打捞水中心区域的杂草、浮萍、芦苇等工作，对河道进行清理防止河道堵塞，同时改善周边环境，提升镇域整体环境质量。项目实施周期为 2023年12月26日至 2024年1月24日。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2.项目绩效目标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根据通过清理管护永兴河内水草治理，达到保障河道干净、整洁、美观。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（三）项目资金情况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该项目申请预算 940,956.00元，资金为疏整促资金。截至2023年12月31日，实际支出 0.00 元，截至评价日， 实际支出 940,956.00元，预算执行率为100.00%。</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（四）项目实施情况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项目实施阶段：2023 年12月20日，通过竞争性磋商方式，确定北京兴贤达建筑工程技术服务有限公司（以下简称兴贤达）为该项目的实施单位，2023 年12月22 日与兴贤达签订杂草治理合同，合同金额940,956.00元，实施周期 2023 年12月26日至 2024年1月24日，治理范围大兴区永兴河道（礼贤镇段）河道东至礼贤镇柏树庄村，西至西梁各庄村，</w:t>
      </w:r>
    </w:p>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河道长度约 10.88 公里，涉及面积约为 1027 亩，治理杂草 面积为 412700 平方米，杂草总预估量为 7690 立方米。</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项目验收阶段：2024年1月30 日由礼贤镇和兴贤达双方签署工程验收单，根据工程验收记录：大兴区永兴河道（礼 贤镇段）河道东至礼贤镇柏树庄村，西至西梁各庄村，长度约10.88 公里，面积约1027 亩，治理杂草面积为 412700 平 方米。通过清理河道杂草，河面水草，河底水草工作，保障河道、无明显淤积、无杂草丛生，确保河道行洪畅通，改善 营造水生态环境，实现人与水的和谐共生。完成情况为：大兴区永兴河道（礼贤镇段）全长约 10.88 公里，完成水草收割工作。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结算审核阶段：2024年7月3日完成结算审核，送审金额 940,956.00元，审定金额 940,956.00 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资金使用情况：2024年4月22日，拨付该项目50%工程款 470,478.00元。2024年8月14日，拨付该项目尾款 470,478.00 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（一）评价原则、方法和指标体系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该项目绩效评价遵循“客观、公正、科学、规范”的原则，采取定性与定量相结合的方式，结合项目的特点，采用 成本绩效分析法、比较法、公众评判法等方法，从项目决策、项目过程、项目产出、项目效益 4 个方面对该项目开展绩效 评价。绩效评价指标体系详见附件。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（二）绩效评价工作过程</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 xml:space="preserve">该项目依据项目单位提供的资料，经入户调研、现场踏勘、专家评价预备会、专家评价会等环节，根据专家组意见， 在征求财政部门及项目单位意见的基础上，形成最终报告。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三、综合评价情况及评价结论（附相关评分表）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val="0"/>
          <w:bCs/>
          <w:color w:val="000000"/>
          <w:kern w:val="0"/>
          <w:sz w:val="28"/>
          <w:szCs w:val="28"/>
          <w:highlight w:val="none"/>
          <w:lang w:val="en-US" w:eastAsia="zh-CN"/>
        </w:rPr>
        <w:t>通过实施该项目，达到了河道“通畅、整洁、清澈、干净”的环境管理目标，改善了水生态环境、提升了礼贤镇永 兴河道周边整体环境质量的效果。但仍存在项目立项依据不 充分，年初预算安排不精准；预算编制科学性不足，成本控 制有待加强；项目管理不规范，过程管理有待加强；满意度 调查有待进一步加强；绩效指标设置不够规范，项目效益呈现不足等问题。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eastAsia="zh-CN"/>
        </w:rPr>
      </w:pPr>
      <w:r>
        <w:rPr>
          <w:rFonts w:hint="eastAsia" w:ascii="仿宋_GB2312" w:hAnsi="仿宋_GB2312" w:eastAsia="仿宋_GB2312" w:cs="仿宋_GB2312"/>
          <w:b w:val="0"/>
          <w:bCs/>
          <w:color w:val="000000"/>
          <w:kern w:val="0"/>
          <w:sz w:val="28"/>
          <w:szCs w:val="28"/>
          <w:highlight w:val="none"/>
          <w:lang w:val="en-US" w:eastAsia="zh-CN"/>
        </w:rPr>
        <w:t>该项目评价得分 75.96 分，绩效级别为“ 中”。其中，项目决策得分为 7.06 分，项目过程得分为 16.40 分，项 目 产出得分为 30.20 分，项目效益得分为 22.30 分。评分情况详见附件。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CN"/>
        </w:rPr>
        <w:t>一</w:t>
      </w:r>
      <w:r>
        <w:rPr>
          <w:rFonts w:hint="eastAsia" w:ascii="仿宋_GB2312" w:hAnsi="仿宋_GB2312" w:eastAsia="仿宋_GB2312" w:cs="仿宋_GB2312"/>
          <w:color w:val="000000"/>
          <w:kern w:val="0"/>
          <w:sz w:val="28"/>
          <w:szCs w:val="28"/>
          <w:highlight w:val="none"/>
        </w:rPr>
        <w:t>）项目产出情况。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该项目基本完成对大兴区永兴河道（礼贤镇段）的杂草 治理。打捞清除水草面积 412,700 平米，清运总量 7690 立 方米。按照镇水务站提供的转运车辆确认单，转运车辆数合 计 258 车。</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CN"/>
        </w:rPr>
        <w:t>二</w:t>
      </w:r>
      <w:r>
        <w:rPr>
          <w:rFonts w:hint="eastAsia" w:ascii="仿宋_GB2312" w:hAnsi="仿宋_GB2312" w:eastAsia="仿宋_GB2312" w:cs="仿宋_GB2312"/>
          <w:color w:val="000000"/>
          <w:kern w:val="0"/>
          <w:sz w:val="28"/>
          <w:szCs w:val="28"/>
          <w:highlight w:val="none"/>
        </w:rPr>
        <w:t>）项目效益情况。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该项目按照任务要求，实施了河道杂草的清理工作。通过实施该项目保证了河道通畅、行洪能力，河道无明显淤积， 改善了水生态环境，提升了礼贤镇永兴河道周边环境的整体质量。</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为了评估项目的实施效果和居民满意度，礼贤镇开展满意度调查工作，共发放问卷 40 份，收回 40 份。调查结果反映居民对项目实施的满意度较高，群众满意度为95%。</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（一）项目立项依据不充分，年初预算安排不精准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一是该项目与其他河道整治专项的资金使用界限不够 清晰。该项目决策资料未说明，礼贤镇河道治理工作整体预 算安排情况，未充分体现在优先使用河长制工作资金、大兴 区河道综合整治补贴资金等专项资金的基础上，安排使用疏 整促资金的必要性。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二是该项目为礼贤镇经常性项目，以追加调整预算方式 安排财政资金，年初预算安排不精准，预算申报和编审有待 进一步提高。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（二）预算编制科学性不足，成本控制有待加强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预算编制的依据不充分。根据单位提供资料永定河河道 面积约 684670 平方米，合同约定治理杂草面积为 412700 平方米，核心工程量治理杂草面积计算方法不明确，计算方法 科学性有待考量。三是成本构成不细化。作为延续性项目，2022 年治理杂单位成本为119.00 元/立方米，2023 年治理 杂草单位成本为122.00 元/立方米，项目预算未细化到各分项工程，如杂草打捞、杂草清运和杂草消纳等，成本上升原因不明。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（三）项目管理不规范，过程管理有待加强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一是项目实施方案不完整。礼贤镇《河道治理方案》中未明确过程检查、验收方式等，同时未见承包方应提交的施  工安排和进度安排。二是过程管理有待提高。过程监督检查资料仅提供实施过程照片，缺少对施工单位的监管文字留痕  资料，清除杂草的面积由施工单位测定，缺少项目单位确认复核环节，责任主体不明确；三是项目工期不合理。根据项  目单位提交的绩效报告，该项目年度阶段性目标为“开展打捞水中心区域的杂草、浮萍、芦苇等，确保雨季不堵塞河道， 不影响泄洪，在干燥季节冬季不会有火灾隐患”，项目实施工期 2023年12月26 日至 2024年1月24 日，已进入冬季48天，无法保障目标实现。四是工程量与整体目标匹配性不足。项目单位仅提供转运车辆确认单，转运车辆数量合计 258车，未提供车辆实际载运信息，无法确定实际打捞清除水草数量是否达到合同工程量，工作量与目标对应佐证依据不足。</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 四）满意度调查有待进一步加强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调查问卷设计简单，仅设置“整体环境”“水面环境”“施工进度”三个调查问题。样本量较少，仅40份调查问卷，调查结果代表性不强。缺少对满意度调查结果的分析。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（五）绩效指标设置不够规范，项目效益呈现不足</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数量指标设置“清理管护河道人数”不合理，与项目实际产出相关性不强。质量指标设置“清理水草频率”，指标 值为“ 1 次/年”，指标设置不合理，清理水草频率无法用于评价项目产出质量。成本指标设置为项目整体预算，对成本控制的约束力不强。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jc w:val="both"/>
        <w:textAlignment w:val="auto"/>
        <w:rPr>
          <w:rFonts w:hint="eastAsia" w:ascii="黑体" w:hAnsi="黑体" w:eastAsia="黑体" w:cs="黑体"/>
          <w:b w:val="0"/>
          <w:bCs/>
          <w:color w:val="000000"/>
          <w:kern w:val="0"/>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jc w:val="both"/>
        <w:textAlignment w:val="auto"/>
        <w:rPr>
          <w:rFonts w:hint="eastAsia" w:ascii="黑体" w:hAnsi="黑体" w:eastAsia="黑体" w:cs="黑体"/>
          <w:b w:val="0"/>
          <w:bCs/>
          <w:color w:val="000000"/>
          <w:kern w:val="0"/>
          <w:sz w:val="28"/>
          <w:szCs w:val="28"/>
          <w:highlight w:val="none"/>
        </w:rPr>
      </w:pP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有关建议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（一）加强项目立项管理，提高决策科学性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一是建议礼贤镇明确该项目与其他河道整治专项资金使用的边界，提高决策科学性。二是提高年初预算安排的精准性，对于确实需要追加预算的情况，明确的审批流程和标准。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（二）强化成本核算，提高预算编制的科学性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明确杂草面积的数据核算方式，确保数据的可靠性和准确性。明确分项工程预算，并将整体项目预算细化到各个分 项工程，包括杂草打捞、清运和消纳等，确保预算的合理性。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（三）完善过程管理机制，提高管理水平</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一是完善《河道治理方案》，明确验收标准、施工设计安排和进度安排等关键内容。二是做好项目实施过程中的监 管记录、验收、工作量确认等佐证资料留痕，确保过程档案 可追溯和可验证。三是合理规划工期，考虑到季节变化对施 工的影响，确保任务目标完成。四是梳理工程量核算材料</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包括转运车辆确认单、验收报告等，确保工程量的准确性。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（四）加强满意度调查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重视满意度调查工作，科学设计调查问卷，明确调查对象，及时开展满意度调查，加强问卷的统计分析和结果应用， 持续推进项目绩效的改善和提升。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（五）规范绩效目标指标，强化绩效意识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建议项目单位按照指向明确、细化、量化、可衡量可评 价的原则设置绩效指标。在预算申报阶段，重视绩效目标填报工作，做好前期调研论证，结合实际情况，将目标细化量 化为具体绩效指标，保障指标完整性，增加绩效指标的可衡量性，发挥绩效目标及指标对项目的指导和约束作用。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七、其他需要说明的问题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本报告是工作组根据对该项目提供的材料进行全面分析，结合调研情况，在专家评价意见的基础上综合形成的。 本报告的结论与意见是参考性的，仅供预算管理使用，不做其他用途。</w:t>
      </w:r>
    </w:p>
    <w:p>
      <w:pPr>
        <w:rPr>
          <w:highlight w:val="none"/>
        </w:rPr>
      </w:pPr>
    </w:p>
    <w:p>
      <w:pPr>
        <w:spacing w:before="184" w:line="230" w:lineRule="auto"/>
        <w:ind w:left="282"/>
        <w:rPr>
          <w:rFonts w:ascii="SimHei" w:hAnsi="SimHei" w:eastAsia="SimHei" w:cs="SimHei"/>
          <w:sz w:val="31"/>
          <w:szCs w:val="31"/>
        </w:rPr>
      </w:pPr>
      <w:r>
        <w:rPr>
          <w:rFonts w:ascii="SimHei" w:hAnsi="SimHei" w:eastAsia="SimHei" w:cs="SimHei"/>
          <w:spacing w:val="-6"/>
          <w:sz w:val="31"/>
          <w:szCs w:val="31"/>
        </w:rPr>
        <w:t>附件</w:t>
      </w:r>
    </w:p>
    <w:p>
      <w:pPr>
        <w:spacing w:before="39" w:line="212" w:lineRule="auto"/>
        <w:ind w:left="2452"/>
        <w:rPr>
          <w:rFonts w:ascii="宋体" w:hAnsi="宋体" w:eastAsia="宋体" w:cs="宋体"/>
          <w:sz w:val="28"/>
          <w:szCs w:val="28"/>
        </w:rPr>
      </w:pPr>
      <w:r>
        <w:rPr>
          <w:rFonts w:ascii="宋体" w:hAnsi="宋体" w:eastAsia="宋体" w:cs="宋体"/>
          <w:b/>
          <w:bCs/>
          <w:spacing w:val="-3"/>
          <w:sz w:val="28"/>
          <w:szCs w:val="28"/>
        </w:rPr>
        <w:t>项目绩效评价指标体系及评分表</w:t>
      </w:r>
    </w:p>
    <w:tbl>
      <w:tblPr>
        <w:tblStyle w:val="24"/>
        <w:tblW w:w="88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5"/>
        <w:gridCol w:w="1133"/>
        <w:gridCol w:w="645"/>
        <w:gridCol w:w="1905"/>
        <w:gridCol w:w="709"/>
        <w:gridCol w:w="809"/>
        <w:gridCol w:w="249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105" w:type="dxa"/>
            <w:vAlign w:val="top"/>
          </w:tcPr>
          <w:p>
            <w:pPr>
              <w:spacing w:before="213" w:line="228" w:lineRule="auto"/>
              <w:ind w:left="139"/>
              <w:rPr>
                <w:rFonts w:ascii="宋体" w:hAnsi="宋体" w:eastAsia="宋体" w:cs="宋体"/>
                <w:sz w:val="20"/>
                <w:szCs w:val="20"/>
              </w:rPr>
            </w:pPr>
            <w:r>
              <w:rPr>
                <w:rFonts w:ascii="宋体" w:hAnsi="宋体" w:eastAsia="宋体" w:cs="宋体"/>
                <w:b/>
                <w:bCs/>
                <w:spacing w:val="5"/>
                <w:sz w:val="20"/>
                <w:szCs w:val="20"/>
              </w:rPr>
              <w:t>一级指标</w:t>
            </w:r>
          </w:p>
        </w:tc>
        <w:tc>
          <w:tcPr>
            <w:tcW w:w="1133" w:type="dxa"/>
            <w:vAlign w:val="top"/>
          </w:tcPr>
          <w:p>
            <w:pPr>
              <w:spacing w:before="213" w:line="228" w:lineRule="auto"/>
              <w:ind w:left="152"/>
              <w:rPr>
                <w:rFonts w:ascii="宋体" w:hAnsi="宋体" w:eastAsia="宋体" w:cs="宋体"/>
                <w:sz w:val="20"/>
                <w:szCs w:val="20"/>
              </w:rPr>
            </w:pPr>
            <w:r>
              <w:rPr>
                <w:rFonts w:ascii="宋体" w:hAnsi="宋体" w:eastAsia="宋体" w:cs="宋体"/>
                <w:b/>
                <w:bCs/>
                <w:spacing w:val="5"/>
                <w:sz w:val="20"/>
                <w:szCs w:val="20"/>
              </w:rPr>
              <w:t>二级指标</w:t>
            </w:r>
          </w:p>
        </w:tc>
        <w:tc>
          <w:tcPr>
            <w:tcW w:w="645" w:type="dxa"/>
            <w:vAlign w:val="top"/>
          </w:tcPr>
          <w:p>
            <w:pPr>
              <w:spacing w:before="213" w:line="228" w:lineRule="auto"/>
              <w:ind w:left="118"/>
              <w:rPr>
                <w:rFonts w:ascii="宋体" w:hAnsi="宋体" w:eastAsia="宋体" w:cs="宋体"/>
                <w:sz w:val="20"/>
                <w:szCs w:val="20"/>
              </w:rPr>
            </w:pPr>
            <w:r>
              <w:rPr>
                <w:rFonts w:ascii="宋体" w:hAnsi="宋体" w:eastAsia="宋体" w:cs="宋体"/>
                <w:b/>
                <w:bCs/>
                <w:spacing w:val="2"/>
                <w:sz w:val="20"/>
                <w:szCs w:val="20"/>
              </w:rPr>
              <w:t>分值</w:t>
            </w:r>
          </w:p>
        </w:tc>
        <w:tc>
          <w:tcPr>
            <w:tcW w:w="1905" w:type="dxa"/>
            <w:vAlign w:val="top"/>
          </w:tcPr>
          <w:p>
            <w:pPr>
              <w:spacing w:before="213" w:line="228" w:lineRule="auto"/>
              <w:ind w:left="536"/>
              <w:rPr>
                <w:rFonts w:ascii="宋体" w:hAnsi="宋体" w:eastAsia="宋体" w:cs="宋体"/>
                <w:sz w:val="20"/>
                <w:szCs w:val="20"/>
              </w:rPr>
            </w:pPr>
            <w:r>
              <w:rPr>
                <w:rFonts w:ascii="宋体" w:hAnsi="宋体" w:eastAsia="宋体" w:cs="宋体"/>
                <w:b/>
                <w:bCs/>
                <w:spacing w:val="6"/>
                <w:sz w:val="20"/>
                <w:szCs w:val="20"/>
              </w:rPr>
              <w:t>三级指标</w:t>
            </w:r>
          </w:p>
        </w:tc>
        <w:tc>
          <w:tcPr>
            <w:tcW w:w="709" w:type="dxa"/>
            <w:vAlign w:val="top"/>
          </w:tcPr>
          <w:p>
            <w:pPr>
              <w:spacing w:before="213" w:line="228" w:lineRule="auto"/>
              <w:ind w:left="150"/>
              <w:rPr>
                <w:rFonts w:ascii="宋体" w:hAnsi="宋体" w:eastAsia="宋体" w:cs="宋体"/>
                <w:sz w:val="20"/>
                <w:szCs w:val="20"/>
              </w:rPr>
            </w:pPr>
            <w:r>
              <w:rPr>
                <w:rFonts w:ascii="宋体" w:hAnsi="宋体" w:eastAsia="宋体" w:cs="宋体"/>
                <w:b/>
                <w:bCs/>
                <w:spacing w:val="2"/>
                <w:sz w:val="20"/>
                <w:szCs w:val="20"/>
              </w:rPr>
              <w:t>分值</w:t>
            </w:r>
          </w:p>
        </w:tc>
        <w:tc>
          <w:tcPr>
            <w:tcW w:w="809" w:type="dxa"/>
            <w:vAlign w:val="top"/>
          </w:tcPr>
          <w:p>
            <w:pPr>
              <w:spacing w:before="57" w:line="261" w:lineRule="auto"/>
              <w:ind w:left="198" w:right="192" w:firstLine="1"/>
              <w:rPr>
                <w:rFonts w:ascii="宋体" w:hAnsi="宋体" w:eastAsia="宋体" w:cs="宋体"/>
                <w:sz w:val="20"/>
                <w:szCs w:val="20"/>
              </w:rPr>
            </w:pPr>
            <w:r>
              <w:rPr>
                <w:rFonts w:ascii="宋体" w:hAnsi="宋体" w:eastAsia="宋体" w:cs="宋体"/>
                <w:b/>
                <w:bCs/>
                <w:spacing w:val="3"/>
                <w:sz w:val="20"/>
                <w:szCs w:val="20"/>
              </w:rPr>
              <w:t>专家</w:t>
            </w:r>
            <w:r>
              <w:rPr>
                <w:rFonts w:ascii="宋体" w:hAnsi="宋体" w:eastAsia="宋体" w:cs="宋体"/>
                <w:sz w:val="20"/>
                <w:szCs w:val="20"/>
              </w:rPr>
              <w:t xml:space="preserve"> </w:t>
            </w:r>
            <w:r>
              <w:rPr>
                <w:rFonts w:ascii="宋体" w:hAnsi="宋体" w:eastAsia="宋体" w:cs="宋体"/>
                <w:b/>
                <w:bCs/>
                <w:spacing w:val="4"/>
                <w:sz w:val="20"/>
                <w:szCs w:val="20"/>
              </w:rPr>
              <w:t>评分</w:t>
            </w:r>
          </w:p>
        </w:tc>
        <w:tc>
          <w:tcPr>
            <w:tcW w:w="2499" w:type="dxa"/>
            <w:vAlign w:val="top"/>
          </w:tcPr>
          <w:p>
            <w:pPr>
              <w:spacing w:before="213" w:line="228" w:lineRule="auto"/>
              <w:ind w:left="836"/>
              <w:rPr>
                <w:rFonts w:ascii="宋体" w:hAnsi="宋体" w:eastAsia="宋体" w:cs="宋体"/>
                <w:sz w:val="20"/>
                <w:szCs w:val="20"/>
              </w:rPr>
            </w:pPr>
            <w:r>
              <w:rPr>
                <w:rFonts w:ascii="宋体" w:hAnsi="宋体" w:eastAsia="宋体" w:cs="宋体"/>
                <w:b/>
                <w:bCs/>
                <w:spacing w:val="5"/>
                <w:sz w:val="20"/>
                <w:szCs w:val="20"/>
              </w:rPr>
              <w:t>扣分理由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105"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5" w:line="274" w:lineRule="auto"/>
              <w:ind w:left="126" w:right="119" w:firstLine="226"/>
              <w:rPr>
                <w:rFonts w:ascii="宋体" w:hAnsi="宋体" w:eastAsia="宋体" w:cs="宋体"/>
                <w:sz w:val="20"/>
                <w:szCs w:val="20"/>
              </w:rPr>
            </w:pPr>
            <w:r>
              <w:rPr>
                <w:rFonts w:ascii="宋体" w:hAnsi="宋体" w:eastAsia="宋体" w:cs="宋体"/>
                <w:spacing w:val="1"/>
                <w:sz w:val="20"/>
                <w:szCs w:val="20"/>
              </w:rPr>
              <w:t>决策</w:t>
            </w:r>
            <w:r>
              <w:rPr>
                <w:rFonts w:ascii="宋体" w:hAnsi="宋体" w:eastAsia="宋体" w:cs="宋体"/>
                <w:sz w:val="20"/>
                <w:szCs w:val="20"/>
              </w:rPr>
              <w:t xml:space="preserve">   </w:t>
            </w:r>
            <w:r>
              <w:rPr>
                <w:rFonts w:ascii="宋体" w:hAnsi="宋体" w:eastAsia="宋体" w:cs="宋体"/>
                <w:spacing w:val="-2"/>
                <w:sz w:val="20"/>
                <w:szCs w:val="20"/>
              </w:rPr>
              <w:t>（10</w:t>
            </w:r>
            <w:r>
              <w:rPr>
                <w:rFonts w:ascii="宋体" w:hAnsi="宋体" w:eastAsia="宋体" w:cs="宋体"/>
                <w:spacing w:val="-37"/>
                <w:sz w:val="20"/>
                <w:szCs w:val="20"/>
              </w:rPr>
              <w:t xml:space="preserve"> </w:t>
            </w:r>
            <w:r>
              <w:rPr>
                <w:rFonts w:ascii="宋体" w:hAnsi="宋体" w:eastAsia="宋体" w:cs="宋体"/>
                <w:spacing w:val="-2"/>
                <w:sz w:val="20"/>
                <w:szCs w:val="20"/>
              </w:rPr>
              <w:t>分）</w:t>
            </w:r>
          </w:p>
        </w:tc>
        <w:tc>
          <w:tcPr>
            <w:tcW w:w="1133" w:type="dxa"/>
            <w:vMerge w:val="restart"/>
            <w:tcBorders>
              <w:bottom w:val="nil"/>
            </w:tcBorders>
            <w:vAlign w:val="top"/>
          </w:tcPr>
          <w:p>
            <w:pPr>
              <w:spacing w:line="265" w:lineRule="auto"/>
              <w:rPr>
                <w:rFonts w:ascii="Arial"/>
                <w:sz w:val="21"/>
              </w:rPr>
            </w:pPr>
          </w:p>
          <w:p>
            <w:pPr>
              <w:spacing w:before="65" w:line="228" w:lineRule="auto"/>
              <w:ind w:left="155"/>
              <w:rPr>
                <w:rFonts w:ascii="宋体" w:hAnsi="宋体" w:eastAsia="宋体" w:cs="宋体"/>
                <w:sz w:val="20"/>
                <w:szCs w:val="20"/>
              </w:rPr>
            </w:pPr>
            <w:r>
              <w:rPr>
                <w:rFonts w:ascii="宋体" w:hAnsi="宋体" w:eastAsia="宋体" w:cs="宋体"/>
                <w:spacing w:val="6"/>
                <w:sz w:val="20"/>
                <w:szCs w:val="20"/>
              </w:rPr>
              <w:t>项目立项</w:t>
            </w:r>
          </w:p>
        </w:tc>
        <w:tc>
          <w:tcPr>
            <w:tcW w:w="645" w:type="dxa"/>
            <w:vMerge w:val="restart"/>
            <w:tcBorders>
              <w:bottom w:val="nil"/>
            </w:tcBorders>
            <w:vAlign w:val="top"/>
          </w:tcPr>
          <w:p>
            <w:pPr>
              <w:spacing w:line="297" w:lineRule="auto"/>
              <w:rPr>
                <w:rFonts w:ascii="Arial"/>
                <w:sz w:val="21"/>
              </w:rPr>
            </w:pPr>
          </w:p>
          <w:p>
            <w:pPr>
              <w:spacing w:before="65" w:line="189" w:lineRule="auto"/>
              <w:ind w:left="278"/>
              <w:rPr>
                <w:rFonts w:ascii="宋体" w:hAnsi="宋体" w:eastAsia="宋体" w:cs="宋体"/>
                <w:sz w:val="20"/>
                <w:szCs w:val="20"/>
              </w:rPr>
            </w:pPr>
            <w:r>
              <w:rPr>
                <w:rFonts w:ascii="宋体" w:hAnsi="宋体" w:eastAsia="宋体" w:cs="宋体"/>
                <w:sz w:val="20"/>
                <w:szCs w:val="20"/>
              </w:rPr>
              <w:t>3</w:t>
            </w:r>
          </w:p>
        </w:tc>
        <w:tc>
          <w:tcPr>
            <w:tcW w:w="1905" w:type="dxa"/>
            <w:vAlign w:val="top"/>
          </w:tcPr>
          <w:p>
            <w:pPr>
              <w:spacing w:before="124" w:line="227" w:lineRule="auto"/>
              <w:ind w:left="221"/>
              <w:rPr>
                <w:rFonts w:ascii="宋体" w:hAnsi="宋体" w:eastAsia="宋体" w:cs="宋体"/>
                <w:sz w:val="20"/>
                <w:szCs w:val="20"/>
              </w:rPr>
            </w:pPr>
            <w:r>
              <w:rPr>
                <w:rFonts w:ascii="宋体" w:hAnsi="宋体" w:eastAsia="宋体" w:cs="宋体"/>
                <w:spacing w:val="8"/>
                <w:sz w:val="20"/>
                <w:szCs w:val="20"/>
              </w:rPr>
              <w:t>立项依据充分性</w:t>
            </w:r>
          </w:p>
        </w:tc>
        <w:tc>
          <w:tcPr>
            <w:tcW w:w="709" w:type="dxa"/>
            <w:vAlign w:val="top"/>
          </w:tcPr>
          <w:p>
            <w:pPr>
              <w:spacing w:before="157" w:line="189" w:lineRule="auto"/>
              <w:ind w:left="324"/>
              <w:rPr>
                <w:rFonts w:ascii="宋体" w:hAnsi="宋体" w:eastAsia="宋体" w:cs="宋体"/>
                <w:sz w:val="20"/>
                <w:szCs w:val="20"/>
              </w:rPr>
            </w:pPr>
            <w:r>
              <w:rPr>
                <w:rFonts w:ascii="宋体" w:hAnsi="宋体" w:eastAsia="宋体" w:cs="宋体"/>
                <w:sz w:val="20"/>
                <w:szCs w:val="20"/>
              </w:rPr>
              <w:t>1</w:t>
            </w:r>
          </w:p>
        </w:tc>
        <w:tc>
          <w:tcPr>
            <w:tcW w:w="809" w:type="dxa"/>
            <w:vAlign w:val="top"/>
          </w:tcPr>
          <w:p>
            <w:pPr>
              <w:spacing w:before="157" w:line="189" w:lineRule="auto"/>
              <w:ind w:left="201"/>
              <w:rPr>
                <w:rFonts w:ascii="宋体" w:hAnsi="宋体" w:eastAsia="宋体" w:cs="宋体"/>
                <w:sz w:val="20"/>
                <w:szCs w:val="20"/>
              </w:rPr>
            </w:pPr>
            <w:r>
              <w:rPr>
                <w:rFonts w:ascii="宋体" w:hAnsi="宋体" w:eastAsia="宋体" w:cs="宋体"/>
                <w:spacing w:val="2"/>
                <w:sz w:val="20"/>
                <w:szCs w:val="20"/>
              </w:rPr>
              <w:t>0.72</w:t>
            </w:r>
          </w:p>
        </w:tc>
        <w:tc>
          <w:tcPr>
            <w:tcW w:w="2499" w:type="dxa"/>
            <w:vAlign w:val="top"/>
          </w:tcPr>
          <w:p>
            <w:pPr>
              <w:spacing w:before="124" w:line="228" w:lineRule="auto"/>
              <w:ind w:left="118"/>
              <w:rPr>
                <w:rFonts w:ascii="宋体" w:hAnsi="宋体" w:eastAsia="宋体" w:cs="宋体"/>
                <w:sz w:val="20"/>
                <w:szCs w:val="20"/>
              </w:rPr>
            </w:pPr>
            <w:r>
              <w:rPr>
                <w:rFonts w:ascii="宋体" w:hAnsi="宋体" w:eastAsia="宋体" w:cs="宋体"/>
                <w:spacing w:val="7"/>
                <w:sz w:val="20"/>
                <w:szCs w:val="20"/>
              </w:rPr>
              <w:t>项目资金使用界限不清。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105" w:type="dxa"/>
            <w:vMerge w:val="continue"/>
            <w:tcBorders>
              <w:top w:val="nil"/>
              <w:bottom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645" w:type="dxa"/>
            <w:vMerge w:val="continue"/>
            <w:tcBorders>
              <w:top w:val="nil"/>
            </w:tcBorders>
            <w:vAlign w:val="top"/>
          </w:tcPr>
          <w:p>
            <w:pPr>
              <w:rPr>
                <w:rFonts w:ascii="Arial"/>
                <w:sz w:val="21"/>
              </w:rPr>
            </w:pPr>
          </w:p>
        </w:tc>
        <w:tc>
          <w:tcPr>
            <w:tcW w:w="1905" w:type="dxa"/>
            <w:vAlign w:val="top"/>
          </w:tcPr>
          <w:p>
            <w:pPr>
              <w:spacing w:before="95" w:line="228" w:lineRule="auto"/>
              <w:ind w:left="221"/>
              <w:rPr>
                <w:rFonts w:ascii="宋体" w:hAnsi="宋体" w:eastAsia="宋体" w:cs="宋体"/>
                <w:sz w:val="20"/>
                <w:szCs w:val="20"/>
              </w:rPr>
            </w:pPr>
            <w:r>
              <w:rPr>
                <w:rFonts w:ascii="宋体" w:hAnsi="宋体" w:eastAsia="宋体" w:cs="宋体"/>
                <w:spacing w:val="8"/>
                <w:sz w:val="20"/>
                <w:szCs w:val="20"/>
              </w:rPr>
              <w:t>立项程序规范性</w:t>
            </w:r>
          </w:p>
        </w:tc>
        <w:tc>
          <w:tcPr>
            <w:tcW w:w="709" w:type="dxa"/>
            <w:vAlign w:val="top"/>
          </w:tcPr>
          <w:p>
            <w:pPr>
              <w:spacing w:before="127" w:line="189" w:lineRule="auto"/>
              <w:ind w:left="311"/>
              <w:rPr>
                <w:rFonts w:ascii="宋体" w:hAnsi="宋体" w:eastAsia="宋体" w:cs="宋体"/>
                <w:sz w:val="20"/>
                <w:szCs w:val="20"/>
              </w:rPr>
            </w:pPr>
            <w:r>
              <w:rPr>
                <w:rFonts w:ascii="宋体" w:hAnsi="宋体" w:eastAsia="宋体" w:cs="宋体"/>
                <w:sz w:val="20"/>
                <w:szCs w:val="20"/>
              </w:rPr>
              <w:t>2</w:t>
            </w:r>
          </w:p>
        </w:tc>
        <w:tc>
          <w:tcPr>
            <w:tcW w:w="809" w:type="dxa"/>
            <w:vAlign w:val="top"/>
          </w:tcPr>
          <w:p>
            <w:pPr>
              <w:spacing w:before="127" w:line="190" w:lineRule="auto"/>
              <w:ind w:left="215"/>
              <w:rPr>
                <w:rFonts w:ascii="宋体" w:hAnsi="宋体" w:eastAsia="宋体" w:cs="宋体"/>
                <w:sz w:val="20"/>
                <w:szCs w:val="20"/>
              </w:rPr>
            </w:pPr>
            <w:r>
              <w:rPr>
                <w:rFonts w:ascii="宋体" w:hAnsi="宋体" w:eastAsia="宋体" w:cs="宋体"/>
                <w:spacing w:val="-1"/>
                <w:sz w:val="20"/>
                <w:szCs w:val="20"/>
              </w:rPr>
              <w:t>1.46</w:t>
            </w:r>
          </w:p>
        </w:tc>
        <w:tc>
          <w:tcPr>
            <w:tcW w:w="2499" w:type="dxa"/>
            <w:vAlign w:val="top"/>
          </w:tcPr>
          <w:p>
            <w:pPr>
              <w:spacing w:before="94" w:line="228" w:lineRule="auto"/>
              <w:ind w:left="115"/>
              <w:rPr>
                <w:rFonts w:ascii="宋体" w:hAnsi="宋体" w:eastAsia="宋体" w:cs="宋体"/>
                <w:sz w:val="20"/>
                <w:szCs w:val="20"/>
              </w:rPr>
            </w:pPr>
            <w:r>
              <w:rPr>
                <w:rFonts w:ascii="宋体" w:hAnsi="宋体" w:eastAsia="宋体" w:cs="宋体"/>
                <w:spacing w:val="7"/>
                <w:sz w:val="20"/>
                <w:szCs w:val="20"/>
              </w:rPr>
              <w:t>缺少调整决策资料。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05" w:type="dxa"/>
            <w:vMerge w:val="continue"/>
            <w:tcBorders>
              <w:top w:val="nil"/>
              <w:bottom w:val="nil"/>
            </w:tcBorders>
            <w:vAlign w:val="top"/>
          </w:tcPr>
          <w:p>
            <w:pPr>
              <w:rPr>
                <w:rFonts w:ascii="Arial"/>
                <w:sz w:val="21"/>
              </w:rPr>
            </w:pPr>
          </w:p>
        </w:tc>
        <w:tc>
          <w:tcPr>
            <w:tcW w:w="1133" w:type="dxa"/>
            <w:vMerge w:val="restart"/>
            <w:tcBorders>
              <w:bottom w:val="nil"/>
            </w:tcBorders>
            <w:vAlign w:val="top"/>
          </w:tcPr>
          <w:p>
            <w:pPr>
              <w:spacing w:line="401" w:lineRule="auto"/>
              <w:rPr>
                <w:rFonts w:ascii="Arial"/>
                <w:sz w:val="21"/>
              </w:rPr>
            </w:pPr>
          </w:p>
          <w:p>
            <w:pPr>
              <w:spacing w:before="65" w:line="228" w:lineRule="auto"/>
              <w:ind w:left="155"/>
              <w:rPr>
                <w:rFonts w:ascii="宋体" w:hAnsi="宋体" w:eastAsia="宋体" w:cs="宋体"/>
                <w:sz w:val="20"/>
                <w:szCs w:val="20"/>
              </w:rPr>
            </w:pPr>
            <w:r>
              <w:rPr>
                <w:rFonts w:ascii="宋体" w:hAnsi="宋体" w:eastAsia="宋体" w:cs="宋体"/>
                <w:spacing w:val="6"/>
                <w:sz w:val="20"/>
                <w:szCs w:val="20"/>
              </w:rPr>
              <w:t>绩效目标</w:t>
            </w:r>
          </w:p>
        </w:tc>
        <w:tc>
          <w:tcPr>
            <w:tcW w:w="645" w:type="dxa"/>
            <w:vMerge w:val="restart"/>
            <w:tcBorders>
              <w:bottom w:val="nil"/>
            </w:tcBorders>
            <w:vAlign w:val="top"/>
          </w:tcPr>
          <w:p>
            <w:pPr>
              <w:spacing w:line="433" w:lineRule="auto"/>
              <w:rPr>
                <w:rFonts w:ascii="Arial"/>
                <w:sz w:val="21"/>
              </w:rPr>
            </w:pPr>
          </w:p>
          <w:p>
            <w:pPr>
              <w:spacing w:before="65" w:line="189" w:lineRule="auto"/>
              <w:ind w:left="273"/>
              <w:rPr>
                <w:rFonts w:ascii="宋体" w:hAnsi="宋体" w:eastAsia="宋体" w:cs="宋体"/>
                <w:sz w:val="20"/>
                <w:szCs w:val="20"/>
              </w:rPr>
            </w:pPr>
            <w:r>
              <w:rPr>
                <w:rFonts w:ascii="宋体" w:hAnsi="宋体" w:eastAsia="宋体" w:cs="宋体"/>
                <w:sz w:val="20"/>
                <w:szCs w:val="20"/>
              </w:rPr>
              <w:t>4</w:t>
            </w:r>
          </w:p>
        </w:tc>
        <w:tc>
          <w:tcPr>
            <w:tcW w:w="1905" w:type="dxa"/>
            <w:vAlign w:val="top"/>
          </w:tcPr>
          <w:p>
            <w:pPr>
              <w:spacing w:before="209" w:line="228" w:lineRule="auto"/>
              <w:ind w:left="225"/>
              <w:rPr>
                <w:rFonts w:ascii="宋体" w:hAnsi="宋体" w:eastAsia="宋体" w:cs="宋体"/>
                <w:sz w:val="20"/>
                <w:szCs w:val="20"/>
              </w:rPr>
            </w:pPr>
            <w:r>
              <w:rPr>
                <w:rFonts w:ascii="宋体" w:hAnsi="宋体" w:eastAsia="宋体" w:cs="宋体"/>
                <w:spacing w:val="8"/>
                <w:sz w:val="20"/>
                <w:szCs w:val="20"/>
              </w:rPr>
              <w:t>绩效目标合理性</w:t>
            </w:r>
          </w:p>
        </w:tc>
        <w:tc>
          <w:tcPr>
            <w:tcW w:w="709" w:type="dxa"/>
            <w:vAlign w:val="top"/>
          </w:tcPr>
          <w:p>
            <w:pPr>
              <w:spacing w:before="242" w:line="189" w:lineRule="auto"/>
              <w:ind w:left="311"/>
              <w:rPr>
                <w:rFonts w:ascii="宋体" w:hAnsi="宋体" w:eastAsia="宋体" w:cs="宋体"/>
                <w:sz w:val="20"/>
                <w:szCs w:val="20"/>
              </w:rPr>
            </w:pPr>
            <w:r>
              <w:rPr>
                <w:rFonts w:ascii="宋体" w:hAnsi="宋体" w:eastAsia="宋体" w:cs="宋体"/>
                <w:sz w:val="20"/>
                <w:szCs w:val="20"/>
              </w:rPr>
              <w:t>2</w:t>
            </w:r>
          </w:p>
        </w:tc>
        <w:tc>
          <w:tcPr>
            <w:tcW w:w="809" w:type="dxa"/>
            <w:vAlign w:val="top"/>
          </w:tcPr>
          <w:p>
            <w:pPr>
              <w:spacing w:before="241" w:line="190" w:lineRule="auto"/>
              <w:ind w:left="215"/>
              <w:rPr>
                <w:rFonts w:ascii="宋体" w:hAnsi="宋体" w:eastAsia="宋体" w:cs="宋体"/>
                <w:sz w:val="20"/>
                <w:szCs w:val="20"/>
              </w:rPr>
            </w:pPr>
            <w:r>
              <w:rPr>
                <w:rFonts w:ascii="宋体" w:hAnsi="宋体" w:eastAsia="宋体" w:cs="宋体"/>
                <w:spacing w:val="-1"/>
                <w:sz w:val="20"/>
                <w:szCs w:val="20"/>
              </w:rPr>
              <w:t>1.58</w:t>
            </w:r>
          </w:p>
        </w:tc>
        <w:tc>
          <w:tcPr>
            <w:tcW w:w="2499" w:type="dxa"/>
            <w:vAlign w:val="top"/>
          </w:tcPr>
          <w:p>
            <w:pPr>
              <w:spacing w:before="53" w:line="261" w:lineRule="auto"/>
              <w:ind w:left="116" w:right="108" w:firstLine="39"/>
              <w:rPr>
                <w:rFonts w:ascii="宋体" w:hAnsi="宋体" w:eastAsia="宋体" w:cs="宋体"/>
                <w:sz w:val="20"/>
                <w:szCs w:val="20"/>
              </w:rPr>
            </w:pPr>
            <w:r>
              <w:rPr>
                <w:rFonts w:ascii="宋体" w:hAnsi="宋体" w:eastAsia="宋体" w:cs="宋体"/>
                <w:spacing w:val="2"/>
                <w:sz w:val="20"/>
                <w:szCs w:val="20"/>
              </w:rPr>
              <w:t>目标任务阐述不充分，目</w:t>
            </w:r>
            <w:r>
              <w:rPr>
                <w:rFonts w:ascii="宋体" w:hAnsi="宋体" w:eastAsia="宋体" w:cs="宋体"/>
                <w:spacing w:val="6"/>
                <w:sz w:val="20"/>
                <w:szCs w:val="20"/>
              </w:rPr>
              <w:t xml:space="preserve"> </w:t>
            </w:r>
            <w:r>
              <w:rPr>
                <w:rFonts w:ascii="宋体" w:hAnsi="宋体" w:eastAsia="宋体" w:cs="宋体"/>
                <w:spacing w:val="7"/>
                <w:sz w:val="20"/>
                <w:szCs w:val="20"/>
              </w:rPr>
              <w:t>标的合理性不足。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105" w:type="dxa"/>
            <w:vMerge w:val="continue"/>
            <w:tcBorders>
              <w:top w:val="nil"/>
              <w:bottom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645" w:type="dxa"/>
            <w:vMerge w:val="continue"/>
            <w:tcBorders>
              <w:top w:val="nil"/>
            </w:tcBorders>
            <w:vAlign w:val="top"/>
          </w:tcPr>
          <w:p>
            <w:pPr>
              <w:rPr>
                <w:rFonts w:ascii="Arial"/>
                <w:sz w:val="21"/>
              </w:rPr>
            </w:pPr>
          </w:p>
        </w:tc>
        <w:tc>
          <w:tcPr>
            <w:tcW w:w="1905" w:type="dxa"/>
            <w:vAlign w:val="top"/>
          </w:tcPr>
          <w:p>
            <w:pPr>
              <w:spacing w:before="151" w:line="228" w:lineRule="auto"/>
              <w:ind w:left="225"/>
              <w:rPr>
                <w:rFonts w:ascii="宋体" w:hAnsi="宋体" w:eastAsia="宋体" w:cs="宋体"/>
                <w:sz w:val="20"/>
                <w:szCs w:val="20"/>
              </w:rPr>
            </w:pPr>
            <w:r>
              <w:rPr>
                <w:rFonts w:ascii="宋体" w:hAnsi="宋体" w:eastAsia="宋体" w:cs="宋体"/>
                <w:spacing w:val="8"/>
                <w:sz w:val="20"/>
                <w:szCs w:val="20"/>
              </w:rPr>
              <w:t>绩效指标明确性</w:t>
            </w:r>
          </w:p>
        </w:tc>
        <w:tc>
          <w:tcPr>
            <w:tcW w:w="709" w:type="dxa"/>
            <w:vAlign w:val="top"/>
          </w:tcPr>
          <w:p>
            <w:pPr>
              <w:spacing w:before="184" w:line="189" w:lineRule="auto"/>
              <w:ind w:left="311"/>
              <w:rPr>
                <w:rFonts w:ascii="宋体" w:hAnsi="宋体" w:eastAsia="宋体" w:cs="宋体"/>
                <w:sz w:val="20"/>
                <w:szCs w:val="20"/>
              </w:rPr>
            </w:pPr>
            <w:r>
              <w:rPr>
                <w:rFonts w:ascii="宋体" w:hAnsi="宋体" w:eastAsia="宋体" w:cs="宋体"/>
                <w:sz w:val="20"/>
                <w:szCs w:val="20"/>
              </w:rPr>
              <w:t>2</w:t>
            </w:r>
          </w:p>
        </w:tc>
        <w:tc>
          <w:tcPr>
            <w:tcW w:w="809" w:type="dxa"/>
            <w:vAlign w:val="top"/>
          </w:tcPr>
          <w:p>
            <w:pPr>
              <w:spacing w:before="183" w:line="190" w:lineRule="auto"/>
              <w:ind w:left="215"/>
              <w:rPr>
                <w:rFonts w:ascii="宋体" w:hAnsi="宋体" w:eastAsia="宋体" w:cs="宋体"/>
                <w:sz w:val="20"/>
                <w:szCs w:val="20"/>
              </w:rPr>
            </w:pPr>
            <w:r>
              <w:rPr>
                <w:rFonts w:ascii="宋体" w:hAnsi="宋体" w:eastAsia="宋体" w:cs="宋体"/>
                <w:spacing w:val="-1"/>
                <w:sz w:val="20"/>
                <w:szCs w:val="20"/>
              </w:rPr>
              <w:t>1.32</w:t>
            </w:r>
          </w:p>
        </w:tc>
        <w:tc>
          <w:tcPr>
            <w:tcW w:w="2499" w:type="dxa"/>
            <w:vAlign w:val="top"/>
          </w:tcPr>
          <w:p>
            <w:pPr>
              <w:spacing w:before="151" w:line="228" w:lineRule="auto"/>
              <w:ind w:left="118"/>
              <w:rPr>
                <w:rFonts w:ascii="宋体" w:hAnsi="宋体" w:eastAsia="宋体" w:cs="宋体"/>
                <w:sz w:val="20"/>
                <w:szCs w:val="20"/>
              </w:rPr>
            </w:pPr>
            <w:r>
              <w:rPr>
                <w:rFonts w:ascii="宋体" w:hAnsi="宋体" w:eastAsia="宋体" w:cs="宋体"/>
                <w:spacing w:val="7"/>
                <w:sz w:val="20"/>
                <w:szCs w:val="20"/>
              </w:rPr>
              <w:t>指标设置不合理。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05" w:type="dxa"/>
            <w:vMerge w:val="continue"/>
            <w:tcBorders>
              <w:top w:val="nil"/>
              <w:bottom w:val="nil"/>
            </w:tcBorders>
            <w:vAlign w:val="top"/>
          </w:tcPr>
          <w:p>
            <w:pPr>
              <w:rPr>
                <w:rFonts w:ascii="Arial"/>
                <w:sz w:val="21"/>
              </w:rPr>
            </w:pPr>
          </w:p>
        </w:tc>
        <w:tc>
          <w:tcPr>
            <w:tcW w:w="1133" w:type="dxa"/>
            <w:vMerge w:val="restart"/>
            <w:tcBorders>
              <w:bottom w:val="nil"/>
            </w:tcBorders>
            <w:vAlign w:val="top"/>
          </w:tcPr>
          <w:p>
            <w:pPr>
              <w:spacing w:line="305" w:lineRule="auto"/>
              <w:rPr>
                <w:rFonts w:ascii="Arial"/>
                <w:sz w:val="21"/>
              </w:rPr>
            </w:pPr>
          </w:p>
          <w:p>
            <w:pPr>
              <w:spacing w:line="306" w:lineRule="auto"/>
              <w:rPr>
                <w:rFonts w:ascii="Arial"/>
                <w:sz w:val="21"/>
              </w:rPr>
            </w:pPr>
          </w:p>
          <w:p>
            <w:pPr>
              <w:spacing w:before="65" w:line="228" w:lineRule="auto"/>
              <w:ind w:left="160"/>
              <w:rPr>
                <w:rFonts w:ascii="宋体" w:hAnsi="宋体" w:eastAsia="宋体" w:cs="宋体"/>
                <w:sz w:val="20"/>
                <w:szCs w:val="20"/>
              </w:rPr>
            </w:pPr>
            <w:r>
              <w:rPr>
                <w:rFonts w:ascii="宋体" w:hAnsi="宋体" w:eastAsia="宋体" w:cs="宋体"/>
                <w:spacing w:val="5"/>
                <w:sz w:val="20"/>
                <w:szCs w:val="20"/>
              </w:rPr>
              <w:t>资金投入</w:t>
            </w:r>
          </w:p>
        </w:tc>
        <w:tc>
          <w:tcPr>
            <w:tcW w:w="645" w:type="dxa"/>
            <w:vMerge w:val="restart"/>
            <w:tcBorders>
              <w:bottom w:val="nil"/>
            </w:tcBorders>
            <w:vAlign w:val="top"/>
          </w:tcPr>
          <w:p>
            <w:pPr>
              <w:spacing w:line="322" w:lineRule="auto"/>
              <w:rPr>
                <w:rFonts w:ascii="Arial"/>
                <w:sz w:val="21"/>
              </w:rPr>
            </w:pPr>
          </w:p>
          <w:p>
            <w:pPr>
              <w:spacing w:line="322" w:lineRule="auto"/>
              <w:rPr>
                <w:rFonts w:ascii="Arial"/>
                <w:sz w:val="21"/>
              </w:rPr>
            </w:pPr>
          </w:p>
          <w:p>
            <w:pPr>
              <w:spacing w:before="65" w:line="189" w:lineRule="auto"/>
              <w:ind w:left="278"/>
              <w:rPr>
                <w:rFonts w:ascii="宋体" w:hAnsi="宋体" w:eastAsia="宋体" w:cs="宋体"/>
                <w:sz w:val="20"/>
                <w:szCs w:val="20"/>
              </w:rPr>
            </w:pPr>
            <w:r>
              <w:rPr>
                <w:rFonts w:ascii="宋体" w:hAnsi="宋体" w:eastAsia="宋体" w:cs="宋体"/>
                <w:sz w:val="20"/>
                <w:szCs w:val="20"/>
              </w:rPr>
              <w:t>3</w:t>
            </w:r>
          </w:p>
        </w:tc>
        <w:tc>
          <w:tcPr>
            <w:tcW w:w="1905" w:type="dxa"/>
            <w:vAlign w:val="top"/>
          </w:tcPr>
          <w:p>
            <w:pPr>
              <w:spacing w:line="296" w:lineRule="auto"/>
              <w:rPr>
                <w:rFonts w:ascii="Arial"/>
                <w:sz w:val="21"/>
              </w:rPr>
            </w:pPr>
          </w:p>
          <w:p>
            <w:pPr>
              <w:spacing w:before="65" w:line="227" w:lineRule="auto"/>
              <w:ind w:left="223"/>
              <w:rPr>
                <w:rFonts w:ascii="宋体" w:hAnsi="宋体" w:eastAsia="宋体" w:cs="宋体"/>
                <w:sz w:val="20"/>
                <w:szCs w:val="20"/>
              </w:rPr>
            </w:pPr>
            <w:r>
              <w:rPr>
                <w:rFonts w:ascii="宋体" w:hAnsi="宋体" w:eastAsia="宋体" w:cs="宋体"/>
                <w:spacing w:val="8"/>
                <w:sz w:val="20"/>
                <w:szCs w:val="20"/>
              </w:rPr>
              <w:t>预算编制科学性</w:t>
            </w:r>
          </w:p>
        </w:tc>
        <w:tc>
          <w:tcPr>
            <w:tcW w:w="709" w:type="dxa"/>
            <w:vAlign w:val="top"/>
          </w:tcPr>
          <w:p>
            <w:pPr>
              <w:spacing w:line="329" w:lineRule="auto"/>
              <w:rPr>
                <w:rFonts w:ascii="Arial"/>
                <w:sz w:val="21"/>
              </w:rPr>
            </w:pPr>
          </w:p>
          <w:p>
            <w:pPr>
              <w:spacing w:before="65" w:line="189" w:lineRule="auto"/>
              <w:ind w:left="324"/>
              <w:rPr>
                <w:rFonts w:ascii="宋体" w:hAnsi="宋体" w:eastAsia="宋体" w:cs="宋体"/>
                <w:sz w:val="20"/>
                <w:szCs w:val="20"/>
              </w:rPr>
            </w:pPr>
            <w:r>
              <w:rPr>
                <w:rFonts w:ascii="宋体" w:hAnsi="宋体" w:eastAsia="宋体" w:cs="宋体"/>
                <w:sz w:val="20"/>
                <w:szCs w:val="20"/>
              </w:rPr>
              <w:t>1</w:t>
            </w:r>
          </w:p>
        </w:tc>
        <w:tc>
          <w:tcPr>
            <w:tcW w:w="809" w:type="dxa"/>
            <w:vAlign w:val="top"/>
          </w:tcPr>
          <w:p>
            <w:pPr>
              <w:spacing w:line="329" w:lineRule="auto"/>
              <w:rPr>
                <w:rFonts w:ascii="Arial"/>
                <w:sz w:val="21"/>
              </w:rPr>
            </w:pPr>
          </w:p>
          <w:p>
            <w:pPr>
              <w:spacing w:before="65" w:line="189" w:lineRule="auto"/>
              <w:ind w:left="201"/>
              <w:rPr>
                <w:rFonts w:ascii="宋体" w:hAnsi="宋体" w:eastAsia="宋体" w:cs="宋体"/>
                <w:sz w:val="20"/>
                <w:szCs w:val="20"/>
              </w:rPr>
            </w:pPr>
            <w:r>
              <w:rPr>
                <w:rFonts w:ascii="宋体" w:hAnsi="宋体" w:eastAsia="宋体" w:cs="宋体"/>
                <w:spacing w:val="2"/>
                <w:sz w:val="20"/>
                <w:szCs w:val="20"/>
              </w:rPr>
              <w:t>0.72</w:t>
            </w:r>
          </w:p>
        </w:tc>
        <w:tc>
          <w:tcPr>
            <w:tcW w:w="2499" w:type="dxa"/>
            <w:vAlign w:val="top"/>
          </w:tcPr>
          <w:p>
            <w:pPr>
              <w:spacing w:before="52" w:line="270" w:lineRule="auto"/>
              <w:ind w:left="114" w:right="108" w:firstLine="2"/>
              <w:jc w:val="both"/>
              <w:rPr>
                <w:rFonts w:ascii="宋体" w:hAnsi="宋体" w:eastAsia="宋体" w:cs="宋体"/>
                <w:sz w:val="20"/>
                <w:szCs w:val="20"/>
              </w:rPr>
            </w:pPr>
            <w:r>
              <w:rPr>
                <w:rFonts w:ascii="宋体" w:hAnsi="宋体" w:eastAsia="宋体" w:cs="宋体"/>
                <w:spacing w:val="6"/>
                <w:sz w:val="20"/>
                <w:szCs w:val="20"/>
              </w:rPr>
              <w:t>预算测算依据不充分，关</w:t>
            </w:r>
            <w:r>
              <w:rPr>
                <w:rFonts w:ascii="宋体" w:hAnsi="宋体" w:eastAsia="宋体" w:cs="宋体"/>
                <w:sz w:val="20"/>
                <w:szCs w:val="20"/>
              </w:rPr>
              <w:t xml:space="preserve"> </w:t>
            </w:r>
            <w:r>
              <w:rPr>
                <w:rFonts w:ascii="宋体" w:hAnsi="宋体" w:eastAsia="宋体" w:cs="宋体"/>
                <w:spacing w:val="6"/>
                <w:sz w:val="20"/>
                <w:szCs w:val="20"/>
              </w:rPr>
              <w:t>键数据没有来源，预算编</w:t>
            </w:r>
            <w:r>
              <w:rPr>
                <w:rFonts w:ascii="宋体" w:hAnsi="宋体" w:eastAsia="宋体" w:cs="宋体"/>
                <w:spacing w:val="3"/>
                <w:sz w:val="20"/>
                <w:szCs w:val="20"/>
              </w:rPr>
              <w:t xml:space="preserve"> </w:t>
            </w:r>
            <w:r>
              <w:rPr>
                <w:rFonts w:ascii="宋体" w:hAnsi="宋体" w:eastAsia="宋体" w:cs="宋体"/>
                <w:spacing w:val="7"/>
                <w:sz w:val="20"/>
                <w:szCs w:val="20"/>
              </w:rPr>
              <w:t>审过程不明确。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05" w:type="dxa"/>
            <w:vMerge w:val="continue"/>
            <w:tcBorders>
              <w:top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645" w:type="dxa"/>
            <w:vMerge w:val="continue"/>
            <w:tcBorders>
              <w:top w:val="nil"/>
            </w:tcBorders>
            <w:vAlign w:val="top"/>
          </w:tcPr>
          <w:p>
            <w:pPr>
              <w:rPr>
                <w:rFonts w:ascii="Arial"/>
                <w:sz w:val="21"/>
              </w:rPr>
            </w:pPr>
          </w:p>
        </w:tc>
        <w:tc>
          <w:tcPr>
            <w:tcW w:w="1905" w:type="dxa"/>
            <w:vAlign w:val="top"/>
          </w:tcPr>
          <w:p>
            <w:pPr>
              <w:spacing w:before="210" w:line="228" w:lineRule="auto"/>
              <w:ind w:left="230"/>
              <w:rPr>
                <w:rFonts w:ascii="宋体" w:hAnsi="宋体" w:eastAsia="宋体" w:cs="宋体"/>
                <w:sz w:val="20"/>
                <w:szCs w:val="20"/>
              </w:rPr>
            </w:pPr>
            <w:r>
              <w:rPr>
                <w:rFonts w:ascii="宋体" w:hAnsi="宋体" w:eastAsia="宋体" w:cs="宋体"/>
                <w:spacing w:val="7"/>
                <w:sz w:val="20"/>
                <w:szCs w:val="20"/>
              </w:rPr>
              <w:t>资金分配合理性</w:t>
            </w:r>
          </w:p>
        </w:tc>
        <w:tc>
          <w:tcPr>
            <w:tcW w:w="709" w:type="dxa"/>
            <w:vAlign w:val="top"/>
          </w:tcPr>
          <w:p>
            <w:pPr>
              <w:spacing w:before="243" w:line="189" w:lineRule="auto"/>
              <w:ind w:left="311"/>
              <w:rPr>
                <w:rFonts w:ascii="宋体" w:hAnsi="宋体" w:eastAsia="宋体" w:cs="宋体"/>
                <w:sz w:val="20"/>
                <w:szCs w:val="20"/>
              </w:rPr>
            </w:pPr>
            <w:r>
              <w:rPr>
                <w:rFonts w:ascii="宋体" w:hAnsi="宋体" w:eastAsia="宋体" w:cs="宋体"/>
                <w:sz w:val="20"/>
                <w:szCs w:val="20"/>
              </w:rPr>
              <w:t>2</w:t>
            </w:r>
          </w:p>
        </w:tc>
        <w:tc>
          <w:tcPr>
            <w:tcW w:w="809" w:type="dxa"/>
            <w:vAlign w:val="top"/>
          </w:tcPr>
          <w:p>
            <w:pPr>
              <w:spacing w:before="242" w:line="190" w:lineRule="auto"/>
              <w:ind w:left="215"/>
              <w:rPr>
                <w:rFonts w:ascii="宋体" w:hAnsi="宋体" w:eastAsia="宋体" w:cs="宋体"/>
                <w:sz w:val="20"/>
                <w:szCs w:val="20"/>
              </w:rPr>
            </w:pPr>
            <w:r>
              <w:rPr>
                <w:rFonts w:ascii="宋体" w:hAnsi="宋体" w:eastAsia="宋体" w:cs="宋体"/>
                <w:spacing w:val="-1"/>
                <w:sz w:val="20"/>
                <w:szCs w:val="20"/>
              </w:rPr>
              <w:t>1.26</w:t>
            </w:r>
          </w:p>
        </w:tc>
        <w:tc>
          <w:tcPr>
            <w:tcW w:w="2499" w:type="dxa"/>
            <w:vAlign w:val="top"/>
          </w:tcPr>
          <w:p>
            <w:pPr>
              <w:spacing w:before="53" w:line="261" w:lineRule="auto"/>
              <w:ind w:left="134" w:right="108" w:hanging="10"/>
              <w:rPr>
                <w:rFonts w:ascii="宋体" w:hAnsi="宋体" w:eastAsia="宋体" w:cs="宋体"/>
                <w:sz w:val="20"/>
                <w:szCs w:val="20"/>
              </w:rPr>
            </w:pPr>
            <w:r>
              <w:rPr>
                <w:rFonts w:ascii="宋体" w:hAnsi="宋体" w:eastAsia="宋体" w:cs="宋体"/>
                <w:spacing w:val="26"/>
                <w:sz w:val="20"/>
                <w:szCs w:val="20"/>
              </w:rPr>
              <w:t>资金分配依据和原则不</w:t>
            </w:r>
            <w:r>
              <w:rPr>
                <w:rFonts w:ascii="宋体" w:hAnsi="宋体" w:eastAsia="宋体" w:cs="宋体"/>
                <w:sz w:val="20"/>
                <w:szCs w:val="20"/>
              </w:rPr>
              <w:t xml:space="preserve"> </w:t>
            </w:r>
            <w:r>
              <w:rPr>
                <w:rFonts w:ascii="宋体" w:hAnsi="宋体" w:eastAsia="宋体" w:cs="宋体"/>
                <w:spacing w:val="-4"/>
                <w:sz w:val="20"/>
                <w:szCs w:val="20"/>
              </w:rPr>
              <w:t>明确。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105" w:type="dxa"/>
            <w:vMerge w:val="restart"/>
            <w:tcBorders>
              <w:bottom w:val="nil"/>
            </w:tcBorders>
            <w:vAlign w:val="top"/>
          </w:tcPr>
          <w:p>
            <w:pPr>
              <w:spacing w:line="301" w:lineRule="auto"/>
              <w:rPr>
                <w:rFonts w:ascii="Arial"/>
                <w:sz w:val="21"/>
              </w:rPr>
            </w:pPr>
          </w:p>
          <w:p>
            <w:pPr>
              <w:spacing w:line="301" w:lineRule="auto"/>
              <w:rPr>
                <w:rFonts w:ascii="Arial"/>
                <w:sz w:val="21"/>
              </w:rPr>
            </w:pPr>
          </w:p>
          <w:p>
            <w:pPr>
              <w:spacing w:line="302" w:lineRule="auto"/>
              <w:rPr>
                <w:rFonts w:ascii="Arial"/>
                <w:sz w:val="21"/>
              </w:rPr>
            </w:pPr>
          </w:p>
          <w:p>
            <w:pPr>
              <w:spacing w:before="65" w:line="274" w:lineRule="auto"/>
              <w:ind w:left="126" w:right="119" w:firstLine="221"/>
              <w:rPr>
                <w:rFonts w:ascii="宋体" w:hAnsi="宋体" w:eastAsia="宋体" w:cs="宋体"/>
                <w:sz w:val="20"/>
                <w:szCs w:val="20"/>
              </w:rPr>
            </w:pPr>
            <w:r>
              <w:rPr>
                <w:rFonts w:ascii="宋体" w:hAnsi="宋体" w:eastAsia="宋体" w:cs="宋体"/>
                <w:spacing w:val="4"/>
                <w:sz w:val="20"/>
                <w:szCs w:val="20"/>
              </w:rPr>
              <w:t>过程</w:t>
            </w:r>
            <w:r>
              <w:rPr>
                <w:rFonts w:ascii="宋体" w:hAnsi="宋体" w:eastAsia="宋体" w:cs="宋体"/>
                <w:sz w:val="20"/>
                <w:szCs w:val="20"/>
              </w:rPr>
              <w:t xml:space="preserve">   </w:t>
            </w:r>
            <w:r>
              <w:rPr>
                <w:rFonts w:ascii="宋体" w:hAnsi="宋体" w:eastAsia="宋体" w:cs="宋体"/>
                <w:spacing w:val="-2"/>
                <w:sz w:val="20"/>
                <w:szCs w:val="20"/>
              </w:rPr>
              <w:t>（20</w:t>
            </w:r>
            <w:r>
              <w:rPr>
                <w:rFonts w:ascii="宋体" w:hAnsi="宋体" w:eastAsia="宋体" w:cs="宋体"/>
                <w:spacing w:val="-37"/>
                <w:sz w:val="20"/>
                <w:szCs w:val="20"/>
              </w:rPr>
              <w:t xml:space="preserve"> </w:t>
            </w:r>
            <w:r>
              <w:rPr>
                <w:rFonts w:ascii="宋体" w:hAnsi="宋体" w:eastAsia="宋体" w:cs="宋体"/>
                <w:spacing w:val="-2"/>
                <w:sz w:val="20"/>
                <w:szCs w:val="20"/>
              </w:rPr>
              <w:t>分）</w:t>
            </w:r>
          </w:p>
        </w:tc>
        <w:tc>
          <w:tcPr>
            <w:tcW w:w="1133"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before="65" w:line="228" w:lineRule="auto"/>
              <w:ind w:left="160"/>
              <w:rPr>
                <w:rFonts w:ascii="宋体" w:hAnsi="宋体" w:eastAsia="宋体" w:cs="宋体"/>
                <w:sz w:val="20"/>
                <w:szCs w:val="20"/>
              </w:rPr>
            </w:pPr>
            <w:r>
              <w:rPr>
                <w:rFonts w:ascii="宋体" w:hAnsi="宋体" w:eastAsia="宋体" w:cs="宋体"/>
                <w:spacing w:val="5"/>
                <w:sz w:val="20"/>
                <w:szCs w:val="20"/>
              </w:rPr>
              <w:t>资金管理</w:t>
            </w:r>
          </w:p>
        </w:tc>
        <w:tc>
          <w:tcPr>
            <w:tcW w:w="645"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before="65"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before="132" w:line="228" w:lineRule="auto"/>
              <w:ind w:left="441"/>
              <w:rPr>
                <w:rFonts w:ascii="宋体" w:hAnsi="宋体" w:eastAsia="宋体" w:cs="宋体"/>
                <w:sz w:val="20"/>
                <w:szCs w:val="20"/>
              </w:rPr>
            </w:pPr>
            <w:r>
              <w:rPr>
                <w:rFonts w:ascii="宋体" w:hAnsi="宋体" w:eastAsia="宋体" w:cs="宋体"/>
                <w:spacing w:val="6"/>
                <w:sz w:val="20"/>
                <w:szCs w:val="20"/>
              </w:rPr>
              <w:t>资金到位率</w:t>
            </w:r>
          </w:p>
        </w:tc>
        <w:tc>
          <w:tcPr>
            <w:tcW w:w="709" w:type="dxa"/>
            <w:vAlign w:val="top"/>
          </w:tcPr>
          <w:p>
            <w:pPr>
              <w:spacing w:before="165" w:line="189" w:lineRule="auto"/>
              <w:ind w:left="311"/>
              <w:rPr>
                <w:rFonts w:ascii="宋体" w:hAnsi="宋体" w:eastAsia="宋体" w:cs="宋体"/>
                <w:sz w:val="20"/>
                <w:szCs w:val="20"/>
              </w:rPr>
            </w:pPr>
            <w:r>
              <w:rPr>
                <w:rFonts w:ascii="宋体" w:hAnsi="宋体" w:eastAsia="宋体" w:cs="宋体"/>
                <w:sz w:val="20"/>
                <w:szCs w:val="20"/>
              </w:rPr>
              <w:t>2</w:t>
            </w:r>
          </w:p>
        </w:tc>
        <w:tc>
          <w:tcPr>
            <w:tcW w:w="809" w:type="dxa"/>
            <w:vAlign w:val="top"/>
          </w:tcPr>
          <w:p>
            <w:pPr>
              <w:spacing w:before="166" w:line="189" w:lineRule="auto"/>
              <w:ind w:left="202"/>
              <w:rPr>
                <w:rFonts w:ascii="宋体" w:hAnsi="宋体" w:eastAsia="宋体" w:cs="宋体"/>
                <w:sz w:val="20"/>
                <w:szCs w:val="20"/>
              </w:rPr>
            </w:pPr>
            <w:r>
              <w:rPr>
                <w:rFonts w:ascii="宋体" w:hAnsi="宋体" w:eastAsia="宋体" w:cs="宋体"/>
                <w:spacing w:val="2"/>
                <w:sz w:val="20"/>
                <w:szCs w:val="20"/>
              </w:rPr>
              <w:t>2.00</w:t>
            </w:r>
          </w:p>
        </w:tc>
        <w:tc>
          <w:tcPr>
            <w:tcW w:w="24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105" w:type="dxa"/>
            <w:vMerge w:val="continue"/>
            <w:tcBorders>
              <w:top w:val="nil"/>
              <w:bottom w:val="nil"/>
            </w:tcBorders>
            <w:vAlign w:val="top"/>
          </w:tcPr>
          <w:p>
            <w:pPr>
              <w:rPr>
                <w:rFonts w:ascii="Arial"/>
                <w:sz w:val="21"/>
              </w:rPr>
            </w:pPr>
          </w:p>
        </w:tc>
        <w:tc>
          <w:tcPr>
            <w:tcW w:w="1133" w:type="dxa"/>
            <w:vMerge w:val="continue"/>
            <w:tcBorders>
              <w:top w:val="nil"/>
              <w:bottom w:val="nil"/>
            </w:tcBorders>
            <w:vAlign w:val="top"/>
          </w:tcPr>
          <w:p>
            <w:pPr>
              <w:rPr>
                <w:rFonts w:ascii="Arial"/>
                <w:sz w:val="21"/>
              </w:rPr>
            </w:pPr>
          </w:p>
        </w:tc>
        <w:tc>
          <w:tcPr>
            <w:tcW w:w="645" w:type="dxa"/>
            <w:vMerge w:val="continue"/>
            <w:tcBorders>
              <w:top w:val="nil"/>
              <w:bottom w:val="nil"/>
            </w:tcBorders>
            <w:vAlign w:val="top"/>
          </w:tcPr>
          <w:p>
            <w:pPr>
              <w:rPr>
                <w:rFonts w:ascii="Arial"/>
                <w:sz w:val="21"/>
              </w:rPr>
            </w:pPr>
          </w:p>
        </w:tc>
        <w:tc>
          <w:tcPr>
            <w:tcW w:w="1905" w:type="dxa"/>
            <w:vAlign w:val="top"/>
          </w:tcPr>
          <w:p>
            <w:pPr>
              <w:spacing w:before="110" w:line="228" w:lineRule="auto"/>
              <w:ind w:left="434"/>
              <w:rPr>
                <w:rFonts w:ascii="宋体" w:hAnsi="宋体" w:eastAsia="宋体" w:cs="宋体"/>
                <w:sz w:val="20"/>
                <w:szCs w:val="20"/>
              </w:rPr>
            </w:pPr>
            <w:r>
              <w:rPr>
                <w:rFonts w:ascii="宋体" w:hAnsi="宋体" w:eastAsia="宋体" w:cs="宋体"/>
                <w:spacing w:val="7"/>
                <w:sz w:val="20"/>
                <w:szCs w:val="20"/>
              </w:rPr>
              <w:t>预算执行率</w:t>
            </w:r>
          </w:p>
        </w:tc>
        <w:tc>
          <w:tcPr>
            <w:tcW w:w="709" w:type="dxa"/>
            <w:vAlign w:val="top"/>
          </w:tcPr>
          <w:p>
            <w:pPr>
              <w:spacing w:before="143" w:line="189" w:lineRule="auto"/>
              <w:ind w:left="312"/>
              <w:rPr>
                <w:rFonts w:ascii="宋体" w:hAnsi="宋体" w:eastAsia="宋体" w:cs="宋体"/>
                <w:sz w:val="20"/>
                <w:szCs w:val="20"/>
              </w:rPr>
            </w:pPr>
            <w:r>
              <w:rPr>
                <w:rFonts w:ascii="宋体" w:hAnsi="宋体" w:eastAsia="宋体" w:cs="宋体"/>
                <w:sz w:val="20"/>
                <w:szCs w:val="20"/>
              </w:rPr>
              <w:t>3</w:t>
            </w:r>
          </w:p>
        </w:tc>
        <w:tc>
          <w:tcPr>
            <w:tcW w:w="809" w:type="dxa"/>
            <w:vAlign w:val="top"/>
          </w:tcPr>
          <w:p>
            <w:pPr>
              <w:spacing w:before="143" w:line="189" w:lineRule="auto"/>
              <w:ind w:left="203"/>
              <w:rPr>
                <w:rFonts w:ascii="宋体" w:hAnsi="宋体" w:eastAsia="宋体" w:cs="宋体"/>
                <w:sz w:val="20"/>
                <w:szCs w:val="20"/>
              </w:rPr>
            </w:pPr>
            <w:r>
              <w:rPr>
                <w:rFonts w:ascii="宋体" w:hAnsi="宋体" w:eastAsia="宋体" w:cs="宋体"/>
                <w:spacing w:val="2"/>
                <w:sz w:val="20"/>
                <w:szCs w:val="20"/>
              </w:rPr>
              <w:t>3.00</w:t>
            </w:r>
          </w:p>
        </w:tc>
        <w:tc>
          <w:tcPr>
            <w:tcW w:w="24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105" w:type="dxa"/>
            <w:vMerge w:val="continue"/>
            <w:tcBorders>
              <w:top w:val="nil"/>
              <w:bottom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645" w:type="dxa"/>
            <w:vMerge w:val="continue"/>
            <w:tcBorders>
              <w:top w:val="nil"/>
            </w:tcBorders>
            <w:vAlign w:val="top"/>
          </w:tcPr>
          <w:p>
            <w:pPr>
              <w:rPr>
                <w:rFonts w:ascii="Arial"/>
                <w:sz w:val="21"/>
              </w:rPr>
            </w:pPr>
          </w:p>
        </w:tc>
        <w:tc>
          <w:tcPr>
            <w:tcW w:w="1905" w:type="dxa"/>
            <w:vAlign w:val="top"/>
          </w:tcPr>
          <w:p>
            <w:pPr>
              <w:spacing w:before="151" w:line="228" w:lineRule="auto"/>
              <w:ind w:left="230"/>
              <w:rPr>
                <w:rFonts w:ascii="宋体" w:hAnsi="宋体" w:eastAsia="宋体" w:cs="宋体"/>
                <w:sz w:val="20"/>
                <w:szCs w:val="20"/>
              </w:rPr>
            </w:pPr>
            <w:r>
              <w:rPr>
                <w:rFonts w:ascii="宋体" w:hAnsi="宋体" w:eastAsia="宋体" w:cs="宋体"/>
                <w:spacing w:val="7"/>
                <w:sz w:val="20"/>
                <w:szCs w:val="20"/>
              </w:rPr>
              <w:t>资金使用合规性</w:t>
            </w:r>
          </w:p>
        </w:tc>
        <w:tc>
          <w:tcPr>
            <w:tcW w:w="709" w:type="dxa"/>
            <w:vAlign w:val="top"/>
          </w:tcPr>
          <w:p>
            <w:pPr>
              <w:spacing w:before="186" w:line="187" w:lineRule="auto"/>
              <w:ind w:left="312"/>
              <w:rPr>
                <w:rFonts w:ascii="宋体" w:hAnsi="宋体" w:eastAsia="宋体" w:cs="宋体"/>
                <w:sz w:val="20"/>
                <w:szCs w:val="20"/>
              </w:rPr>
            </w:pPr>
            <w:r>
              <w:rPr>
                <w:rFonts w:ascii="宋体" w:hAnsi="宋体" w:eastAsia="宋体" w:cs="宋体"/>
                <w:sz w:val="20"/>
                <w:szCs w:val="20"/>
              </w:rPr>
              <w:t>5</w:t>
            </w:r>
          </w:p>
        </w:tc>
        <w:tc>
          <w:tcPr>
            <w:tcW w:w="809" w:type="dxa"/>
            <w:vAlign w:val="top"/>
          </w:tcPr>
          <w:p>
            <w:pPr>
              <w:spacing w:before="184" w:line="189" w:lineRule="auto"/>
              <w:ind w:left="198"/>
              <w:rPr>
                <w:rFonts w:ascii="宋体" w:hAnsi="宋体" w:eastAsia="宋体" w:cs="宋体"/>
                <w:sz w:val="20"/>
                <w:szCs w:val="20"/>
              </w:rPr>
            </w:pPr>
            <w:r>
              <w:rPr>
                <w:rFonts w:ascii="宋体" w:hAnsi="宋体" w:eastAsia="宋体" w:cs="宋体"/>
                <w:spacing w:val="3"/>
                <w:sz w:val="20"/>
                <w:szCs w:val="20"/>
              </w:rPr>
              <w:t>4.30</w:t>
            </w:r>
          </w:p>
        </w:tc>
        <w:tc>
          <w:tcPr>
            <w:tcW w:w="2499" w:type="dxa"/>
            <w:vAlign w:val="top"/>
          </w:tcPr>
          <w:p>
            <w:pPr>
              <w:spacing w:before="152" w:line="228" w:lineRule="auto"/>
              <w:ind w:left="118"/>
              <w:rPr>
                <w:rFonts w:ascii="宋体" w:hAnsi="宋体" w:eastAsia="宋体" w:cs="宋体"/>
                <w:sz w:val="20"/>
                <w:szCs w:val="20"/>
              </w:rPr>
            </w:pPr>
            <w:r>
              <w:rPr>
                <w:rFonts w:ascii="宋体" w:hAnsi="宋体" w:eastAsia="宋体" w:cs="宋体"/>
                <w:spacing w:val="7"/>
                <w:sz w:val="20"/>
                <w:szCs w:val="20"/>
              </w:rPr>
              <w:t>工作量与资金对应不足。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105" w:type="dxa"/>
            <w:vMerge w:val="continue"/>
            <w:tcBorders>
              <w:top w:val="nil"/>
              <w:bottom w:val="nil"/>
            </w:tcBorders>
            <w:vAlign w:val="top"/>
          </w:tcPr>
          <w:p>
            <w:pPr>
              <w:rPr>
                <w:rFonts w:ascii="Arial"/>
                <w:sz w:val="21"/>
              </w:rPr>
            </w:pPr>
          </w:p>
        </w:tc>
        <w:tc>
          <w:tcPr>
            <w:tcW w:w="1133" w:type="dxa"/>
            <w:vMerge w:val="restart"/>
            <w:tcBorders>
              <w:bottom w:val="nil"/>
            </w:tcBorders>
            <w:vAlign w:val="top"/>
          </w:tcPr>
          <w:p>
            <w:pPr>
              <w:spacing w:line="344" w:lineRule="auto"/>
              <w:rPr>
                <w:rFonts w:ascii="Arial"/>
                <w:sz w:val="21"/>
              </w:rPr>
            </w:pPr>
          </w:p>
          <w:p>
            <w:pPr>
              <w:spacing w:before="65" w:line="228" w:lineRule="auto"/>
              <w:ind w:left="154"/>
              <w:rPr>
                <w:rFonts w:ascii="宋体" w:hAnsi="宋体" w:eastAsia="宋体" w:cs="宋体"/>
                <w:sz w:val="20"/>
                <w:szCs w:val="20"/>
              </w:rPr>
            </w:pPr>
            <w:r>
              <w:rPr>
                <w:rFonts w:ascii="宋体" w:hAnsi="宋体" w:eastAsia="宋体" w:cs="宋体"/>
                <w:spacing w:val="6"/>
                <w:sz w:val="20"/>
                <w:szCs w:val="20"/>
              </w:rPr>
              <w:t>组织实施</w:t>
            </w:r>
          </w:p>
        </w:tc>
        <w:tc>
          <w:tcPr>
            <w:tcW w:w="645" w:type="dxa"/>
            <w:vMerge w:val="restart"/>
            <w:tcBorders>
              <w:bottom w:val="nil"/>
            </w:tcBorders>
            <w:vAlign w:val="top"/>
          </w:tcPr>
          <w:p>
            <w:pPr>
              <w:spacing w:line="376" w:lineRule="auto"/>
              <w:rPr>
                <w:rFonts w:ascii="Arial"/>
                <w:sz w:val="21"/>
              </w:rPr>
            </w:pPr>
          </w:p>
          <w:p>
            <w:pPr>
              <w:spacing w:before="65"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before="152" w:line="228" w:lineRule="auto"/>
              <w:ind w:left="226"/>
              <w:rPr>
                <w:rFonts w:ascii="宋体" w:hAnsi="宋体" w:eastAsia="宋体" w:cs="宋体"/>
                <w:sz w:val="20"/>
                <w:szCs w:val="20"/>
              </w:rPr>
            </w:pPr>
            <w:r>
              <w:rPr>
                <w:rFonts w:ascii="宋体" w:hAnsi="宋体" w:eastAsia="宋体" w:cs="宋体"/>
                <w:spacing w:val="7"/>
                <w:sz w:val="20"/>
                <w:szCs w:val="20"/>
              </w:rPr>
              <w:t>管理制度健全性</w:t>
            </w:r>
          </w:p>
        </w:tc>
        <w:tc>
          <w:tcPr>
            <w:tcW w:w="709" w:type="dxa"/>
            <w:vAlign w:val="top"/>
          </w:tcPr>
          <w:p>
            <w:pPr>
              <w:spacing w:before="187" w:line="187" w:lineRule="auto"/>
              <w:ind w:left="312"/>
              <w:rPr>
                <w:rFonts w:ascii="宋体" w:hAnsi="宋体" w:eastAsia="宋体" w:cs="宋体"/>
                <w:sz w:val="20"/>
                <w:szCs w:val="20"/>
              </w:rPr>
            </w:pPr>
            <w:r>
              <w:rPr>
                <w:rFonts w:ascii="宋体" w:hAnsi="宋体" w:eastAsia="宋体" w:cs="宋体"/>
                <w:sz w:val="20"/>
                <w:szCs w:val="20"/>
              </w:rPr>
              <w:t>5</w:t>
            </w:r>
          </w:p>
        </w:tc>
        <w:tc>
          <w:tcPr>
            <w:tcW w:w="809" w:type="dxa"/>
            <w:vAlign w:val="top"/>
          </w:tcPr>
          <w:p>
            <w:pPr>
              <w:spacing w:before="185" w:line="189" w:lineRule="auto"/>
              <w:ind w:left="203"/>
              <w:rPr>
                <w:rFonts w:ascii="宋体" w:hAnsi="宋体" w:eastAsia="宋体" w:cs="宋体"/>
                <w:sz w:val="20"/>
                <w:szCs w:val="20"/>
              </w:rPr>
            </w:pPr>
            <w:r>
              <w:rPr>
                <w:rFonts w:ascii="宋体" w:hAnsi="宋体" w:eastAsia="宋体" w:cs="宋体"/>
                <w:spacing w:val="2"/>
                <w:sz w:val="20"/>
                <w:szCs w:val="20"/>
              </w:rPr>
              <w:t>3.50</w:t>
            </w:r>
          </w:p>
        </w:tc>
        <w:tc>
          <w:tcPr>
            <w:tcW w:w="2499" w:type="dxa"/>
            <w:vAlign w:val="top"/>
          </w:tcPr>
          <w:p>
            <w:pPr>
              <w:spacing w:before="152" w:line="228" w:lineRule="auto"/>
              <w:ind w:left="118"/>
              <w:rPr>
                <w:rFonts w:ascii="宋体" w:hAnsi="宋体" w:eastAsia="宋体" w:cs="宋体"/>
                <w:sz w:val="20"/>
                <w:szCs w:val="20"/>
              </w:rPr>
            </w:pPr>
            <w:r>
              <w:rPr>
                <w:rFonts w:ascii="宋体" w:hAnsi="宋体" w:eastAsia="宋体" w:cs="宋体"/>
                <w:spacing w:val="7"/>
                <w:sz w:val="20"/>
                <w:szCs w:val="20"/>
              </w:rPr>
              <w:t>项目实施方案不完整。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105" w:type="dxa"/>
            <w:vMerge w:val="continue"/>
            <w:tcBorders>
              <w:top w:val="nil"/>
            </w:tcBorders>
            <w:vAlign w:val="top"/>
          </w:tcPr>
          <w:p>
            <w:pPr>
              <w:rPr>
                <w:rFonts w:ascii="Arial"/>
                <w:sz w:val="21"/>
              </w:rPr>
            </w:pPr>
          </w:p>
        </w:tc>
        <w:tc>
          <w:tcPr>
            <w:tcW w:w="1133" w:type="dxa"/>
            <w:vMerge w:val="continue"/>
            <w:tcBorders>
              <w:top w:val="nil"/>
            </w:tcBorders>
            <w:vAlign w:val="top"/>
          </w:tcPr>
          <w:p>
            <w:pPr>
              <w:rPr>
                <w:rFonts w:ascii="Arial"/>
                <w:sz w:val="21"/>
              </w:rPr>
            </w:pPr>
          </w:p>
        </w:tc>
        <w:tc>
          <w:tcPr>
            <w:tcW w:w="645" w:type="dxa"/>
            <w:vMerge w:val="continue"/>
            <w:tcBorders>
              <w:top w:val="nil"/>
            </w:tcBorders>
            <w:vAlign w:val="top"/>
          </w:tcPr>
          <w:p>
            <w:pPr>
              <w:rPr>
                <w:rFonts w:ascii="Arial"/>
                <w:sz w:val="21"/>
              </w:rPr>
            </w:pPr>
          </w:p>
        </w:tc>
        <w:tc>
          <w:tcPr>
            <w:tcW w:w="1905" w:type="dxa"/>
            <w:vAlign w:val="top"/>
          </w:tcPr>
          <w:p>
            <w:pPr>
              <w:spacing w:before="152" w:line="228" w:lineRule="auto"/>
              <w:ind w:left="222"/>
              <w:rPr>
                <w:rFonts w:ascii="宋体" w:hAnsi="宋体" w:eastAsia="宋体" w:cs="宋体"/>
                <w:sz w:val="20"/>
                <w:szCs w:val="20"/>
              </w:rPr>
            </w:pPr>
            <w:r>
              <w:rPr>
                <w:rFonts w:ascii="宋体" w:hAnsi="宋体" w:eastAsia="宋体" w:cs="宋体"/>
                <w:spacing w:val="8"/>
                <w:sz w:val="20"/>
                <w:szCs w:val="20"/>
              </w:rPr>
              <w:t>制度执行有效性</w:t>
            </w:r>
          </w:p>
        </w:tc>
        <w:tc>
          <w:tcPr>
            <w:tcW w:w="709" w:type="dxa"/>
            <w:vAlign w:val="top"/>
          </w:tcPr>
          <w:p>
            <w:pPr>
              <w:spacing w:before="188" w:line="187" w:lineRule="auto"/>
              <w:ind w:left="312"/>
              <w:rPr>
                <w:rFonts w:ascii="宋体" w:hAnsi="宋体" w:eastAsia="宋体" w:cs="宋体"/>
                <w:sz w:val="20"/>
                <w:szCs w:val="20"/>
              </w:rPr>
            </w:pPr>
            <w:r>
              <w:rPr>
                <w:rFonts w:ascii="宋体" w:hAnsi="宋体" w:eastAsia="宋体" w:cs="宋体"/>
                <w:sz w:val="20"/>
                <w:szCs w:val="20"/>
              </w:rPr>
              <w:t>5</w:t>
            </w:r>
          </w:p>
        </w:tc>
        <w:tc>
          <w:tcPr>
            <w:tcW w:w="809" w:type="dxa"/>
            <w:vAlign w:val="top"/>
          </w:tcPr>
          <w:p>
            <w:pPr>
              <w:spacing w:before="186" w:line="189" w:lineRule="auto"/>
              <w:ind w:left="203"/>
              <w:rPr>
                <w:rFonts w:ascii="宋体" w:hAnsi="宋体" w:eastAsia="宋体" w:cs="宋体"/>
                <w:sz w:val="20"/>
                <w:szCs w:val="20"/>
              </w:rPr>
            </w:pPr>
            <w:r>
              <w:rPr>
                <w:rFonts w:ascii="宋体" w:hAnsi="宋体" w:eastAsia="宋体" w:cs="宋体"/>
                <w:spacing w:val="2"/>
                <w:sz w:val="20"/>
                <w:szCs w:val="20"/>
              </w:rPr>
              <w:t>3.60</w:t>
            </w:r>
          </w:p>
        </w:tc>
        <w:tc>
          <w:tcPr>
            <w:tcW w:w="2499" w:type="dxa"/>
            <w:vAlign w:val="top"/>
          </w:tcPr>
          <w:p>
            <w:pPr>
              <w:spacing w:before="152" w:line="228" w:lineRule="auto"/>
              <w:ind w:left="118"/>
              <w:rPr>
                <w:rFonts w:ascii="宋体" w:hAnsi="宋体" w:eastAsia="宋体" w:cs="宋体"/>
                <w:sz w:val="20"/>
                <w:szCs w:val="20"/>
              </w:rPr>
            </w:pPr>
            <w:r>
              <w:rPr>
                <w:rFonts w:ascii="宋体" w:hAnsi="宋体" w:eastAsia="宋体" w:cs="宋体"/>
                <w:spacing w:val="7"/>
                <w:sz w:val="20"/>
                <w:szCs w:val="20"/>
              </w:rPr>
              <w:t>项目过程管理资料不足。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05"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before="65" w:line="274" w:lineRule="auto"/>
              <w:ind w:left="126" w:right="119" w:firstLine="220"/>
              <w:rPr>
                <w:rFonts w:ascii="宋体" w:hAnsi="宋体" w:eastAsia="宋体" w:cs="宋体"/>
                <w:sz w:val="20"/>
                <w:szCs w:val="20"/>
              </w:rPr>
            </w:pPr>
            <w:r>
              <w:rPr>
                <w:rFonts w:ascii="宋体" w:hAnsi="宋体" w:eastAsia="宋体" w:cs="宋体"/>
                <w:spacing w:val="4"/>
                <w:sz w:val="20"/>
                <w:szCs w:val="20"/>
              </w:rPr>
              <w:t>产出</w:t>
            </w:r>
            <w:r>
              <w:rPr>
                <w:rFonts w:ascii="宋体" w:hAnsi="宋体" w:eastAsia="宋体" w:cs="宋体"/>
                <w:sz w:val="20"/>
                <w:szCs w:val="20"/>
              </w:rPr>
              <w:t xml:space="preserve">   </w:t>
            </w:r>
            <w:r>
              <w:rPr>
                <w:rFonts w:ascii="宋体" w:hAnsi="宋体" w:eastAsia="宋体" w:cs="宋体"/>
                <w:spacing w:val="-2"/>
                <w:sz w:val="20"/>
                <w:szCs w:val="20"/>
              </w:rPr>
              <w:t>（40</w:t>
            </w:r>
            <w:r>
              <w:rPr>
                <w:rFonts w:ascii="宋体" w:hAnsi="宋体" w:eastAsia="宋体" w:cs="宋体"/>
                <w:spacing w:val="-37"/>
                <w:sz w:val="20"/>
                <w:szCs w:val="20"/>
              </w:rPr>
              <w:t xml:space="preserve"> </w:t>
            </w:r>
            <w:r>
              <w:rPr>
                <w:rFonts w:ascii="宋体" w:hAnsi="宋体" w:eastAsia="宋体" w:cs="宋体"/>
                <w:spacing w:val="-2"/>
                <w:sz w:val="20"/>
                <w:szCs w:val="20"/>
              </w:rPr>
              <w:t>分）</w:t>
            </w:r>
          </w:p>
        </w:tc>
        <w:tc>
          <w:tcPr>
            <w:tcW w:w="1133" w:type="dxa"/>
            <w:vAlign w:val="top"/>
          </w:tcPr>
          <w:p>
            <w:pPr>
              <w:spacing w:line="298" w:lineRule="auto"/>
              <w:rPr>
                <w:rFonts w:ascii="Arial"/>
                <w:sz w:val="21"/>
              </w:rPr>
            </w:pPr>
          </w:p>
          <w:p>
            <w:pPr>
              <w:spacing w:before="65" w:line="228" w:lineRule="auto"/>
              <w:ind w:left="151"/>
              <w:rPr>
                <w:rFonts w:ascii="宋体" w:hAnsi="宋体" w:eastAsia="宋体" w:cs="宋体"/>
                <w:sz w:val="20"/>
                <w:szCs w:val="20"/>
              </w:rPr>
            </w:pPr>
            <w:r>
              <w:rPr>
                <w:rFonts w:ascii="宋体" w:hAnsi="宋体" w:eastAsia="宋体" w:cs="宋体"/>
                <w:spacing w:val="7"/>
                <w:sz w:val="20"/>
                <w:szCs w:val="20"/>
              </w:rPr>
              <w:t>产出数量</w:t>
            </w:r>
          </w:p>
        </w:tc>
        <w:tc>
          <w:tcPr>
            <w:tcW w:w="645" w:type="dxa"/>
            <w:vAlign w:val="top"/>
          </w:tcPr>
          <w:p>
            <w:pPr>
              <w:spacing w:line="329" w:lineRule="auto"/>
              <w:rPr>
                <w:rFonts w:ascii="Arial"/>
                <w:sz w:val="21"/>
              </w:rPr>
            </w:pPr>
          </w:p>
          <w:p>
            <w:pPr>
              <w:spacing w:before="65"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line="298" w:lineRule="auto"/>
              <w:rPr>
                <w:rFonts w:ascii="Arial"/>
                <w:sz w:val="21"/>
              </w:rPr>
            </w:pPr>
          </w:p>
          <w:p>
            <w:pPr>
              <w:spacing w:before="65" w:line="228" w:lineRule="auto"/>
              <w:ind w:left="437"/>
              <w:rPr>
                <w:rFonts w:ascii="宋体" w:hAnsi="宋体" w:eastAsia="宋体" w:cs="宋体"/>
                <w:sz w:val="20"/>
                <w:szCs w:val="20"/>
              </w:rPr>
            </w:pPr>
            <w:r>
              <w:rPr>
                <w:rFonts w:ascii="宋体" w:hAnsi="宋体" w:eastAsia="宋体" w:cs="宋体"/>
                <w:spacing w:val="7"/>
                <w:sz w:val="20"/>
                <w:szCs w:val="20"/>
              </w:rPr>
              <w:t>实际完成率</w:t>
            </w:r>
          </w:p>
        </w:tc>
        <w:tc>
          <w:tcPr>
            <w:tcW w:w="709" w:type="dxa"/>
            <w:vAlign w:val="top"/>
          </w:tcPr>
          <w:p>
            <w:pPr>
              <w:spacing w:line="329" w:lineRule="auto"/>
              <w:rPr>
                <w:rFonts w:ascii="Arial"/>
                <w:sz w:val="21"/>
              </w:rPr>
            </w:pPr>
          </w:p>
          <w:p>
            <w:pPr>
              <w:spacing w:before="65" w:line="190" w:lineRule="auto"/>
              <w:ind w:left="271"/>
              <w:rPr>
                <w:rFonts w:ascii="宋体" w:hAnsi="宋体" w:eastAsia="宋体" w:cs="宋体"/>
                <w:sz w:val="20"/>
                <w:szCs w:val="20"/>
              </w:rPr>
            </w:pPr>
            <w:r>
              <w:rPr>
                <w:rFonts w:ascii="宋体" w:hAnsi="宋体" w:eastAsia="宋体" w:cs="宋体"/>
                <w:spacing w:val="-7"/>
                <w:sz w:val="20"/>
                <w:szCs w:val="20"/>
              </w:rPr>
              <w:t>10</w:t>
            </w:r>
          </w:p>
        </w:tc>
        <w:tc>
          <w:tcPr>
            <w:tcW w:w="809" w:type="dxa"/>
            <w:vAlign w:val="top"/>
          </w:tcPr>
          <w:p>
            <w:pPr>
              <w:spacing w:line="331" w:lineRule="auto"/>
              <w:rPr>
                <w:rFonts w:ascii="Arial"/>
                <w:sz w:val="21"/>
              </w:rPr>
            </w:pPr>
          </w:p>
          <w:p>
            <w:pPr>
              <w:spacing w:before="65" w:line="189" w:lineRule="auto"/>
              <w:ind w:left="201"/>
              <w:rPr>
                <w:rFonts w:ascii="宋体" w:hAnsi="宋体" w:eastAsia="宋体" w:cs="宋体"/>
                <w:sz w:val="20"/>
                <w:szCs w:val="20"/>
              </w:rPr>
            </w:pPr>
            <w:r>
              <w:rPr>
                <w:rFonts w:ascii="宋体" w:hAnsi="宋体" w:eastAsia="宋体" w:cs="宋体"/>
                <w:spacing w:val="2"/>
                <w:sz w:val="20"/>
                <w:szCs w:val="20"/>
              </w:rPr>
              <w:t>6.60</w:t>
            </w:r>
          </w:p>
        </w:tc>
        <w:tc>
          <w:tcPr>
            <w:tcW w:w="2499" w:type="dxa"/>
            <w:vAlign w:val="top"/>
          </w:tcPr>
          <w:p>
            <w:pPr>
              <w:spacing w:before="52" w:line="270" w:lineRule="auto"/>
              <w:ind w:left="115" w:right="108" w:firstLine="3"/>
              <w:jc w:val="both"/>
              <w:rPr>
                <w:rFonts w:ascii="宋体" w:hAnsi="宋体" w:eastAsia="宋体" w:cs="宋体"/>
                <w:sz w:val="20"/>
                <w:szCs w:val="20"/>
              </w:rPr>
            </w:pPr>
            <w:r>
              <w:rPr>
                <w:rFonts w:ascii="宋体" w:hAnsi="宋体" w:eastAsia="宋体" w:cs="宋体"/>
                <w:spacing w:val="19"/>
                <w:sz w:val="20"/>
                <w:szCs w:val="20"/>
              </w:rPr>
              <w:t>项</w:t>
            </w:r>
            <w:r>
              <w:rPr>
                <w:rFonts w:ascii="宋体" w:hAnsi="宋体" w:eastAsia="宋体" w:cs="宋体"/>
                <w:spacing w:val="-25"/>
                <w:sz w:val="20"/>
                <w:szCs w:val="20"/>
              </w:rPr>
              <w:t xml:space="preserve"> </w:t>
            </w:r>
            <w:r>
              <w:rPr>
                <w:rFonts w:ascii="宋体" w:hAnsi="宋体" w:eastAsia="宋体" w:cs="宋体"/>
                <w:spacing w:val="19"/>
                <w:sz w:val="20"/>
                <w:szCs w:val="20"/>
              </w:rPr>
              <w:t>目效果资料以照片呈</w:t>
            </w:r>
            <w:r>
              <w:rPr>
                <w:rFonts w:ascii="宋体" w:hAnsi="宋体" w:eastAsia="宋体" w:cs="宋体"/>
                <w:sz w:val="20"/>
                <w:szCs w:val="20"/>
              </w:rPr>
              <w:t xml:space="preserve"> </w:t>
            </w:r>
            <w:r>
              <w:rPr>
                <w:rFonts w:ascii="宋体" w:hAnsi="宋体" w:eastAsia="宋体" w:cs="宋体"/>
                <w:spacing w:val="6"/>
                <w:sz w:val="20"/>
                <w:szCs w:val="20"/>
              </w:rPr>
              <w:t>现不足，未完成预估杂草</w:t>
            </w:r>
            <w:r>
              <w:rPr>
                <w:rFonts w:ascii="宋体" w:hAnsi="宋体" w:eastAsia="宋体" w:cs="宋体"/>
                <w:spacing w:val="2"/>
                <w:sz w:val="20"/>
                <w:szCs w:val="20"/>
              </w:rPr>
              <w:t xml:space="preserve"> </w:t>
            </w:r>
            <w:r>
              <w:rPr>
                <w:rFonts w:ascii="宋体" w:hAnsi="宋体" w:eastAsia="宋体" w:cs="宋体"/>
                <w:sz w:val="20"/>
                <w:szCs w:val="20"/>
              </w:rPr>
              <w:t>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1" w:hRule="atLeast"/>
        </w:trPr>
        <w:tc>
          <w:tcPr>
            <w:tcW w:w="1105" w:type="dxa"/>
            <w:vMerge w:val="continue"/>
            <w:tcBorders>
              <w:top w:val="nil"/>
              <w:bottom w:val="nil"/>
            </w:tcBorders>
            <w:vAlign w:val="top"/>
          </w:tcPr>
          <w:p>
            <w:pPr>
              <w:rPr>
                <w:rFonts w:ascii="Arial"/>
                <w:sz w:val="21"/>
              </w:rPr>
            </w:pPr>
          </w:p>
        </w:tc>
        <w:tc>
          <w:tcPr>
            <w:tcW w:w="1133" w:type="dxa"/>
            <w:vAlign w:val="top"/>
          </w:tcPr>
          <w:p>
            <w:pPr>
              <w:spacing w:line="453" w:lineRule="auto"/>
              <w:rPr>
                <w:rFonts w:ascii="Arial"/>
                <w:sz w:val="21"/>
              </w:rPr>
            </w:pPr>
          </w:p>
          <w:p>
            <w:pPr>
              <w:spacing w:before="65" w:line="228" w:lineRule="auto"/>
              <w:ind w:left="151"/>
              <w:rPr>
                <w:rFonts w:ascii="宋体" w:hAnsi="宋体" w:eastAsia="宋体" w:cs="宋体"/>
                <w:sz w:val="20"/>
                <w:szCs w:val="20"/>
              </w:rPr>
            </w:pPr>
            <w:r>
              <w:rPr>
                <w:rFonts w:ascii="宋体" w:hAnsi="宋体" w:eastAsia="宋体" w:cs="宋体"/>
                <w:spacing w:val="7"/>
                <w:sz w:val="20"/>
                <w:szCs w:val="20"/>
              </w:rPr>
              <w:t>产出质量</w:t>
            </w:r>
          </w:p>
        </w:tc>
        <w:tc>
          <w:tcPr>
            <w:tcW w:w="645" w:type="dxa"/>
            <w:vAlign w:val="top"/>
          </w:tcPr>
          <w:p>
            <w:pPr>
              <w:spacing w:line="242" w:lineRule="auto"/>
              <w:rPr>
                <w:rFonts w:ascii="Arial"/>
                <w:sz w:val="21"/>
              </w:rPr>
            </w:pPr>
          </w:p>
          <w:p>
            <w:pPr>
              <w:spacing w:line="243" w:lineRule="auto"/>
              <w:rPr>
                <w:rFonts w:ascii="Arial"/>
                <w:sz w:val="21"/>
              </w:rPr>
            </w:pPr>
          </w:p>
          <w:p>
            <w:pPr>
              <w:spacing w:before="65"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line="453" w:lineRule="auto"/>
              <w:rPr>
                <w:rFonts w:ascii="Arial"/>
                <w:sz w:val="21"/>
              </w:rPr>
            </w:pPr>
          </w:p>
          <w:p>
            <w:pPr>
              <w:spacing w:before="65" w:line="228" w:lineRule="auto"/>
              <w:ind w:left="433"/>
              <w:rPr>
                <w:rFonts w:ascii="宋体" w:hAnsi="宋体" w:eastAsia="宋体" w:cs="宋体"/>
                <w:sz w:val="20"/>
                <w:szCs w:val="20"/>
              </w:rPr>
            </w:pPr>
            <w:r>
              <w:rPr>
                <w:rFonts w:ascii="宋体" w:hAnsi="宋体" w:eastAsia="宋体" w:cs="宋体"/>
                <w:spacing w:val="7"/>
                <w:sz w:val="20"/>
                <w:szCs w:val="20"/>
              </w:rPr>
              <w:t>质量达标率</w:t>
            </w:r>
          </w:p>
        </w:tc>
        <w:tc>
          <w:tcPr>
            <w:tcW w:w="709" w:type="dxa"/>
            <w:vAlign w:val="top"/>
          </w:tcPr>
          <w:p>
            <w:pPr>
              <w:spacing w:line="242" w:lineRule="auto"/>
              <w:rPr>
                <w:rFonts w:ascii="Arial"/>
                <w:sz w:val="21"/>
              </w:rPr>
            </w:pPr>
          </w:p>
          <w:p>
            <w:pPr>
              <w:spacing w:line="243" w:lineRule="auto"/>
              <w:rPr>
                <w:rFonts w:ascii="Arial"/>
                <w:sz w:val="21"/>
              </w:rPr>
            </w:pPr>
          </w:p>
          <w:p>
            <w:pPr>
              <w:spacing w:before="65" w:line="190" w:lineRule="auto"/>
              <w:ind w:left="271"/>
              <w:rPr>
                <w:rFonts w:ascii="宋体" w:hAnsi="宋体" w:eastAsia="宋体" w:cs="宋体"/>
                <w:sz w:val="20"/>
                <w:szCs w:val="20"/>
              </w:rPr>
            </w:pPr>
            <w:r>
              <w:rPr>
                <w:rFonts w:ascii="宋体" w:hAnsi="宋体" w:eastAsia="宋体" w:cs="宋体"/>
                <w:spacing w:val="-7"/>
                <w:sz w:val="20"/>
                <w:szCs w:val="20"/>
              </w:rPr>
              <w:t>10</w:t>
            </w:r>
          </w:p>
        </w:tc>
        <w:tc>
          <w:tcPr>
            <w:tcW w:w="809" w:type="dxa"/>
            <w:vAlign w:val="top"/>
          </w:tcPr>
          <w:p>
            <w:pPr>
              <w:spacing w:line="243" w:lineRule="auto"/>
              <w:rPr>
                <w:rFonts w:ascii="Arial"/>
                <w:sz w:val="21"/>
              </w:rPr>
            </w:pPr>
          </w:p>
          <w:p>
            <w:pPr>
              <w:spacing w:line="243" w:lineRule="auto"/>
              <w:rPr>
                <w:rFonts w:ascii="Arial"/>
                <w:sz w:val="21"/>
              </w:rPr>
            </w:pPr>
          </w:p>
          <w:p>
            <w:pPr>
              <w:spacing w:before="65" w:line="189" w:lineRule="auto"/>
              <w:ind w:left="203"/>
              <w:rPr>
                <w:rFonts w:ascii="宋体" w:hAnsi="宋体" w:eastAsia="宋体" w:cs="宋体"/>
                <w:sz w:val="20"/>
                <w:szCs w:val="20"/>
              </w:rPr>
            </w:pPr>
            <w:r>
              <w:rPr>
                <w:rFonts w:ascii="宋体" w:hAnsi="宋体" w:eastAsia="宋体" w:cs="宋体"/>
                <w:spacing w:val="2"/>
                <w:sz w:val="20"/>
                <w:szCs w:val="20"/>
              </w:rPr>
              <w:t>5.20</w:t>
            </w:r>
          </w:p>
        </w:tc>
        <w:tc>
          <w:tcPr>
            <w:tcW w:w="2499" w:type="dxa"/>
            <w:vAlign w:val="top"/>
          </w:tcPr>
          <w:p>
            <w:pPr>
              <w:spacing w:before="208" w:line="278" w:lineRule="auto"/>
              <w:ind w:left="114" w:right="108" w:firstLine="4"/>
              <w:rPr>
                <w:rFonts w:ascii="宋体" w:hAnsi="宋体" w:eastAsia="宋体" w:cs="宋体"/>
                <w:sz w:val="20"/>
                <w:szCs w:val="20"/>
              </w:rPr>
            </w:pPr>
            <w:r>
              <w:rPr>
                <w:rFonts w:ascii="宋体" w:hAnsi="宋体" w:eastAsia="宋体" w:cs="宋体"/>
                <w:spacing w:val="6"/>
                <w:sz w:val="20"/>
                <w:szCs w:val="20"/>
              </w:rPr>
              <w:t>项目验收不规范，项目过</w:t>
            </w:r>
            <w:r>
              <w:rPr>
                <w:rFonts w:ascii="宋体" w:hAnsi="宋体" w:eastAsia="宋体" w:cs="宋体"/>
                <w:sz w:val="20"/>
                <w:szCs w:val="20"/>
              </w:rPr>
              <w:t xml:space="preserve"> </w:t>
            </w:r>
            <w:r>
              <w:rPr>
                <w:rFonts w:ascii="宋体" w:hAnsi="宋体" w:eastAsia="宋体" w:cs="宋体"/>
                <w:spacing w:val="6"/>
                <w:sz w:val="20"/>
                <w:szCs w:val="20"/>
              </w:rPr>
              <w:t>程监管和验收资料不足，</w:t>
            </w:r>
            <w:r>
              <w:rPr>
                <w:rFonts w:ascii="宋体" w:hAnsi="宋体" w:eastAsia="宋体" w:cs="宋体"/>
                <w:spacing w:val="3"/>
                <w:sz w:val="20"/>
                <w:szCs w:val="20"/>
              </w:rPr>
              <w:t xml:space="preserve"> </w:t>
            </w:r>
            <w:r>
              <w:rPr>
                <w:rFonts w:ascii="宋体" w:hAnsi="宋体" w:eastAsia="宋体" w:cs="宋体"/>
                <w:spacing w:val="8"/>
                <w:sz w:val="20"/>
                <w:szCs w:val="20"/>
              </w:rPr>
              <w:t>评价资料提供不充分。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2" w:hRule="atLeast"/>
        </w:trPr>
        <w:tc>
          <w:tcPr>
            <w:tcW w:w="1105" w:type="dxa"/>
            <w:vMerge w:val="continue"/>
            <w:tcBorders>
              <w:top w:val="nil"/>
              <w:bottom w:val="nil"/>
            </w:tcBorders>
            <w:vAlign w:val="top"/>
          </w:tcPr>
          <w:p>
            <w:pPr>
              <w:rPr>
                <w:rFonts w:ascii="Arial"/>
                <w:sz w:val="21"/>
              </w:rPr>
            </w:pPr>
          </w:p>
        </w:tc>
        <w:tc>
          <w:tcPr>
            <w:tcW w:w="1133" w:type="dxa"/>
            <w:vAlign w:val="top"/>
          </w:tcPr>
          <w:p>
            <w:pPr>
              <w:spacing w:line="304" w:lineRule="auto"/>
              <w:rPr>
                <w:rFonts w:ascii="Arial"/>
                <w:sz w:val="21"/>
              </w:rPr>
            </w:pPr>
          </w:p>
          <w:p>
            <w:pPr>
              <w:spacing w:before="65" w:line="228" w:lineRule="auto"/>
              <w:ind w:left="151"/>
              <w:rPr>
                <w:rFonts w:ascii="宋体" w:hAnsi="宋体" w:eastAsia="宋体" w:cs="宋体"/>
                <w:sz w:val="20"/>
                <w:szCs w:val="20"/>
              </w:rPr>
            </w:pPr>
            <w:r>
              <w:rPr>
                <w:rFonts w:ascii="宋体" w:hAnsi="宋体" w:eastAsia="宋体" w:cs="宋体"/>
                <w:spacing w:val="7"/>
                <w:sz w:val="20"/>
                <w:szCs w:val="20"/>
              </w:rPr>
              <w:t>产出时效</w:t>
            </w:r>
          </w:p>
        </w:tc>
        <w:tc>
          <w:tcPr>
            <w:tcW w:w="645" w:type="dxa"/>
            <w:vAlign w:val="top"/>
          </w:tcPr>
          <w:p>
            <w:pPr>
              <w:spacing w:line="336" w:lineRule="auto"/>
              <w:rPr>
                <w:rFonts w:ascii="Arial"/>
                <w:sz w:val="21"/>
              </w:rPr>
            </w:pPr>
          </w:p>
          <w:p>
            <w:pPr>
              <w:spacing w:before="65"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line="304" w:lineRule="auto"/>
              <w:rPr>
                <w:rFonts w:ascii="Arial"/>
                <w:sz w:val="21"/>
              </w:rPr>
            </w:pPr>
          </w:p>
          <w:p>
            <w:pPr>
              <w:spacing w:before="65" w:line="228" w:lineRule="auto"/>
              <w:ind w:left="434"/>
              <w:rPr>
                <w:rFonts w:ascii="宋体" w:hAnsi="宋体" w:eastAsia="宋体" w:cs="宋体"/>
                <w:sz w:val="20"/>
                <w:szCs w:val="20"/>
              </w:rPr>
            </w:pPr>
            <w:r>
              <w:rPr>
                <w:rFonts w:ascii="宋体" w:hAnsi="宋体" w:eastAsia="宋体" w:cs="宋体"/>
                <w:spacing w:val="7"/>
                <w:sz w:val="20"/>
                <w:szCs w:val="20"/>
              </w:rPr>
              <w:t>完成及时性</w:t>
            </w:r>
          </w:p>
        </w:tc>
        <w:tc>
          <w:tcPr>
            <w:tcW w:w="709" w:type="dxa"/>
            <w:vAlign w:val="top"/>
          </w:tcPr>
          <w:p>
            <w:pPr>
              <w:spacing w:line="336" w:lineRule="auto"/>
              <w:rPr>
                <w:rFonts w:ascii="Arial"/>
                <w:sz w:val="21"/>
              </w:rPr>
            </w:pPr>
          </w:p>
          <w:p>
            <w:pPr>
              <w:spacing w:before="65" w:line="190" w:lineRule="auto"/>
              <w:ind w:left="271"/>
              <w:rPr>
                <w:rFonts w:ascii="宋体" w:hAnsi="宋体" w:eastAsia="宋体" w:cs="宋体"/>
                <w:sz w:val="20"/>
                <w:szCs w:val="20"/>
              </w:rPr>
            </w:pPr>
            <w:r>
              <w:rPr>
                <w:rFonts w:ascii="宋体" w:hAnsi="宋体" w:eastAsia="宋体" w:cs="宋体"/>
                <w:spacing w:val="-7"/>
                <w:sz w:val="20"/>
                <w:szCs w:val="20"/>
              </w:rPr>
              <w:t>10</w:t>
            </w:r>
          </w:p>
        </w:tc>
        <w:tc>
          <w:tcPr>
            <w:tcW w:w="809" w:type="dxa"/>
            <w:vAlign w:val="top"/>
          </w:tcPr>
          <w:p>
            <w:pPr>
              <w:spacing w:line="338" w:lineRule="auto"/>
              <w:rPr>
                <w:rFonts w:ascii="Arial"/>
                <w:sz w:val="21"/>
              </w:rPr>
            </w:pPr>
          </w:p>
          <w:p>
            <w:pPr>
              <w:spacing w:before="65" w:line="189" w:lineRule="auto"/>
              <w:ind w:left="200"/>
              <w:rPr>
                <w:rFonts w:ascii="宋体" w:hAnsi="宋体" w:eastAsia="宋体" w:cs="宋体"/>
                <w:sz w:val="20"/>
                <w:szCs w:val="20"/>
              </w:rPr>
            </w:pPr>
            <w:r>
              <w:rPr>
                <w:rFonts w:ascii="宋体" w:hAnsi="宋体" w:eastAsia="宋体" w:cs="宋体"/>
                <w:spacing w:val="3"/>
                <w:sz w:val="20"/>
                <w:szCs w:val="20"/>
              </w:rPr>
              <w:t>8.40</w:t>
            </w:r>
          </w:p>
        </w:tc>
        <w:tc>
          <w:tcPr>
            <w:tcW w:w="2499" w:type="dxa"/>
            <w:vAlign w:val="top"/>
          </w:tcPr>
          <w:p>
            <w:pPr>
              <w:spacing w:before="216" w:line="273" w:lineRule="auto"/>
              <w:ind w:left="117" w:right="108" w:hanging="3"/>
              <w:rPr>
                <w:rFonts w:ascii="宋体" w:hAnsi="宋体" w:eastAsia="宋体" w:cs="宋体"/>
                <w:sz w:val="20"/>
                <w:szCs w:val="20"/>
              </w:rPr>
            </w:pPr>
            <w:r>
              <w:rPr>
                <w:rFonts w:ascii="宋体" w:hAnsi="宋体" w:eastAsia="宋体" w:cs="宋体"/>
                <w:spacing w:val="20"/>
                <w:sz w:val="20"/>
                <w:szCs w:val="20"/>
              </w:rPr>
              <w:t>验收对应项</w:t>
            </w:r>
            <w:r>
              <w:rPr>
                <w:rFonts w:ascii="宋体" w:hAnsi="宋体" w:eastAsia="宋体" w:cs="宋体"/>
                <w:spacing w:val="-31"/>
                <w:sz w:val="20"/>
                <w:szCs w:val="20"/>
              </w:rPr>
              <w:t xml:space="preserve"> </w:t>
            </w:r>
            <w:r>
              <w:rPr>
                <w:rFonts w:ascii="宋体" w:hAnsi="宋体" w:eastAsia="宋体" w:cs="宋体"/>
                <w:spacing w:val="20"/>
                <w:sz w:val="20"/>
                <w:szCs w:val="20"/>
              </w:rPr>
              <w:t>目完成及时</w:t>
            </w:r>
            <w:r>
              <w:rPr>
                <w:rFonts w:ascii="宋体" w:hAnsi="宋体" w:eastAsia="宋体" w:cs="宋体"/>
                <w:sz w:val="20"/>
                <w:szCs w:val="20"/>
              </w:rPr>
              <w:t xml:space="preserve"> </w:t>
            </w:r>
            <w:r>
              <w:rPr>
                <w:rFonts w:ascii="宋体" w:hAnsi="宋体" w:eastAsia="宋体" w:cs="宋体"/>
                <w:spacing w:val="8"/>
                <w:sz w:val="20"/>
                <w:szCs w:val="20"/>
              </w:rPr>
              <w:t>性佐证资料支撑不足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1105" w:type="dxa"/>
            <w:vMerge w:val="continue"/>
            <w:tcBorders>
              <w:top w:val="nil"/>
            </w:tcBorders>
            <w:vAlign w:val="top"/>
          </w:tcPr>
          <w:p>
            <w:pPr>
              <w:rPr>
                <w:rFonts w:ascii="Arial"/>
                <w:sz w:val="21"/>
              </w:rPr>
            </w:pPr>
          </w:p>
        </w:tc>
        <w:tc>
          <w:tcPr>
            <w:tcW w:w="1133" w:type="dxa"/>
            <w:vAlign w:val="top"/>
          </w:tcPr>
          <w:p>
            <w:pPr>
              <w:spacing w:before="137" w:line="227" w:lineRule="auto"/>
              <w:ind w:left="151"/>
              <w:rPr>
                <w:rFonts w:ascii="宋体" w:hAnsi="宋体" w:eastAsia="宋体" w:cs="宋体"/>
                <w:sz w:val="20"/>
                <w:szCs w:val="20"/>
              </w:rPr>
            </w:pPr>
            <w:r>
              <w:rPr>
                <w:rFonts w:ascii="宋体" w:hAnsi="宋体" w:eastAsia="宋体" w:cs="宋体"/>
                <w:spacing w:val="7"/>
                <w:sz w:val="20"/>
                <w:szCs w:val="20"/>
              </w:rPr>
              <w:t>产出成本</w:t>
            </w:r>
          </w:p>
        </w:tc>
        <w:tc>
          <w:tcPr>
            <w:tcW w:w="645" w:type="dxa"/>
            <w:vAlign w:val="top"/>
          </w:tcPr>
          <w:p>
            <w:pPr>
              <w:spacing w:before="169"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before="137" w:line="227" w:lineRule="auto"/>
              <w:ind w:left="434"/>
              <w:rPr>
                <w:rFonts w:ascii="宋体" w:hAnsi="宋体" w:eastAsia="宋体" w:cs="宋体"/>
                <w:sz w:val="20"/>
                <w:szCs w:val="20"/>
              </w:rPr>
            </w:pPr>
            <w:r>
              <w:rPr>
                <w:rFonts w:ascii="宋体" w:hAnsi="宋体" w:eastAsia="宋体" w:cs="宋体"/>
                <w:spacing w:val="7"/>
                <w:sz w:val="20"/>
                <w:szCs w:val="20"/>
              </w:rPr>
              <w:t>成本节约率</w:t>
            </w:r>
          </w:p>
        </w:tc>
        <w:tc>
          <w:tcPr>
            <w:tcW w:w="709" w:type="dxa"/>
            <w:vAlign w:val="top"/>
          </w:tcPr>
          <w:p>
            <w:pPr>
              <w:spacing w:before="169" w:line="190" w:lineRule="auto"/>
              <w:ind w:left="271"/>
              <w:rPr>
                <w:rFonts w:ascii="宋体" w:hAnsi="宋体" w:eastAsia="宋体" w:cs="宋体"/>
                <w:sz w:val="20"/>
                <w:szCs w:val="20"/>
              </w:rPr>
            </w:pPr>
            <w:r>
              <w:rPr>
                <w:rFonts w:ascii="宋体" w:hAnsi="宋体" w:eastAsia="宋体" w:cs="宋体"/>
                <w:spacing w:val="-7"/>
                <w:sz w:val="20"/>
                <w:szCs w:val="20"/>
              </w:rPr>
              <w:t>10</w:t>
            </w:r>
          </w:p>
        </w:tc>
        <w:tc>
          <w:tcPr>
            <w:tcW w:w="809" w:type="dxa"/>
            <w:vAlign w:val="top"/>
          </w:tcPr>
          <w:p>
            <w:pPr>
              <w:spacing w:before="169" w:line="190" w:lineRule="auto"/>
              <w:ind w:left="162"/>
              <w:rPr>
                <w:rFonts w:ascii="宋体" w:hAnsi="宋体" w:eastAsia="宋体" w:cs="宋体"/>
                <w:sz w:val="20"/>
                <w:szCs w:val="20"/>
              </w:rPr>
            </w:pPr>
            <w:r>
              <w:rPr>
                <w:rFonts w:ascii="宋体" w:hAnsi="宋体" w:eastAsia="宋体" w:cs="宋体"/>
                <w:sz w:val="20"/>
                <w:szCs w:val="20"/>
              </w:rPr>
              <w:t>10.00</w:t>
            </w:r>
          </w:p>
        </w:tc>
        <w:tc>
          <w:tcPr>
            <w:tcW w:w="249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105" w:type="dxa"/>
            <w:vMerge w:val="restart"/>
            <w:tcBorders>
              <w:bottom w:val="nil"/>
            </w:tcBorders>
            <w:vAlign w:val="top"/>
          </w:tcPr>
          <w:p>
            <w:pPr>
              <w:spacing w:line="461" w:lineRule="auto"/>
              <w:rPr>
                <w:rFonts w:ascii="Arial"/>
                <w:sz w:val="21"/>
              </w:rPr>
            </w:pPr>
          </w:p>
          <w:p>
            <w:pPr>
              <w:spacing w:before="65" w:line="274" w:lineRule="auto"/>
              <w:ind w:left="126" w:right="119" w:firstLine="225"/>
              <w:rPr>
                <w:rFonts w:ascii="宋体" w:hAnsi="宋体" w:eastAsia="宋体" w:cs="宋体"/>
                <w:sz w:val="20"/>
                <w:szCs w:val="20"/>
              </w:rPr>
            </w:pPr>
            <w:r>
              <w:rPr>
                <w:rFonts w:ascii="宋体" w:hAnsi="宋体" w:eastAsia="宋体" w:cs="宋体"/>
                <w:spacing w:val="2"/>
                <w:sz w:val="20"/>
                <w:szCs w:val="20"/>
              </w:rPr>
              <w:t>效益</w:t>
            </w:r>
            <w:r>
              <w:rPr>
                <w:rFonts w:ascii="宋体" w:hAnsi="宋体" w:eastAsia="宋体" w:cs="宋体"/>
                <w:sz w:val="20"/>
                <w:szCs w:val="20"/>
              </w:rPr>
              <w:t xml:space="preserve">   </w:t>
            </w:r>
            <w:r>
              <w:rPr>
                <w:rFonts w:ascii="宋体" w:hAnsi="宋体" w:eastAsia="宋体" w:cs="宋体"/>
                <w:spacing w:val="-2"/>
                <w:sz w:val="20"/>
                <w:szCs w:val="20"/>
              </w:rPr>
              <w:t>（30</w:t>
            </w:r>
            <w:r>
              <w:rPr>
                <w:rFonts w:ascii="宋体" w:hAnsi="宋体" w:eastAsia="宋体" w:cs="宋体"/>
                <w:spacing w:val="-37"/>
                <w:sz w:val="20"/>
                <w:szCs w:val="20"/>
              </w:rPr>
              <w:t xml:space="preserve"> </w:t>
            </w:r>
            <w:r>
              <w:rPr>
                <w:rFonts w:ascii="宋体" w:hAnsi="宋体" w:eastAsia="宋体" w:cs="宋体"/>
                <w:spacing w:val="-2"/>
                <w:sz w:val="20"/>
                <w:szCs w:val="20"/>
              </w:rPr>
              <w:t>分）</w:t>
            </w:r>
          </w:p>
        </w:tc>
        <w:tc>
          <w:tcPr>
            <w:tcW w:w="1133" w:type="dxa"/>
            <w:vAlign w:val="top"/>
          </w:tcPr>
          <w:p>
            <w:pPr>
              <w:spacing w:line="302" w:lineRule="auto"/>
              <w:rPr>
                <w:rFonts w:ascii="Arial"/>
                <w:sz w:val="21"/>
              </w:rPr>
            </w:pPr>
          </w:p>
          <w:p>
            <w:pPr>
              <w:spacing w:before="65" w:line="228" w:lineRule="auto"/>
              <w:ind w:left="155"/>
              <w:rPr>
                <w:rFonts w:ascii="宋体" w:hAnsi="宋体" w:eastAsia="宋体" w:cs="宋体"/>
                <w:sz w:val="20"/>
                <w:szCs w:val="20"/>
              </w:rPr>
            </w:pPr>
            <w:r>
              <w:rPr>
                <w:rFonts w:ascii="宋体" w:hAnsi="宋体" w:eastAsia="宋体" w:cs="宋体"/>
                <w:spacing w:val="6"/>
                <w:sz w:val="20"/>
                <w:szCs w:val="20"/>
              </w:rPr>
              <w:t>项目效益</w:t>
            </w:r>
          </w:p>
        </w:tc>
        <w:tc>
          <w:tcPr>
            <w:tcW w:w="645" w:type="dxa"/>
            <w:vAlign w:val="top"/>
          </w:tcPr>
          <w:p>
            <w:pPr>
              <w:spacing w:line="334" w:lineRule="auto"/>
              <w:rPr>
                <w:rFonts w:ascii="Arial"/>
                <w:sz w:val="21"/>
              </w:rPr>
            </w:pPr>
          </w:p>
          <w:p>
            <w:pPr>
              <w:spacing w:before="65" w:line="189" w:lineRule="auto"/>
              <w:ind w:left="223"/>
              <w:rPr>
                <w:rFonts w:ascii="宋体" w:hAnsi="宋体" w:eastAsia="宋体" w:cs="宋体"/>
                <w:sz w:val="20"/>
                <w:szCs w:val="20"/>
              </w:rPr>
            </w:pPr>
            <w:r>
              <w:rPr>
                <w:rFonts w:ascii="宋体" w:hAnsi="宋体" w:eastAsia="宋体" w:cs="宋体"/>
                <w:spacing w:val="-1"/>
                <w:sz w:val="20"/>
                <w:szCs w:val="20"/>
              </w:rPr>
              <w:t>20</w:t>
            </w:r>
          </w:p>
        </w:tc>
        <w:tc>
          <w:tcPr>
            <w:tcW w:w="1905" w:type="dxa"/>
            <w:vAlign w:val="top"/>
          </w:tcPr>
          <w:p>
            <w:pPr>
              <w:spacing w:line="302" w:lineRule="auto"/>
              <w:rPr>
                <w:rFonts w:ascii="Arial"/>
                <w:sz w:val="21"/>
              </w:rPr>
            </w:pPr>
          </w:p>
          <w:p>
            <w:pPr>
              <w:spacing w:before="65" w:line="228" w:lineRule="auto"/>
              <w:ind w:left="538"/>
              <w:rPr>
                <w:rFonts w:ascii="宋体" w:hAnsi="宋体" w:eastAsia="宋体" w:cs="宋体"/>
                <w:sz w:val="20"/>
                <w:szCs w:val="20"/>
              </w:rPr>
            </w:pPr>
            <w:r>
              <w:rPr>
                <w:rFonts w:ascii="宋体" w:hAnsi="宋体" w:eastAsia="宋体" w:cs="宋体"/>
                <w:spacing w:val="7"/>
                <w:sz w:val="20"/>
                <w:szCs w:val="20"/>
              </w:rPr>
              <w:t>环境效益</w:t>
            </w:r>
          </w:p>
        </w:tc>
        <w:tc>
          <w:tcPr>
            <w:tcW w:w="709" w:type="dxa"/>
            <w:vAlign w:val="top"/>
          </w:tcPr>
          <w:p>
            <w:pPr>
              <w:spacing w:line="334" w:lineRule="auto"/>
              <w:rPr>
                <w:rFonts w:ascii="Arial"/>
                <w:sz w:val="21"/>
              </w:rPr>
            </w:pPr>
          </w:p>
          <w:p>
            <w:pPr>
              <w:spacing w:before="65" w:line="189" w:lineRule="auto"/>
              <w:ind w:left="258"/>
              <w:rPr>
                <w:rFonts w:ascii="宋体" w:hAnsi="宋体" w:eastAsia="宋体" w:cs="宋体"/>
                <w:sz w:val="20"/>
                <w:szCs w:val="20"/>
              </w:rPr>
            </w:pPr>
            <w:r>
              <w:rPr>
                <w:rFonts w:ascii="宋体" w:hAnsi="宋体" w:eastAsia="宋体" w:cs="宋体"/>
                <w:spacing w:val="-1"/>
                <w:sz w:val="20"/>
                <w:szCs w:val="20"/>
              </w:rPr>
              <w:t>20</w:t>
            </w:r>
          </w:p>
        </w:tc>
        <w:tc>
          <w:tcPr>
            <w:tcW w:w="809" w:type="dxa"/>
            <w:vAlign w:val="top"/>
          </w:tcPr>
          <w:p>
            <w:pPr>
              <w:spacing w:line="333" w:lineRule="auto"/>
              <w:rPr>
                <w:rFonts w:ascii="Arial"/>
                <w:sz w:val="21"/>
              </w:rPr>
            </w:pPr>
          </w:p>
          <w:p>
            <w:pPr>
              <w:spacing w:before="65" w:line="190" w:lineRule="auto"/>
              <w:ind w:left="162"/>
              <w:rPr>
                <w:rFonts w:ascii="宋体" w:hAnsi="宋体" w:eastAsia="宋体" w:cs="宋体"/>
                <w:sz w:val="20"/>
                <w:szCs w:val="20"/>
              </w:rPr>
            </w:pPr>
            <w:r>
              <w:rPr>
                <w:rFonts w:ascii="宋体" w:hAnsi="宋体" w:eastAsia="宋体" w:cs="宋体"/>
                <w:sz w:val="20"/>
                <w:szCs w:val="20"/>
              </w:rPr>
              <w:t>14.60</w:t>
            </w:r>
          </w:p>
        </w:tc>
        <w:tc>
          <w:tcPr>
            <w:tcW w:w="2499" w:type="dxa"/>
            <w:vAlign w:val="top"/>
          </w:tcPr>
          <w:p>
            <w:pPr>
              <w:spacing w:before="56" w:line="269" w:lineRule="auto"/>
              <w:ind w:left="114" w:right="108" w:firstLine="4"/>
              <w:jc w:val="both"/>
              <w:rPr>
                <w:rFonts w:ascii="宋体" w:hAnsi="宋体" w:eastAsia="宋体" w:cs="宋体"/>
                <w:sz w:val="20"/>
                <w:szCs w:val="20"/>
              </w:rPr>
            </w:pPr>
            <w:r>
              <w:rPr>
                <w:rFonts w:ascii="宋体" w:hAnsi="宋体" w:eastAsia="宋体" w:cs="宋体"/>
                <w:spacing w:val="26"/>
                <w:sz w:val="20"/>
                <w:szCs w:val="20"/>
              </w:rPr>
              <w:t>未提供明确的工程量验</w:t>
            </w:r>
            <w:r>
              <w:rPr>
                <w:rFonts w:ascii="宋体" w:hAnsi="宋体" w:eastAsia="宋体" w:cs="宋体"/>
                <w:spacing w:val="5"/>
                <w:sz w:val="20"/>
                <w:szCs w:val="20"/>
              </w:rPr>
              <w:t xml:space="preserve"> </w:t>
            </w:r>
            <w:r>
              <w:rPr>
                <w:rFonts w:ascii="宋体" w:hAnsi="宋体" w:eastAsia="宋体" w:cs="宋体"/>
                <w:spacing w:val="6"/>
                <w:sz w:val="20"/>
                <w:szCs w:val="20"/>
              </w:rPr>
              <w:t>收和核算材料，效益提升</w:t>
            </w:r>
            <w:r>
              <w:rPr>
                <w:rFonts w:ascii="宋体" w:hAnsi="宋体" w:eastAsia="宋体" w:cs="宋体"/>
                <w:spacing w:val="3"/>
                <w:sz w:val="20"/>
                <w:szCs w:val="20"/>
              </w:rPr>
              <w:t xml:space="preserve"> </w:t>
            </w:r>
            <w:r>
              <w:rPr>
                <w:rFonts w:ascii="宋体" w:hAnsi="宋体" w:eastAsia="宋体" w:cs="宋体"/>
                <w:spacing w:val="7"/>
                <w:sz w:val="20"/>
                <w:szCs w:val="20"/>
              </w:rPr>
              <w:t>佐证依据不足。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05" w:type="dxa"/>
            <w:vMerge w:val="continue"/>
            <w:tcBorders>
              <w:top w:val="nil"/>
            </w:tcBorders>
            <w:vAlign w:val="top"/>
          </w:tcPr>
          <w:p>
            <w:pPr>
              <w:rPr>
                <w:rFonts w:ascii="Arial"/>
                <w:sz w:val="21"/>
              </w:rPr>
            </w:pPr>
          </w:p>
        </w:tc>
        <w:tc>
          <w:tcPr>
            <w:tcW w:w="1133" w:type="dxa"/>
            <w:vAlign w:val="top"/>
          </w:tcPr>
          <w:p>
            <w:pPr>
              <w:spacing w:before="55" w:line="260" w:lineRule="auto"/>
              <w:ind w:left="254" w:right="146" w:hanging="103"/>
              <w:rPr>
                <w:rFonts w:ascii="宋体" w:hAnsi="宋体" w:eastAsia="宋体" w:cs="宋体"/>
                <w:sz w:val="20"/>
                <w:szCs w:val="20"/>
              </w:rPr>
            </w:pPr>
            <w:r>
              <w:rPr>
                <w:rFonts w:ascii="宋体" w:hAnsi="宋体" w:eastAsia="宋体" w:cs="宋体"/>
                <w:spacing w:val="7"/>
                <w:sz w:val="20"/>
                <w:szCs w:val="20"/>
              </w:rPr>
              <w:t>服务对象</w:t>
            </w:r>
            <w:r>
              <w:rPr>
                <w:rFonts w:ascii="宋体" w:hAnsi="宋体" w:eastAsia="宋体" w:cs="宋体"/>
                <w:sz w:val="20"/>
                <w:szCs w:val="20"/>
              </w:rPr>
              <w:t xml:space="preserve"> </w:t>
            </w:r>
            <w:r>
              <w:rPr>
                <w:rFonts w:ascii="宋体" w:hAnsi="宋体" w:eastAsia="宋体" w:cs="宋体"/>
                <w:spacing w:val="6"/>
                <w:sz w:val="20"/>
                <w:szCs w:val="20"/>
              </w:rPr>
              <w:t>满意度</w:t>
            </w:r>
          </w:p>
        </w:tc>
        <w:tc>
          <w:tcPr>
            <w:tcW w:w="645" w:type="dxa"/>
            <w:vAlign w:val="top"/>
          </w:tcPr>
          <w:p>
            <w:pPr>
              <w:spacing w:before="244" w:line="190" w:lineRule="auto"/>
              <w:ind w:left="236"/>
              <w:rPr>
                <w:rFonts w:ascii="宋体" w:hAnsi="宋体" w:eastAsia="宋体" w:cs="宋体"/>
                <w:sz w:val="20"/>
                <w:szCs w:val="20"/>
              </w:rPr>
            </w:pPr>
            <w:r>
              <w:rPr>
                <w:rFonts w:ascii="宋体" w:hAnsi="宋体" w:eastAsia="宋体" w:cs="宋体"/>
                <w:spacing w:val="-7"/>
                <w:sz w:val="20"/>
                <w:szCs w:val="20"/>
              </w:rPr>
              <w:t>10</w:t>
            </w:r>
          </w:p>
        </w:tc>
        <w:tc>
          <w:tcPr>
            <w:tcW w:w="1905" w:type="dxa"/>
            <w:vAlign w:val="top"/>
          </w:tcPr>
          <w:p>
            <w:pPr>
              <w:spacing w:before="55" w:line="260" w:lineRule="auto"/>
              <w:ind w:left="851" w:right="111" w:hanging="731"/>
              <w:rPr>
                <w:rFonts w:ascii="宋体" w:hAnsi="宋体" w:eastAsia="宋体" w:cs="宋体"/>
                <w:sz w:val="20"/>
                <w:szCs w:val="20"/>
              </w:rPr>
            </w:pPr>
            <w:r>
              <w:rPr>
                <w:rFonts w:ascii="宋体" w:hAnsi="宋体" w:eastAsia="宋体" w:cs="宋体"/>
                <w:spacing w:val="8"/>
                <w:sz w:val="20"/>
                <w:szCs w:val="20"/>
              </w:rPr>
              <w:t>社会群众的满意程</w:t>
            </w:r>
            <w:r>
              <w:rPr>
                <w:rFonts w:ascii="宋体" w:hAnsi="宋体" w:eastAsia="宋体" w:cs="宋体"/>
                <w:spacing w:val="2"/>
                <w:sz w:val="20"/>
                <w:szCs w:val="20"/>
              </w:rPr>
              <w:t xml:space="preserve"> </w:t>
            </w:r>
            <w:r>
              <w:rPr>
                <w:rFonts w:ascii="宋体" w:hAnsi="宋体" w:eastAsia="宋体" w:cs="宋体"/>
                <w:spacing w:val="1"/>
                <w:sz w:val="20"/>
                <w:szCs w:val="20"/>
              </w:rPr>
              <w:t>度</w:t>
            </w:r>
          </w:p>
        </w:tc>
        <w:tc>
          <w:tcPr>
            <w:tcW w:w="709" w:type="dxa"/>
            <w:vAlign w:val="top"/>
          </w:tcPr>
          <w:p>
            <w:pPr>
              <w:spacing w:before="244" w:line="190" w:lineRule="auto"/>
              <w:ind w:left="271"/>
              <w:rPr>
                <w:rFonts w:ascii="宋体" w:hAnsi="宋体" w:eastAsia="宋体" w:cs="宋体"/>
                <w:sz w:val="20"/>
                <w:szCs w:val="20"/>
              </w:rPr>
            </w:pPr>
            <w:r>
              <w:rPr>
                <w:rFonts w:ascii="宋体" w:hAnsi="宋体" w:eastAsia="宋体" w:cs="宋体"/>
                <w:spacing w:val="-7"/>
                <w:sz w:val="20"/>
                <w:szCs w:val="20"/>
              </w:rPr>
              <w:t>10</w:t>
            </w:r>
          </w:p>
        </w:tc>
        <w:tc>
          <w:tcPr>
            <w:tcW w:w="809" w:type="dxa"/>
            <w:vAlign w:val="top"/>
          </w:tcPr>
          <w:p>
            <w:pPr>
              <w:spacing w:before="245" w:line="189" w:lineRule="auto"/>
              <w:ind w:left="204"/>
              <w:rPr>
                <w:rFonts w:ascii="宋体" w:hAnsi="宋体" w:eastAsia="宋体" w:cs="宋体"/>
                <w:sz w:val="20"/>
                <w:szCs w:val="20"/>
              </w:rPr>
            </w:pPr>
            <w:r>
              <w:rPr>
                <w:rFonts w:ascii="宋体" w:hAnsi="宋体" w:eastAsia="宋体" w:cs="宋体"/>
                <w:spacing w:val="2"/>
                <w:sz w:val="20"/>
                <w:szCs w:val="20"/>
              </w:rPr>
              <w:t>7.70</w:t>
            </w:r>
          </w:p>
        </w:tc>
        <w:tc>
          <w:tcPr>
            <w:tcW w:w="2499" w:type="dxa"/>
            <w:vAlign w:val="top"/>
          </w:tcPr>
          <w:p>
            <w:pPr>
              <w:spacing w:before="55" w:line="260" w:lineRule="auto"/>
              <w:ind w:left="115" w:right="108"/>
              <w:rPr>
                <w:rFonts w:ascii="宋体" w:hAnsi="宋体" w:eastAsia="宋体" w:cs="宋体"/>
                <w:sz w:val="20"/>
                <w:szCs w:val="20"/>
              </w:rPr>
            </w:pPr>
            <w:r>
              <w:rPr>
                <w:rFonts w:ascii="宋体" w:hAnsi="宋体" w:eastAsia="宋体" w:cs="宋体"/>
                <w:spacing w:val="26"/>
                <w:sz w:val="20"/>
                <w:szCs w:val="20"/>
              </w:rPr>
              <w:t>满意度调查有待进一步</w:t>
            </w:r>
            <w:r>
              <w:rPr>
                <w:rFonts w:ascii="宋体" w:hAnsi="宋体" w:eastAsia="宋体" w:cs="宋体"/>
                <w:spacing w:val="8"/>
                <w:sz w:val="20"/>
                <w:szCs w:val="20"/>
              </w:rPr>
              <w:t xml:space="preserve"> </w:t>
            </w:r>
            <w:r>
              <w:rPr>
                <w:rFonts w:ascii="宋体" w:hAnsi="宋体" w:eastAsia="宋体" w:cs="宋体"/>
                <w:spacing w:val="3"/>
                <w:sz w:val="20"/>
                <w:szCs w:val="20"/>
              </w:rPr>
              <w:t>加强。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2238" w:type="dxa"/>
            <w:gridSpan w:val="2"/>
            <w:vAlign w:val="top"/>
          </w:tcPr>
          <w:p>
            <w:pPr>
              <w:spacing w:before="135" w:line="229" w:lineRule="auto"/>
              <w:ind w:left="914"/>
              <w:rPr>
                <w:rFonts w:ascii="宋体" w:hAnsi="宋体" w:eastAsia="宋体" w:cs="宋体"/>
                <w:sz w:val="20"/>
                <w:szCs w:val="20"/>
              </w:rPr>
            </w:pPr>
            <w:r>
              <w:rPr>
                <w:rFonts w:ascii="宋体" w:hAnsi="宋体" w:eastAsia="宋体" w:cs="宋体"/>
                <w:b/>
                <w:bCs/>
                <w:spacing w:val="3"/>
                <w:sz w:val="20"/>
                <w:szCs w:val="20"/>
              </w:rPr>
              <w:t>合计</w:t>
            </w:r>
          </w:p>
        </w:tc>
        <w:tc>
          <w:tcPr>
            <w:tcW w:w="645" w:type="dxa"/>
            <w:vAlign w:val="top"/>
          </w:tcPr>
          <w:p>
            <w:pPr>
              <w:spacing w:before="166" w:line="190" w:lineRule="auto"/>
              <w:ind w:left="186"/>
              <w:rPr>
                <w:rFonts w:ascii="宋体" w:hAnsi="宋体" w:eastAsia="宋体" w:cs="宋体"/>
                <w:sz w:val="20"/>
                <w:szCs w:val="20"/>
              </w:rPr>
            </w:pPr>
            <w:r>
              <w:rPr>
                <w:rFonts w:ascii="宋体" w:hAnsi="宋体" w:eastAsia="宋体" w:cs="宋体"/>
                <w:spacing w:val="-3"/>
                <w:sz w:val="20"/>
                <w:szCs w:val="20"/>
              </w:rPr>
              <w:t>100</w:t>
            </w:r>
          </w:p>
        </w:tc>
        <w:tc>
          <w:tcPr>
            <w:tcW w:w="1905" w:type="dxa"/>
            <w:vAlign w:val="top"/>
          </w:tcPr>
          <w:p>
            <w:pPr>
              <w:rPr>
                <w:rFonts w:ascii="Arial"/>
                <w:sz w:val="21"/>
              </w:rPr>
            </w:pPr>
          </w:p>
        </w:tc>
        <w:tc>
          <w:tcPr>
            <w:tcW w:w="709" w:type="dxa"/>
            <w:vAlign w:val="top"/>
          </w:tcPr>
          <w:p>
            <w:pPr>
              <w:spacing w:before="166" w:line="190" w:lineRule="auto"/>
              <w:ind w:left="218"/>
              <w:rPr>
                <w:rFonts w:ascii="宋体" w:hAnsi="宋体" w:eastAsia="宋体" w:cs="宋体"/>
                <w:sz w:val="20"/>
                <w:szCs w:val="20"/>
              </w:rPr>
            </w:pPr>
            <w:r>
              <w:rPr>
                <w:rFonts w:ascii="宋体" w:hAnsi="宋体" w:eastAsia="宋体" w:cs="宋体"/>
                <w:spacing w:val="-3"/>
                <w:sz w:val="20"/>
                <w:szCs w:val="20"/>
              </w:rPr>
              <w:t>100</w:t>
            </w:r>
          </w:p>
        </w:tc>
        <w:tc>
          <w:tcPr>
            <w:tcW w:w="809" w:type="dxa"/>
            <w:vAlign w:val="top"/>
          </w:tcPr>
          <w:p>
            <w:pPr>
              <w:spacing w:before="168" w:line="189" w:lineRule="auto"/>
              <w:ind w:left="151"/>
              <w:rPr>
                <w:rFonts w:ascii="宋体" w:hAnsi="宋体" w:eastAsia="宋体" w:cs="宋体"/>
                <w:sz w:val="20"/>
                <w:szCs w:val="20"/>
              </w:rPr>
            </w:pPr>
            <w:r>
              <w:rPr>
                <w:rFonts w:ascii="宋体" w:hAnsi="宋体" w:eastAsia="宋体" w:cs="宋体"/>
                <w:spacing w:val="2"/>
                <w:sz w:val="20"/>
                <w:szCs w:val="20"/>
              </w:rPr>
              <w:t>75.96</w:t>
            </w:r>
          </w:p>
        </w:tc>
        <w:tc>
          <w:tcPr>
            <w:tcW w:w="2499" w:type="dxa"/>
            <w:vAlign w:val="top"/>
          </w:tcPr>
          <w:p>
            <w:pPr>
              <w:rPr>
                <w:rFonts w:ascii="Arial"/>
                <w:sz w:val="21"/>
              </w:rPr>
            </w:pPr>
          </w:p>
        </w:tc>
      </w:tr>
    </w:tbl>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FangSong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00"/>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SimHei">
    <w:altName w:val="方正黑体_GBK"/>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blNpbIAQAAmQMAAA4AAABkcnMv&#10;ZTJvRG9jLnhtbK1TzY7TMBC+I/EOlu/UaZF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behrShy3OPDL92+XH78uP7+SZZanD1Bj1kPAvDTc+QGXZvYDOjPrQUWbv8iHYBzFPV/FlUMi&#10;Ij9ar9brCkMCY/MF8dnj8xAhvZXekmw0NOL0iqj89B7SmDqn5GrO32tjygSN+8uBmNnDcu9jj9lK&#10;w36YCO19e0Y+PQ6+oQ73nBLzzqGueUdmI87GfjaOIepDV5Yo14Nwe0zYROktVxhhp8I4scJu2q68&#10;En/eS9bjH7X9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AG5TaWyAEAAJkDAAAOAAAAAAAA&#10;AAEAIAAAADQBAABkcnMvZTJvRG9jLnhtbFBLBQYAAAAABgAGAFkBAABu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Style w:val="15"/>
                            </w:rPr>
                          </w:pPr>
                          <w:r>
                            <w:fldChar w:fldCharType="begin"/>
                          </w:r>
                          <w:r>
                            <w:rPr>
                              <w:rStyle w:val="15"/>
                            </w:rPr>
                            <w:instrText xml:space="preserve">PAGE  </w:instrText>
                          </w:r>
                          <w:r>
                            <w:fldChar w:fldCharType="separate"/>
                          </w:r>
                          <w:r>
                            <w:rPr>
                              <w:rStyle w:val="15"/>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LBf33JAQAAmQMAAA4AAABkcnMv&#10;ZTJvRG9jLnhtbK1TzY7TMBC+r8Q7WL5TZy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w19Q4njFgd+/vnj/Ovx/PCdLLM8fYAas+4C5qXhvR9waWY/oDOzHlS0+Yt8CMZR3NNFXDkk&#10;IvKj1XK1qjAkMDZfEJ89PQ8R0gfpLclGQyNOr4jKj58gjalzSq7m/K02pkzQuL8ciJk9LPc+9pit&#10;NOyGidDOtyfk0+PgG+pwzykxHx3qmndkNuJs7GbjEKLed2WJcj0I7w4Jmyi95Qoj7FQYJ1bYTduV&#10;V+LPe8l6+qM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0sF/fckBAACZAwAADgAAAAAA&#10;AAABACAAAAA0AQAAZHJzL2Uyb0RvYy54bWxQSwUGAAAAAAYABgBZAQAAbwUAAAAA&#10;">
              <v:fill on="f" focussize="0,0"/>
              <v:stroke on="f"/>
              <v:imagedata o:title=""/>
              <o:lock v:ext="edit" aspectratio="f"/>
              <v:textbox inset="0mm,0mm,0mm,0mm" style="mso-fit-shape-to-text:t;">
                <w:txbxContent>
                  <w:p>
                    <w:pPr>
                      <w:pStyle w:val="8"/>
                      <w:rPr>
                        <w:rStyle w:val="15"/>
                      </w:rPr>
                    </w:pPr>
                    <w:r>
                      <w:fldChar w:fldCharType="begin"/>
                    </w:r>
                    <w:r>
                      <w:rPr>
                        <w:rStyle w:val="15"/>
                      </w:rPr>
                      <w:instrText xml:space="preserve">PAGE  </w:instrText>
                    </w:r>
                    <w:r>
                      <w:fldChar w:fldCharType="separate"/>
                    </w:r>
                    <w:r>
                      <w:rPr>
                        <w:rStyle w:val="15"/>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B71B44"/>
    <w:multiLevelType w:val="singleLevel"/>
    <w:tmpl w:val="AEB71B44"/>
    <w:lvl w:ilvl="0" w:tentative="0">
      <w:start w:val="6"/>
      <w:numFmt w:val="chineseCounting"/>
      <w:suff w:val="nothing"/>
      <w:lvlText w:val="%1、"/>
      <w:lvlJc w:val="left"/>
      <w:rPr>
        <w:rFonts w:hint="eastAsia"/>
      </w:rPr>
    </w:lvl>
  </w:abstractNum>
  <w:abstractNum w:abstractNumId="1">
    <w:nsid w:val="BCBD504E"/>
    <w:multiLevelType w:val="singleLevel"/>
    <w:tmpl w:val="BCBD504E"/>
    <w:lvl w:ilvl="0" w:tentative="0">
      <w:start w:val="2"/>
      <w:numFmt w:val="chineseCounting"/>
      <w:suff w:val="nothing"/>
      <w:lvlText w:val="（%1）"/>
      <w:lvlJc w:val="left"/>
      <w:rPr>
        <w:rFonts w:hint="eastAsia"/>
      </w:rPr>
    </w:lvl>
  </w:abstractNum>
  <w:abstractNum w:abstractNumId="2">
    <w:nsid w:val="FF47CE81"/>
    <w:multiLevelType w:val="singleLevel"/>
    <w:tmpl w:val="FF47CE81"/>
    <w:lvl w:ilvl="0" w:tentative="0">
      <w:start w:val="5"/>
      <w:numFmt w:val="chineseCounting"/>
      <w:suff w:val="nothing"/>
      <w:lvlText w:val="%1、"/>
      <w:lvlJc w:val="left"/>
      <w:rPr>
        <w:rFonts w:hint="eastAsia"/>
      </w:rPr>
    </w:lvl>
  </w:abstractNum>
  <w:abstractNum w:abstractNumId="3">
    <w:nsid w:val="3FEF9E29"/>
    <w:multiLevelType w:val="singleLevel"/>
    <w:tmpl w:val="3FEF9E29"/>
    <w:lvl w:ilvl="0" w:tentative="0">
      <w:start w:val="2"/>
      <w:numFmt w:val="decimal"/>
      <w:lvlText w:val="%1."/>
      <w:lvlJc w:val="left"/>
      <w:pPr>
        <w:tabs>
          <w:tab w:val="left" w:pos="312"/>
        </w:tabs>
      </w:pPr>
    </w:lvl>
  </w:abstractNum>
  <w:abstractNum w:abstractNumId="4">
    <w:nsid w:val="7ED809E6"/>
    <w:multiLevelType w:val="singleLevel"/>
    <w:tmpl w:val="7ED809E6"/>
    <w:lvl w:ilvl="0" w:tentative="0">
      <w:start w:val="2"/>
      <w:numFmt w:val="chineseCounting"/>
      <w:suff w:val="nothing"/>
      <w:lvlText w:val="（%1）"/>
      <w:lvlJc w:val="left"/>
      <w:rPr>
        <w:rFonts w:hint="eastAsia"/>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79004AC"/>
    <w:rsid w:val="0AFD09DD"/>
    <w:rsid w:val="0C7B7F86"/>
    <w:rsid w:val="0F8E2C57"/>
    <w:rsid w:val="1059665E"/>
    <w:rsid w:val="10AC13BA"/>
    <w:rsid w:val="124610E1"/>
    <w:rsid w:val="135572DF"/>
    <w:rsid w:val="163F4A7E"/>
    <w:rsid w:val="16DAC67F"/>
    <w:rsid w:val="18A22B4C"/>
    <w:rsid w:val="1AEC0734"/>
    <w:rsid w:val="1B323594"/>
    <w:rsid w:val="1B43291B"/>
    <w:rsid w:val="1C7254ED"/>
    <w:rsid w:val="1DEF20B0"/>
    <w:rsid w:val="1F401DDF"/>
    <w:rsid w:val="1F664E2A"/>
    <w:rsid w:val="21422A39"/>
    <w:rsid w:val="214243FA"/>
    <w:rsid w:val="232235C5"/>
    <w:rsid w:val="257A14F5"/>
    <w:rsid w:val="27196C26"/>
    <w:rsid w:val="29EF086F"/>
    <w:rsid w:val="2A8415D0"/>
    <w:rsid w:val="2BF13CCD"/>
    <w:rsid w:val="2EFB795A"/>
    <w:rsid w:val="2EFFE297"/>
    <w:rsid w:val="301437CA"/>
    <w:rsid w:val="32785148"/>
    <w:rsid w:val="33D021D8"/>
    <w:rsid w:val="353C75FB"/>
    <w:rsid w:val="386D6DD1"/>
    <w:rsid w:val="3DD3FC30"/>
    <w:rsid w:val="3DE04810"/>
    <w:rsid w:val="3DFD6097"/>
    <w:rsid w:val="3F143319"/>
    <w:rsid w:val="3F3B19D7"/>
    <w:rsid w:val="3FB786DB"/>
    <w:rsid w:val="4208288A"/>
    <w:rsid w:val="42F27DD4"/>
    <w:rsid w:val="433E495C"/>
    <w:rsid w:val="44617DEC"/>
    <w:rsid w:val="45A90126"/>
    <w:rsid w:val="4616442F"/>
    <w:rsid w:val="46B753D0"/>
    <w:rsid w:val="48804E0D"/>
    <w:rsid w:val="49090450"/>
    <w:rsid w:val="4AC27CB3"/>
    <w:rsid w:val="4B6D146C"/>
    <w:rsid w:val="4BF72BEF"/>
    <w:rsid w:val="4CD80866"/>
    <w:rsid w:val="4DEB2135"/>
    <w:rsid w:val="4E150194"/>
    <w:rsid w:val="50502C65"/>
    <w:rsid w:val="51DB3C59"/>
    <w:rsid w:val="550A17D8"/>
    <w:rsid w:val="55762E42"/>
    <w:rsid w:val="568B6949"/>
    <w:rsid w:val="57A7B272"/>
    <w:rsid w:val="58470068"/>
    <w:rsid w:val="58886F75"/>
    <w:rsid w:val="58C146D8"/>
    <w:rsid w:val="5A1720F9"/>
    <w:rsid w:val="5B9C37C2"/>
    <w:rsid w:val="5BA7C654"/>
    <w:rsid w:val="5CF74D38"/>
    <w:rsid w:val="5DFE2D8E"/>
    <w:rsid w:val="5F2D3D9B"/>
    <w:rsid w:val="5F8A0474"/>
    <w:rsid w:val="5FBEB151"/>
    <w:rsid w:val="60FF240D"/>
    <w:rsid w:val="638A7560"/>
    <w:rsid w:val="641F04E5"/>
    <w:rsid w:val="64C0607C"/>
    <w:rsid w:val="65AC6CC3"/>
    <w:rsid w:val="672D1356"/>
    <w:rsid w:val="676F09E1"/>
    <w:rsid w:val="696173A6"/>
    <w:rsid w:val="6A9B1DCA"/>
    <w:rsid w:val="6C2C6080"/>
    <w:rsid w:val="6DB7CBDE"/>
    <w:rsid w:val="6F375468"/>
    <w:rsid w:val="6FE55BEA"/>
    <w:rsid w:val="721821DB"/>
    <w:rsid w:val="756172B0"/>
    <w:rsid w:val="75A44ED9"/>
    <w:rsid w:val="75E74A0A"/>
    <w:rsid w:val="768F7680"/>
    <w:rsid w:val="77512F0B"/>
    <w:rsid w:val="77F80C6B"/>
    <w:rsid w:val="7A7F1C49"/>
    <w:rsid w:val="7B5B7AE6"/>
    <w:rsid w:val="7BA7071E"/>
    <w:rsid w:val="7BDF6DA8"/>
    <w:rsid w:val="7BE6311A"/>
    <w:rsid w:val="7C7EDC1A"/>
    <w:rsid w:val="7CCED98D"/>
    <w:rsid w:val="7CFF0FF1"/>
    <w:rsid w:val="7D08410F"/>
    <w:rsid w:val="7DB96DED"/>
    <w:rsid w:val="7DD3AD81"/>
    <w:rsid w:val="7F7FE70F"/>
    <w:rsid w:val="7FDE1B6D"/>
    <w:rsid w:val="7FFD8EF5"/>
    <w:rsid w:val="7FFF772F"/>
    <w:rsid w:val="95F35EF6"/>
    <w:rsid w:val="9BFFD860"/>
    <w:rsid w:val="AC5F73DE"/>
    <w:rsid w:val="B5DDD2C8"/>
    <w:rsid w:val="B9DFABD9"/>
    <w:rsid w:val="BC0D83FC"/>
    <w:rsid w:val="BF1B3306"/>
    <w:rsid w:val="BF3BDEFB"/>
    <w:rsid w:val="C75F6086"/>
    <w:rsid w:val="C7F7ED2D"/>
    <w:rsid w:val="CFAF854E"/>
    <w:rsid w:val="D8D7928E"/>
    <w:rsid w:val="D8FE3136"/>
    <w:rsid w:val="DDDE60B7"/>
    <w:rsid w:val="DE9F6A22"/>
    <w:rsid w:val="DEF74A01"/>
    <w:rsid w:val="DF4FCE6A"/>
    <w:rsid w:val="DFFFDCEC"/>
    <w:rsid w:val="E4FED278"/>
    <w:rsid w:val="E7FFFC73"/>
    <w:rsid w:val="EDAA365C"/>
    <w:rsid w:val="EDADFC12"/>
    <w:rsid w:val="EEF74A12"/>
    <w:rsid w:val="F2FD229B"/>
    <w:rsid w:val="F63EA44D"/>
    <w:rsid w:val="F7F709E9"/>
    <w:rsid w:val="F7FF3690"/>
    <w:rsid w:val="F9BD3900"/>
    <w:rsid w:val="FC8B9876"/>
    <w:rsid w:val="FD7F93D5"/>
    <w:rsid w:val="FE4B54DF"/>
    <w:rsid w:val="FEDFF218"/>
    <w:rsid w:val="FEDFFFFF"/>
    <w:rsid w:val="FFF61895"/>
    <w:rsid w:val="FFFF580F"/>
    <w:rsid w:val="FFFFC7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semiHidden/>
    <w:qFormat/>
    <w:uiPriority w:val="0"/>
    <w:rPr>
      <w:rFonts w:ascii="FangSong_GB2312" w:hAnsi="FangSong_GB2312" w:eastAsia="FangSong_GB2312" w:cs="FangSong_GB2312"/>
      <w:sz w:val="31"/>
      <w:szCs w:val="31"/>
      <w:lang w:val="en-US" w:eastAsia="en-US" w:bidi="ar-SA"/>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rPr>
  </w:style>
  <w:style w:type="character" w:styleId="15">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21"/>
    <w:basedOn w:val="13"/>
    <w:qFormat/>
    <w:uiPriority w:val="0"/>
    <w:rPr>
      <w:rFonts w:hint="eastAsia" w:ascii="宋体" w:hAnsi="宋体" w:eastAsia="宋体" w:cs="宋体"/>
      <w:color w:val="000000"/>
      <w:sz w:val="18"/>
      <w:szCs w:val="18"/>
      <w:u w:val="none"/>
    </w:rPr>
  </w:style>
  <w:style w:type="character" w:customStyle="1" w:styleId="23">
    <w:name w:val="font01"/>
    <w:basedOn w:val="13"/>
    <w:qFormat/>
    <w:uiPriority w:val="0"/>
    <w:rPr>
      <w:rFonts w:hint="eastAsia" w:ascii="宋体" w:hAnsi="宋体" w:eastAsia="宋体" w:cs="宋体"/>
      <w:color w:val="000000"/>
      <w:sz w:val="13"/>
      <w:szCs w:val="13"/>
      <w:u w:val="none"/>
    </w:rPr>
  </w:style>
  <w:style w:type="table" w:customStyle="1" w:styleId="2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home/Huawei/Desktop/WPS&#34920;&#26684;&#24037;&#20316;&#34920;2.et"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ome/Huawei/Desktop/WPS&#34920;&#26684;&#24037;&#20316;&#34920;2.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[WPS表格工作表2.et]Sheet1!$H$10</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[WPS表格工作表2.et]Sheet1!$G$11:$G$13</c:f>
              <c:strCache>
                <c:ptCount val="3"/>
                <c:pt idx="0">
                  <c:v>财政拨款收入</c:v>
                </c:pt>
                <c:pt idx="1">
                  <c:v>事业收入</c:v>
                </c:pt>
                <c:pt idx="2">
                  <c:v>其他收入</c:v>
                </c:pt>
              </c:strCache>
            </c:strRef>
          </c:cat>
          <c:val>
            <c:numRef>
              <c:f>[WPS表格工作表2.et]Sheet1!$H$11:$H$13</c:f>
              <c:numCache>
                <c:formatCode>0.00%</c:formatCode>
                <c:ptCount val="3"/>
                <c:pt idx="0">
                  <c:v>0.850518638136125</c:v>
                </c:pt>
                <c:pt idx="1">
                  <c:v>0.14676172035834</c:v>
                </c:pt>
                <c:pt idx="2">
                  <c:v>0.00271964150553441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[WPS表格工作表2.et]Sheet1!$H$15</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[WPS表格工作表2.et]Sheet1!$G$16:$G$17</c:f>
              <c:strCache>
                <c:ptCount val="2"/>
                <c:pt idx="0">
                  <c:v>基本支出</c:v>
                </c:pt>
                <c:pt idx="1">
                  <c:v>项目支出</c:v>
                </c:pt>
              </c:strCache>
            </c:strRef>
          </c:cat>
          <c:val>
            <c:numRef>
              <c:f>[WPS表格工作表2.et]Sheet1!$H$16:$H$17</c:f>
              <c:numCache>
                <c:formatCode>0.00%</c:formatCode>
                <c:ptCount val="2"/>
                <c:pt idx="0">
                  <c:v>0.252865150869062</c:v>
                </c:pt>
                <c:pt idx="1">
                  <c:v>0.747134849130938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8000</Words>
  <Characters>9055</Characters>
  <Lines>77</Lines>
  <Paragraphs>21</Paragraphs>
  <TotalTime>4</TotalTime>
  <ScaleCrop>false</ScaleCrop>
  <LinksUpToDate>false</LinksUpToDate>
  <CharactersWithSpaces>9096</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2017-07-14T07:16:00Z</dcterms:created>
  <dc:creator>常程</dc:creator>
  <cp:lastModifiedBy>Huawei</cp:lastModifiedBy>
  <cp:lastPrinted>2020-08-10T03:39:00Z</cp:lastPrinted>
  <dcterms:modified xsi:type="dcterms:W3CDTF">2025-08-14T09:09:14Z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