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F7B66">
      <w:pPr>
        <w:jc w:val="both"/>
        <w:rPr>
          <w:rFonts w:hint="eastAsia" w:ascii="黑体" w:eastAsia="黑体"/>
          <w:sz w:val="72"/>
          <w:szCs w:val="72"/>
        </w:rPr>
      </w:pPr>
    </w:p>
    <w:p w14:paraId="78EBA565">
      <w:pPr>
        <w:jc w:val="both"/>
        <w:rPr>
          <w:rFonts w:hint="eastAsia" w:ascii="黑体" w:eastAsia="黑体"/>
          <w:sz w:val="72"/>
          <w:szCs w:val="72"/>
        </w:rPr>
      </w:pPr>
    </w:p>
    <w:p w14:paraId="695CC297">
      <w:pPr>
        <w:jc w:val="both"/>
        <w:rPr>
          <w:rFonts w:hint="eastAsia" w:ascii="黑体" w:eastAsia="黑体"/>
          <w:sz w:val="72"/>
          <w:szCs w:val="72"/>
        </w:rPr>
      </w:pPr>
    </w:p>
    <w:p w14:paraId="12F1EB8A">
      <w:pPr>
        <w:jc w:val="center"/>
        <w:rPr>
          <w:rFonts w:hint="default" w:ascii="黑体" w:eastAsia="黑体"/>
          <w:sz w:val="72"/>
          <w:szCs w:val="72"/>
          <w:lang w:val="en-US" w:eastAsia="zh-CN"/>
        </w:rPr>
      </w:pPr>
      <w:r>
        <w:rPr>
          <w:rFonts w:hint="eastAsia" w:ascii="黑体" w:eastAsia="黑体"/>
          <w:sz w:val="72"/>
          <w:szCs w:val="72"/>
        </w:rPr>
        <w:t>北京市大兴区</w:t>
      </w:r>
      <w:r>
        <w:rPr>
          <w:rFonts w:hint="eastAsia" w:ascii="黑体" w:eastAsia="黑体"/>
          <w:sz w:val="72"/>
          <w:szCs w:val="72"/>
          <w:lang w:val="en-US" w:eastAsia="zh-CN"/>
        </w:rPr>
        <w:t>旧宫镇人民政府</w:t>
      </w:r>
    </w:p>
    <w:p w14:paraId="5B60920D">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年度部门决算报表及说明</w:t>
      </w:r>
    </w:p>
    <w:p w14:paraId="65E4B7D1">
      <w:pPr>
        <w:jc w:val="center"/>
        <w:rPr>
          <w:rFonts w:ascii="黑体" w:eastAsia="黑体"/>
          <w:sz w:val="52"/>
          <w:szCs w:val="52"/>
        </w:rPr>
      </w:pPr>
    </w:p>
    <w:p w14:paraId="3C066147">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14:paraId="21870322">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14:paraId="2C4822DB">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14:paraId="678ADFE5">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2CB75F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84ABD1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C80DE3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A23E8C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5337FFB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67030C6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700D432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3582FA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BFBF0A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38AF52B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03BBD78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3947D6A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14:paraId="3E2B7513">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14:paraId="3B9A1B1A">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14:paraId="618ADADF">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14:paraId="2ACCCCF7">
      <w:pPr>
        <w:tabs>
          <w:tab w:val="center" w:pos="6979"/>
        </w:tabs>
        <w:spacing w:before="156" w:beforeLines="50" w:after="156" w:afterLines="50"/>
        <w:jc w:val="center"/>
        <w:rPr>
          <w:rFonts w:hint="eastAsia" w:ascii="宋体" w:hAnsi="宋体" w:cs="宋体"/>
          <w:b/>
          <w:bCs/>
          <w:spacing w:val="40"/>
          <w:kern w:val="0"/>
          <w:sz w:val="32"/>
          <w:szCs w:val="32"/>
        </w:rPr>
      </w:pPr>
    </w:p>
    <w:p w14:paraId="70CDFFF6">
      <w:pPr>
        <w:tabs>
          <w:tab w:val="center" w:pos="6979"/>
        </w:tabs>
        <w:spacing w:before="156" w:beforeLines="50" w:after="156" w:afterLines="50"/>
        <w:jc w:val="center"/>
        <w:rPr>
          <w:rFonts w:hint="eastAsia" w:ascii="宋体" w:hAnsi="宋体" w:cs="宋体"/>
          <w:b/>
          <w:bCs/>
          <w:spacing w:val="40"/>
          <w:kern w:val="0"/>
          <w:sz w:val="32"/>
          <w:szCs w:val="32"/>
        </w:rPr>
      </w:pPr>
    </w:p>
    <w:p w14:paraId="109E7089">
      <w:pPr>
        <w:tabs>
          <w:tab w:val="center" w:pos="6979"/>
        </w:tabs>
        <w:spacing w:before="156" w:beforeLines="50" w:after="156" w:afterLines="50"/>
        <w:rPr>
          <w:rFonts w:hint="eastAsia" w:ascii="宋体" w:hAnsi="宋体" w:cs="宋体"/>
          <w:b/>
          <w:bCs/>
          <w:spacing w:val="40"/>
          <w:kern w:val="0"/>
          <w:sz w:val="32"/>
          <w:szCs w:val="32"/>
        </w:rPr>
      </w:pPr>
    </w:p>
    <w:p w14:paraId="33E9CBF3">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14:paraId="1BC239B7">
      <w:pPr>
        <w:tabs>
          <w:tab w:val="center" w:pos="6979"/>
        </w:tabs>
        <w:spacing w:before="156" w:beforeLines="50" w:after="156" w:afterLines="50"/>
        <w:rPr>
          <w:rFonts w:hint="eastAsia" w:ascii="宋体" w:hAnsi="宋体" w:cs="宋体"/>
          <w:b/>
          <w:bCs/>
          <w:spacing w:val="40"/>
          <w:kern w:val="0"/>
          <w:sz w:val="32"/>
          <w:szCs w:val="32"/>
        </w:rPr>
      </w:pPr>
    </w:p>
    <w:p w14:paraId="2CF4C1B0">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lang w:eastAsia="zh-CN"/>
        </w:rPr>
        <w:sectPr>
          <w:footerReference r:id="rId4" w:type="default"/>
          <w:pgSz w:w="16838" w:h="11906" w:orient="landscape"/>
          <w:pgMar w:top="1134" w:right="1134" w:bottom="1134" w:left="1134" w:header="851" w:footer="992" w:gutter="0"/>
          <w:pgNumType w:fmt="decimal"/>
          <w:cols w:space="720" w:num="1"/>
          <w:docGrid w:type="linesAndChars" w:linePitch="312" w:charSpace="0"/>
        </w:sectPr>
      </w:pPr>
      <w:r>
        <w:rPr>
          <w:rFonts w:hint="eastAsia" w:ascii="仿宋_GB2312" w:eastAsia="仿宋_GB2312"/>
          <w:sz w:val="28"/>
          <w:szCs w:val="28"/>
        </w:rPr>
        <w:t>报表详见附</w:t>
      </w:r>
      <w:r>
        <w:rPr>
          <w:rFonts w:hint="eastAsia" w:ascii="仿宋_GB2312" w:eastAsia="仿宋_GB2312"/>
          <w:sz w:val="28"/>
          <w:szCs w:val="28"/>
          <w:lang w:eastAsia="zh-CN"/>
        </w:rPr>
        <w:t>件。</w:t>
      </w:r>
    </w:p>
    <w:p w14:paraId="0BFA03A5">
      <w:pPr>
        <w:tabs>
          <w:tab w:val="center" w:pos="6979"/>
        </w:tabs>
        <w:spacing w:before="156" w:beforeLines="50" w:after="156" w:afterLines="50"/>
        <w:jc w:val="both"/>
        <w:rPr>
          <w:rFonts w:hint="eastAsia" w:ascii="宋体" w:hAnsi="宋体" w:cs="宋体"/>
          <w:b/>
          <w:bCs/>
          <w:spacing w:val="40"/>
          <w:kern w:val="0"/>
          <w:sz w:val="32"/>
          <w:szCs w:val="32"/>
        </w:rPr>
      </w:pPr>
    </w:p>
    <w:p w14:paraId="077D50A9">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5FF460E7">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一、部门/单位基本情况</w:t>
      </w:r>
      <w:r>
        <w:rPr>
          <w:rFonts w:hint="eastAsia" w:ascii="仿宋_GB2312" w:eastAsia="仿宋_GB2312"/>
          <w:sz w:val="28"/>
          <w:szCs w:val="28"/>
        </w:rPr>
        <w:t>(比照预算</w:t>
      </w:r>
      <w:r>
        <w:rPr>
          <w:rFonts w:hint="eastAsia" w:ascii="仿宋_GB2312" w:eastAsia="仿宋_GB2312"/>
          <w:sz w:val="28"/>
          <w:szCs w:val="28"/>
          <w:lang w:eastAsia="zh-CN"/>
        </w:rPr>
        <w:t>草案</w:t>
      </w:r>
      <w:r>
        <w:rPr>
          <w:rFonts w:hint="eastAsia" w:ascii="仿宋_GB2312" w:eastAsia="仿宋_GB2312"/>
          <w:sz w:val="28"/>
          <w:szCs w:val="28"/>
        </w:rPr>
        <w:t>的内容格式)</w:t>
      </w:r>
    </w:p>
    <w:p w14:paraId="15D39629">
      <w:pPr>
        <w:tabs>
          <w:tab w:val="center" w:pos="6979"/>
        </w:tabs>
        <w:spacing w:line="58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1.贯彻执行法律、法规、规章和市、区政府的决定、命令，执行本级人民代表大会的决议，发布决定和命令。</w:t>
      </w:r>
    </w:p>
    <w:p w14:paraId="41A5590F">
      <w:pPr>
        <w:tabs>
          <w:tab w:val="center" w:pos="6979"/>
        </w:tabs>
        <w:spacing w:line="58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2.执行本行政区域内的经济和社会发展规划、预算，管理本行政区域内的经济、教育、科学、文化、卫生、体育事业和财政、民政、司法行政、计划生育等行政工作。</w:t>
      </w:r>
    </w:p>
    <w:p w14:paraId="48B39100">
      <w:pPr>
        <w:tabs>
          <w:tab w:val="center" w:pos="6979"/>
        </w:tabs>
        <w:spacing w:line="580" w:lineRule="exact"/>
        <w:ind w:firstLine="560"/>
        <w:rPr>
          <w:rFonts w:hint="eastAsia" w:ascii="仿宋_GB2312" w:eastAsia="仿宋_GB2312"/>
          <w:kern w:val="0"/>
          <w:sz w:val="28"/>
          <w:szCs w:val="28"/>
          <w:highlight w:val="none"/>
        </w:rPr>
      </w:pPr>
      <w:r>
        <w:rPr>
          <w:rFonts w:hint="eastAsia" w:ascii="仿宋_GB2312" w:eastAsia="仿宋_GB2312"/>
          <w:kern w:val="0"/>
          <w:sz w:val="28"/>
          <w:szCs w:val="28"/>
          <w:highlight w:val="none"/>
        </w:rPr>
        <w:t>3.保护社会主义的全民所有的财产和劳动群众集体所有的财产，保护公民私人所有的合法财产，维护社会秩序，保障公民的人身权利、民主权利和其他权利。</w:t>
      </w:r>
    </w:p>
    <w:p w14:paraId="44BB4B41">
      <w:pPr>
        <w:tabs>
          <w:tab w:val="center" w:pos="6979"/>
        </w:tabs>
        <w:spacing w:line="580" w:lineRule="exact"/>
        <w:ind w:firstLine="560"/>
        <w:rPr>
          <w:rFonts w:hint="eastAsia" w:ascii="仿宋_GB2312" w:eastAsia="仿宋_GB2312"/>
          <w:kern w:val="0"/>
          <w:sz w:val="28"/>
          <w:szCs w:val="28"/>
          <w:highlight w:val="none"/>
        </w:rPr>
      </w:pPr>
      <w:r>
        <w:rPr>
          <w:rFonts w:hint="eastAsia" w:ascii="仿宋_GB2312" w:eastAsia="仿宋_GB2312"/>
          <w:kern w:val="0"/>
          <w:sz w:val="28"/>
          <w:szCs w:val="28"/>
          <w:highlight w:val="none"/>
        </w:rPr>
        <w:t>4.保护各种经济组织的合法权益。</w:t>
      </w:r>
    </w:p>
    <w:p w14:paraId="1EDF18C0">
      <w:pPr>
        <w:tabs>
          <w:tab w:val="center" w:pos="6979"/>
        </w:tabs>
        <w:spacing w:line="580" w:lineRule="exact"/>
        <w:ind w:firstLine="560"/>
        <w:rPr>
          <w:rFonts w:hint="eastAsia" w:ascii="仿宋_GB2312" w:eastAsia="仿宋_GB2312"/>
          <w:kern w:val="0"/>
          <w:sz w:val="28"/>
          <w:szCs w:val="28"/>
          <w:highlight w:val="none"/>
        </w:rPr>
      </w:pPr>
      <w:r>
        <w:rPr>
          <w:rFonts w:hint="eastAsia" w:ascii="仿宋_GB2312" w:eastAsia="仿宋_GB2312"/>
          <w:kern w:val="0"/>
          <w:sz w:val="28"/>
          <w:szCs w:val="28"/>
          <w:highlight w:val="none"/>
        </w:rPr>
        <w:t>5.保障少数民族的权利和尊重少数民族的风俗习惯。</w:t>
      </w:r>
    </w:p>
    <w:p w14:paraId="0A0D81C9">
      <w:pPr>
        <w:tabs>
          <w:tab w:val="center" w:pos="6979"/>
        </w:tabs>
        <w:spacing w:line="580" w:lineRule="exact"/>
        <w:ind w:firstLine="560"/>
        <w:rPr>
          <w:rFonts w:hint="eastAsia" w:ascii="仿宋_GB2312" w:eastAsia="仿宋_GB2312"/>
          <w:kern w:val="0"/>
          <w:sz w:val="28"/>
          <w:szCs w:val="28"/>
          <w:highlight w:val="none"/>
        </w:rPr>
      </w:pPr>
      <w:r>
        <w:rPr>
          <w:rFonts w:hint="eastAsia" w:ascii="仿宋_GB2312" w:eastAsia="仿宋_GB2312"/>
          <w:kern w:val="0"/>
          <w:sz w:val="28"/>
          <w:szCs w:val="28"/>
          <w:highlight w:val="none"/>
        </w:rPr>
        <w:t>6.保障宪法和法律赋予妇女的男女平等、同工同酬和婚姻自由等各项权利。</w:t>
      </w:r>
    </w:p>
    <w:p w14:paraId="46FA908A">
      <w:pPr>
        <w:tabs>
          <w:tab w:val="center" w:pos="6979"/>
        </w:tabs>
        <w:spacing w:line="580" w:lineRule="exact"/>
        <w:ind w:firstLine="560"/>
        <w:rPr>
          <w:rFonts w:hint="eastAsia" w:ascii="仿宋_GB2312" w:eastAsia="仿宋_GB2312"/>
          <w:kern w:val="0"/>
          <w:sz w:val="28"/>
          <w:szCs w:val="28"/>
          <w:highlight w:val="none"/>
        </w:rPr>
      </w:pPr>
      <w:r>
        <w:rPr>
          <w:rFonts w:hint="eastAsia" w:ascii="仿宋_GB2312" w:eastAsia="仿宋_GB2312"/>
          <w:kern w:val="0"/>
          <w:sz w:val="28"/>
          <w:szCs w:val="28"/>
          <w:highlight w:val="none"/>
        </w:rPr>
        <w:t>7.承办区政府交办的其他事项。</w:t>
      </w:r>
    </w:p>
    <w:p w14:paraId="01EFBD12">
      <w:pPr>
        <w:tabs>
          <w:tab w:val="center" w:pos="6979"/>
        </w:tabs>
        <w:spacing w:line="580" w:lineRule="exact"/>
        <w:ind w:firstLine="560"/>
        <w:rPr>
          <w:rFonts w:hint="eastAsia" w:ascii="仿宋_GB2312" w:eastAsia="仿宋_GB2312"/>
          <w:kern w:val="0"/>
          <w:sz w:val="28"/>
          <w:szCs w:val="28"/>
          <w:highlight w:val="none"/>
        </w:rPr>
      </w:pPr>
      <w:r>
        <w:rPr>
          <w:rFonts w:hint="eastAsia" w:ascii="仿宋_GB2312" w:eastAsia="仿宋_GB2312"/>
          <w:kern w:val="0"/>
          <w:sz w:val="28"/>
          <w:szCs w:val="28"/>
          <w:highlight w:val="none"/>
        </w:rPr>
        <w:t>本单位机构设置情况：</w:t>
      </w:r>
    </w:p>
    <w:p w14:paraId="0965B3AE">
      <w:pPr>
        <w:tabs>
          <w:tab w:val="center" w:pos="6979"/>
        </w:tabs>
        <w:spacing w:line="580" w:lineRule="exact"/>
        <w:ind w:firstLine="560"/>
        <w:rPr>
          <w:rFonts w:hint="eastAsia" w:ascii="仿宋_GB2312" w:eastAsia="仿宋_GB2312"/>
          <w:kern w:val="0"/>
          <w:sz w:val="28"/>
          <w:szCs w:val="28"/>
          <w:highlight w:val="none"/>
        </w:rPr>
      </w:pPr>
      <w:r>
        <w:rPr>
          <w:rFonts w:hint="eastAsia" w:ascii="仿宋_GB2312" w:eastAsia="仿宋_GB2312"/>
          <w:kern w:val="0"/>
          <w:sz w:val="28"/>
          <w:szCs w:val="28"/>
          <w:highlight w:val="none"/>
        </w:rPr>
        <w:t>本单位下设党政机构8个，分别为：党群工作办公室、平安建设办公室、城乡建设办公室、农业农村办公室、经济发展办公室、社区建设办公室、民生保障办公室、综合保障办公室。</w:t>
      </w:r>
    </w:p>
    <w:p w14:paraId="0BB26C96">
      <w:pPr>
        <w:tabs>
          <w:tab w:val="center" w:pos="6979"/>
        </w:tabs>
        <w:spacing w:line="580" w:lineRule="exact"/>
        <w:ind w:firstLine="560"/>
        <w:rPr>
          <w:rFonts w:hint="eastAsia" w:ascii="仿宋_GB2312" w:eastAsia="仿宋_GB2312"/>
          <w:kern w:val="0"/>
          <w:sz w:val="28"/>
          <w:szCs w:val="28"/>
          <w:highlight w:val="none"/>
        </w:rPr>
      </w:pPr>
      <w:r>
        <w:rPr>
          <w:rFonts w:hint="eastAsia" w:ascii="仿宋_GB2312" w:eastAsia="仿宋_GB2312"/>
          <w:kern w:val="0"/>
          <w:sz w:val="28"/>
          <w:szCs w:val="28"/>
          <w:highlight w:val="none"/>
        </w:rPr>
        <w:t>下设事业单位5个，分别为：北京市大兴区旧宫镇市民活动中心、北京市大兴区旧宫镇市民诉求处置中心、北京市大兴区旧宫镇便民服务中心、北京市大兴区旧宫镇城乡建设服务中心、北京市大兴区旧宫镇产业发展服务中心。</w:t>
      </w:r>
    </w:p>
    <w:p w14:paraId="21880683">
      <w:pPr>
        <w:tabs>
          <w:tab w:val="center" w:pos="6979"/>
        </w:tabs>
        <w:spacing w:line="580" w:lineRule="exact"/>
        <w:ind w:firstLine="560"/>
        <w:rPr>
          <w:rFonts w:hint="eastAsia" w:ascii="仿宋_GB2312" w:eastAsia="仿宋_GB2312"/>
          <w:kern w:val="0"/>
          <w:sz w:val="28"/>
          <w:szCs w:val="28"/>
          <w:highlight w:val="none"/>
        </w:rPr>
      </w:pPr>
      <w:r>
        <w:rPr>
          <w:rFonts w:hint="eastAsia" w:ascii="仿宋_GB2312" w:eastAsia="仿宋_GB2312"/>
          <w:kern w:val="0"/>
          <w:sz w:val="28"/>
          <w:szCs w:val="28"/>
          <w:highlight w:val="none"/>
        </w:rPr>
        <w:t>本单位单位性质：</w:t>
      </w:r>
    </w:p>
    <w:p w14:paraId="7C00FE27">
      <w:pPr>
        <w:tabs>
          <w:tab w:val="center" w:pos="6979"/>
        </w:tabs>
        <w:spacing w:line="580" w:lineRule="exact"/>
        <w:ind w:firstLine="560"/>
        <w:rPr>
          <w:rFonts w:hint="eastAsia" w:ascii="仿宋_GB2312" w:eastAsia="仿宋_GB2312"/>
          <w:kern w:val="0"/>
          <w:sz w:val="28"/>
          <w:szCs w:val="28"/>
          <w:highlight w:val="none"/>
        </w:rPr>
      </w:pPr>
      <w:r>
        <w:rPr>
          <w:rFonts w:hint="eastAsia" w:ascii="仿宋_GB2312" w:eastAsia="仿宋_GB2312"/>
          <w:kern w:val="0"/>
          <w:sz w:val="28"/>
          <w:szCs w:val="28"/>
          <w:highlight w:val="none"/>
        </w:rPr>
        <w:t>行政单位。</w:t>
      </w:r>
    </w:p>
    <w:p w14:paraId="0A854A90">
      <w:pPr>
        <w:tabs>
          <w:tab w:val="center" w:pos="6979"/>
        </w:tabs>
        <w:spacing w:line="580" w:lineRule="exact"/>
        <w:ind w:firstLine="560"/>
        <w:rPr>
          <w:rFonts w:hint="eastAsia" w:ascii="仿宋_GB2312" w:eastAsia="仿宋_GB2312"/>
          <w:kern w:val="0"/>
          <w:sz w:val="28"/>
          <w:szCs w:val="28"/>
          <w:highlight w:val="none"/>
        </w:rPr>
      </w:pPr>
      <w:r>
        <w:rPr>
          <w:rFonts w:hint="eastAsia" w:ascii="仿宋_GB2312" w:eastAsia="仿宋_GB2312"/>
          <w:kern w:val="0"/>
          <w:sz w:val="28"/>
          <w:szCs w:val="28"/>
          <w:highlight w:val="none"/>
        </w:rPr>
        <w:t>本单位人员情况：</w:t>
      </w:r>
    </w:p>
    <w:p w14:paraId="59977825">
      <w:pPr>
        <w:tabs>
          <w:tab w:val="center" w:pos="6979"/>
        </w:tabs>
        <w:spacing w:line="58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本单位202</w:t>
      </w:r>
      <w:r>
        <w:rPr>
          <w:rFonts w:hint="eastAsia" w:ascii="仿宋_GB2312" w:eastAsia="仿宋_GB2312"/>
          <w:kern w:val="0"/>
          <w:sz w:val="28"/>
          <w:szCs w:val="28"/>
          <w:highlight w:val="none"/>
          <w:lang w:val="en-US" w:eastAsia="zh-CN"/>
        </w:rPr>
        <w:t>4</w:t>
      </w:r>
      <w:r>
        <w:rPr>
          <w:rFonts w:hint="eastAsia" w:ascii="仿宋_GB2312" w:eastAsia="仿宋_GB2312"/>
          <w:kern w:val="0"/>
          <w:sz w:val="28"/>
          <w:szCs w:val="28"/>
          <w:highlight w:val="none"/>
        </w:rPr>
        <w:t>年年末实有人数</w:t>
      </w:r>
      <w:r>
        <w:rPr>
          <w:rFonts w:hint="eastAsia" w:ascii="仿宋_GB2312" w:eastAsia="仿宋_GB2312"/>
          <w:kern w:val="0"/>
          <w:sz w:val="28"/>
          <w:szCs w:val="28"/>
          <w:highlight w:val="none"/>
          <w:lang w:val="en-US" w:eastAsia="zh-CN"/>
        </w:rPr>
        <w:t>140</w:t>
      </w:r>
      <w:r>
        <w:rPr>
          <w:rFonts w:hint="eastAsia" w:ascii="仿宋_GB2312" w:eastAsia="仿宋_GB2312"/>
          <w:kern w:val="0"/>
          <w:sz w:val="28"/>
          <w:szCs w:val="28"/>
          <w:highlight w:val="none"/>
        </w:rPr>
        <w:t>人，其中：行政人员6</w:t>
      </w:r>
      <w:r>
        <w:rPr>
          <w:rFonts w:hint="eastAsia" w:ascii="仿宋_GB2312" w:eastAsia="仿宋_GB2312"/>
          <w:kern w:val="0"/>
          <w:sz w:val="28"/>
          <w:szCs w:val="28"/>
          <w:highlight w:val="none"/>
          <w:lang w:val="en-US" w:eastAsia="zh-CN"/>
        </w:rPr>
        <w:t>9</w:t>
      </w:r>
      <w:r>
        <w:rPr>
          <w:rFonts w:hint="eastAsia" w:ascii="仿宋_GB2312" w:eastAsia="仿宋_GB2312"/>
          <w:kern w:val="0"/>
          <w:sz w:val="28"/>
          <w:szCs w:val="28"/>
          <w:highlight w:val="none"/>
        </w:rPr>
        <w:t>人、事业人员</w:t>
      </w:r>
      <w:r>
        <w:rPr>
          <w:rFonts w:hint="eastAsia" w:ascii="仿宋_GB2312" w:eastAsia="仿宋_GB2312"/>
          <w:kern w:val="0"/>
          <w:sz w:val="28"/>
          <w:szCs w:val="28"/>
          <w:highlight w:val="none"/>
          <w:lang w:val="en-US" w:eastAsia="zh-CN"/>
        </w:rPr>
        <w:t>76</w:t>
      </w:r>
      <w:r>
        <w:rPr>
          <w:rFonts w:hint="eastAsia" w:ascii="仿宋_GB2312" w:eastAsia="仿宋_GB2312"/>
          <w:kern w:val="0"/>
          <w:sz w:val="28"/>
          <w:szCs w:val="28"/>
          <w:highlight w:val="none"/>
        </w:rPr>
        <w:t>人。</w:t>
      </w:r>
    </w:p>
    <w:p w14:paraId="2003BC45">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14:paraId="40F3443B">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从预算单位构成看，</w:t>
      </w:r>
      <w:r>
        <w:rPr>
          <w:rFonts w:hint="eastAsia" w:ascii="仿宋_GB2312" w:eastAsia="仿宋_GB2312"/>
          <w:kern w:val="0"/>
          <w:sz w:val="28"/>
          <w:szCs w:val="28"/>
          <w:highlight w:val="none"/>
        </w:rPr>
        <w:t>本单位</w:t>
      </w:r>
      <w:r>
        <w:rPr>
          <w:rFonts w:hint="eastAsia" w:ascii="仿宋_GB2312" w:eastAsia="仿宋_GB2312"/>
          <w:sz w:val="28"/>
          <w:szCs w:val="28"/>
          <w:highlight w:val="none"/>
        </w:rPr>
        <w:t>部门决算包括：北京市大兴区旧宫镇人民政府（本级）。</w:t>
      </w:r>
    </w:p>
    <w:p w14:paraId="62698CCB">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14:paraId="40D803BB">
      <w:pPr>
        <w:tabs>
          <w:tab w:val="center" w:pos="6979"/>
        </w:tabs>
        <w:spacing w:line="580" w:lineRule="exact"/>
        <w:ind w:firstLine="548" w:firstLineChars="196"/>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年度收入总计51395.2</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lang w:val="en-US" w:eastAsia="zh-CN"/>
        </w:rPr>
        <w:t>减少12819.81、</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下降19.96</w:t>
      </w:r>
      <w:r>
        <w:rPr>
          <w:rFonts w:hint="eastAsia" w:ascii="仿宋_GB2312" w:eastAsia="仿宋_GB2312"/>
          <w:sz w:val="28"/>
          <w:szCs w:val="28"/>
          <w:highlight w:val="none"/>
        </w:rPr>
        <w:t>%。主要原因：住房保障支出</w:t>
      </w:r>
      <w:r>
        <w:rPr>
          <w:rFonts w:hint="eastAsia" w:ascii="仿宋_GB2312" w:eastAsia="仿宋_GB2312"/>
          <w:sz w:val="28"/>
          <w:szCs w:val="28"/>
          <w:highlight w:val="none"/>
          <w:lang w:val="en-US" w:eastAsia="zh-CN"/>
        </w:rPr>
        <w:t>收入15813.02</w:t>
      </w:r>
      <w:r>
        <w:rPr>
          <w:rFonts w:hint="eastAsia" w:ascii="仿宋_GB2312" w:eastAsia="仿宋_GB2312"/>
          <w:sz w:val="28"/>
          <w:szCs w:val="28"/>
          <w:highlight w:val="none"/>
        </w:rPr>
        <w:t>万元，比去年同期支出的21750.91万元，</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5937.8</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下降29.30</w:t>
      </w:r>
      <w:r>
        <w:rPr>
          <w:rFonts w:hint="eastAsia" w:ascii="仿宋_GB2312" w:eastAsia="仿宋_GB2312"/>
          <w:sz w:val="28"/>
          <w:szCs w:val="28"/>
          <w:highlight w:val="none"/>
        </w:rPr>
        <w:t>%。</w:t>
      </w:r>
    </w:p>
    <w:p w14:paraId="0CC9306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4CE7312E">
      <w:pPr>
        <w:tabs>
          <w:tab w:val="center" w:pos="6979"/>
        </w:tabs>
        <w:spacing w:line="580" w:lineRule="exact"/>
        <w:ind w:firstLine="548" w:firstLineChars="196"/>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年度收入总计51395.2</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lang w:val="en-US" w:eastAsia="zh-CN"/>
        </w:rPr>
        <w:t>减少12819.81、</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下降19.96</w:t>
      </w:r>
      <w:r>
        <w:rPr>
          <w:rFonts w:hint="eastAsia" w:ascii="仿宋_GB2312" w:eastAsia="仿宋_GB2312"/>
          <w:sz w:val="28"/>
          <w:szCs w:val="28"/>
          <w:highlight w:val="none"/>
        </w:rPr>
        <w:t>%。主要原因：住房保障支出</w:t>
      </w:r>
      <w:r>
        <w:rPr>
          <w:rFonts w:hint="eastAsia" w:ascii="仿宋_GB2312" w:eastAsia="仿宋_GB2312"/>
          <w:sz w:val="28"/>
          <w:szCs w:val="28"/>
          <w:highlight w:val="none"/>
          <w:lang w:val="en-US" w:eastAsia="zh-CN"/>
        </w:rPr>
        <w:t>收入15813.02</w:t>
      </w:r>
      <w:r>
        <w:rPr>
          <w:rFonts w:hint="eastAsia" w:ascii="仿宋_GB2312" w:eastAsia="仿宋_GB2312"/>
          <w:sz w:val="28"/>
          <w:szCs w:val="28"/>
          <w:highlight w:val="none"/>
        </w:rPr>
        <w:t>万元，比去年同期支出的21750.91万元，</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5937.8</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下降29.30</w:t>
      </w:r>
      <w:r>
        <w:rPr>
          <w:rFonts w:hint="eastAsia" w:ascii="仿宋_GB2312" w:eastAsia="仿宋_GB2312"/>
          <w:sz w:val="28"/>
          <w:szCs w:val="28"/>
          <w:highlight w:val="none"/>
        </w:rPr>
        <w:t>%。</w:t>
      </w:r>
    </w:p>
    <w:p w14:paraId="6A8A547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其中：</w:t>
      </w:r>
    </w:p>
    <w:p w14:paraId="5E5D731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1.财政拨款收入51395.2</w:t>
      </w:r>
      <w:r>
        <w:rPr>
          <w:rFonts w:hint="eastAsia" w:ascii="仿宋_GB2312" w:eastAsia="仿宋_GB2312"/>
          <w:sz w:val="28"/>
          <w:szCs w:val="28"/>
          <w:lang w:val="en-US" w:eastAsia="zh-CN"/>
        </w:rPr>
        <w:t>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%。其中：一般公共预算财政拨款收入45025.</w:t>
      </w:r>
      <w:r>
        <w:rPr>
          <w:rFonts w:hint="eastAsia" w:ascii="仿宋_GB2312" w:eastAsia="仿宋_GB2312"/>
          <w:sz w:val="28"/>
          <w:szCs w:val="28"/>
          <w:lang w:val="en-US" w:eastAsia="zh-CN"/>
        </w:rPr>
        <w:t>40</w:t>
      </w:r>
      <w:r>
        <w:rPr>
          <w:rFonts w:hint="eastAsia" w:ascii="仿宋_GB2312" w:eastAsia="仿宋_GB2312"/>
          <w:sz w:val="28"/>
          <w:szCs w:val="28"/>
        </w:rPr>
        <w:t>万元，占收入合计的87</w:t>
      </w:r>
      <w:r>
        <w:rPr>
          <w:rFonts w:hint="eastAsia" w:ascii="仿宋_GB2312" w:eastAsia="仿宋_GB2312"/>
          <w:sz w:val="28"/>
          <w:szCs w:val="28"/>
          <w:lang w:val="en-US" w:eastAsia="zh-CN"/>
        </w:rPr>
        <w:t>.</w:t>
      </w:r>
      <w:r>
        <w:rPr>
          <w:rFonts w:hint="eastAsia" w:ascii="仿宋_GB2312" w:eastAsia="仿宋_GB2312"/>
          <w:sz w:val="28"/>
          <w:szCs w:val="28"/>
        </w:rPr>
        <w:t>6</w:t>
      </w:r>
      <w:r>
        <w:rPr>
          <w:rFonts w:hint="eastAsia" w:ascii="仿宋_GB2312" w:eastAsia="仿宋_GB2312"/>
          <w:sz w:val="28"/>
          <w:szCs w:val="28"/>
          <w:lang w:val="en-US" w:eastAsia="zh-CN"/>
        </w:rPr>
        <w:t>1</w:t>
      </w:r>
      <w:r>
        <w:rPr>
          <w:rFonts w:hint="eastAsia" w:ascii="仿宋_GB2312" w:eastAsia="仿宋_GB2312"/>
          <w:sz w:val="28"/>
          <w:szCs w:val="28"/>
        </w:rPr>
        <w:t>%；政府性基金预算财政拨款收入6369.86万元，占收入合计的</w:t>
      </w:r>
      <w:r>
        <w:rPr>
          <w:rFonts w:hint="eastAsia" w:ascii="仿宋_GB2312" w:eastAsia="仿宋_GB2312"/>
          <w:sz w:val="28"/>
          <w:szCs w:val="28"/>
          <w:lang w:val="en-US" w:eastAsia="zh-CN"/>
        </w:rPr>
        <w:t>12.39</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453F016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7C2974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23A2EBD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583146E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31AFE89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664972EB">
      <w:pPr>
        <w:pStyle w:val="2"/>
        <w:ind w:firstLine="0"/>
        <w:jc w:val="center"/>
      </w:pPr>
      <w:r>
        <w:rPr>
          <w:rFonts w:hint="eastAsia" w:ascii="仿宋_GB2312" w:eastAsia="仿宋_GB2312"/>
          <w:color w:val="000000"/>
          <w:sz w:val="32"/>
          <w:szCs w:val="32"/>
          <w:highlight w:val="none"/>
          <w:lang w:val="en-US" w:eastAsia="zh-CN"/>
        </w:rPr>
        <w:t>图1：收入决算</w:t>
      </w:r>
    </w:p>
    <w:p w14:paraId="538A5D83">
      <w:pPr>
        <w:pStyle w:val="2"/>
        <w:ind w:firstLine="0"/>
        <w:jc w:val="center"/>
        <w:rPr>
          <w:rFonts w:hint="eastAsia" w:ascii="仿宋_GB2312" w:eastAsia="仿宋_GB2312"/>
          <w:color w:val="000000"/>
          <w:sz w:val="32"/>
          <w:szCs w:val="32"/>
          <w:highlight w:val="none"/>
          <w:lang w:val="en-US" w:eastAsia="zh-CN"/>
        </w:rPr>
      </w:pPr>
      <w:r>
        <w:drawing>
          <wp:inline distT="0" distB="0" distL="114300" distR="114300">
            <wp:extent cx="4156075" cy="1822450"/>
            <wp:effectExtent l="5080" t="5080" r="10795" b="20320"/>
            <wp:docPr id="103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F2CB08A">
      <w:pPr>
        <w:tabs>
          <w:tab w:val="center" w:pos="6979"/>
        </w:tabs>
        <w:spacing w:line="580" w:lineRule="exact"/>
        <w:ind w:firstLine="570"/>
        <w:rPr>
          <w:rFonts w:hint="eastAsia" w:ascii="仿宋_GB2312" w:eastAsia="仿宋_GB2312"/>
          <w:sz w:val="28"/>
          <w:szCs w:val="28"/>
        </w:rPr>
      </w:pPr>
    </w:p>
    <w:p w14:paraId="049C4C0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F8E2AD3">
      <w:pPr>
        <w:tabs>
          <w:tab w:val="center" w:pos="6979"/>
        </w:tabs>
        <w:spacing w:line="580" w:lineRule="exact"/>
        <w:ind w:firstLine="548" w:firstLineChars="196"/>
        <w:rPr>
          <w:rFonts w:hint="eastAsia" w:ascii="仿宋_GB2312" w:eastAsia="仿宋_GB2312"/>
          <w:sz w:val="28"/>
          <w:szCs w:val="28"/>
          <w:highlight w:val="none"/>
        </w:rPr>
      </w:pPr>
      <w:r>
        <w:rPr>
          <w:rFonts w:hint="eastAsia" w:ascii="仿宋_GB2312" w:eastAsia="仿宋_GB2312"/>
          <w:sz w:val="28"/>
          <w:szCs w:val="28"/>
        </w:rPr>
        <w:t>2024年度本年支出合计51395.2</w:t>
      </w:r>
      <w:r>
        <w:rPr>
          <w:rFonts w:hint="eastAsia" w:ascii="仿宋_GB2312" w:eastAsia="仿宋_GB2312"/>
          <w:sz w:val="28"/>
          <w:szCs w:val="28"/>
          <w:lang w:val="en-US" w:eastAsia="zh-CN"/>
        </w:rPr>
        <w:t>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减少12819.8</w:t>
      </w:r>
      <w:r>
        <w:rPr>
          <w:rFonts w:hint="eastAsia" w:ascii="仿宋_GB2312" w:eastAsia="仿宋_GB2312"/>
          <w:sz w:val="28"/>
          <w:szCs w:val="28"/>
          <w:lang w:val="en-US" w:eastAsia="zh-CN"/>
        </w:rPr>
        <w:t>1</w:t>
      </w:r>
      <w:r>
        <w:rPr>
          <w:rFonts w:hint="eastAsia" w:ascii="仿宋_GB2312" w:eastAsia="仿宋_GB2312"/>
          <w:sz w:val="28"/>
          <w:szCs w:val="28"/>
        </w:rPr>
        <w:t>万元，下降</w:t>
      </w:r>
      <w:r>
        <w:rPr>
          <w:rFonts w:hint="eastAsia" w:ascii="仿宋_GB2312" w:eastAsia="仿宋_GB2312"/>
          <w:sz w:val="28"/>
          <w:szCs w:val="28"/>
          <w:lang w:val="en-US" w:eastAsia="zh-CN"/>
        </w:rPr>
        <w:t>19.96</w:t>
      </w:r>
      <w:r>
        <w:rPr>
          <w:rFonts w:hint="eastAsia" w:ascii="仿宋_GB2312" w:eastAsia="仿宋_GB2312"/>
          <w:sz w:val="28"/>
          <w:szCs w:val="28"/>
        </w:rPr>
        <w:t>%。主要原因：</w:t>
      </w:r>
      <w:r>
        <w:rPr>
          <w:rFonts w:hint="eastAsia" w:ascii="仿宋_GB2312" w:eastAsia="仿宋_GB2312"/>
          <w:sz w:val="28"/>
          <w:szCs w:val="28"/>
          <w:highlight w:val="none"/>
        </w:rPr>
        <w:t>住房保障支出</w:t>
      </w:r>
      <w:r>
        <w:rPr>
          <w:rFonts w:hint="eastAsia" w:ascii="仿宋_GB2312" w:eastAsia="仿宋_GB2312"/>
          <w:sz w:val="28"/>
          <w:szCs w:val="28"/>
          <w:highlight w:val="none"/>
          <w:lang w:val="en-US" w:eastAsia="zh-CN"/>
        </w:rPr>
        <w:t>收入15813.02</w:t>
      </w:r>
      <w:r>
        <w:rPr>
          <w:rFonts w:hint="eastAsia" w:ascii="仿宋_GB2312" w:eastAsia="仿宋_GB2312"/>
          <w:sz w:val="28"/>
          <w:szCs w:val="28"/>
          <w:highlight w:val="none"/>
        </w:rPr>
        <w:t>万元，比去年同期支出的21750.91万元，</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5937.8</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下降29.30</w:t>
      </w:r>
      <w:r>
        <w:rPr>
          <w:rFonts w:hint="eastAsia" w:ascii="仿宋_GB2312" w:eastAsia="仿宋_GB2312"/>
          <w:sz w:val="28"/>
          <w:szCs w:val="28"/>
          <w:highlight w:val="none"/>
        </w:rPr>
        <w:t>%。</w:t>
      </w:r>
    </w:p>
    <w:p w14:paraId="4A8C3CF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其中：</w:t>
      </w:r>
    </w:p>
    <w:p w14:paraId="1DFEEBF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1.基本支出4994.90万元，占支出合计的</w:t>
      </w:r>
      <w:r>
        <w:rPr>
          <w:rFonts w:hint="eastAsia" w:ascii="仿宋_GB2312" w:eastAsia="仿宋_GB2312"/>
          <w:sz w:val="28"/>
          <w:szCs w:val="28"/>
          <w:lang w:val="en-US" w:eastAsia="zh-CN"/>
        </w:rPr>
        <w:t>9.72</w:t>
      </w:r>
      <w:r>
        <w:rPr>
          <w:rFonts w:hint="eastAsia" w:ascii="仿宋_GB2312" w:eastAsia="仿宋_GB2312"/>
          <w:sz w:val="28"/>
          <w:szCs w:val="28"/>
        </w:rPr>
        <w:t>%。</w:t>
      </w:r>
    </w:p>
    <w:p w14:paraId="255CEEF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2.项目支出46400.3</w:t>
      </w:r>
      <w:r>
        <w:rPr>
          <w:rFonts w:hint="eastAsia" w:ascii="仿宋_GB2312" w:eastAsia="仿宋_GB2312"/>
          <w:sz w:val="28"/>
          <w:szCs w:val="28"/>
          <w:lang w:val="en-US" w:eastAsia="zh-CN"/>
        </w:rPr>
        <w:t>6</w:t>
      </w:r>
      <w:r>
        <w:rPr>
          <w:rFonts w:hint="eastAsia" w:ascii="仿宋_GB2312" w:eastAsia="仿宋_GB2312"/>
          <w:sz w:val="28"/>
          <w:szCs w:val="28"/>
        </w:rPr>
        <w:t>万元，占支出合计的</w:t>
      </w:r>
      <w:r>
        <w:rPr>
          <w:rFonts w:hint="eastAsia" w:ascii="仿宋_GB2312" w:eastAsia="仿宋_GB2312"/>
          <w:sz w:val="28"/>
          <w:szCs w:val="28"/>
          <w:lang w:val="en-US" w:eastAsia="zh-CN"/>
        </w:rPr>
        <w:t>90.28</w:t>
      </w:r>
      <w:r>
        <w:rPr>
          <w:rFonts w:hint="eastAsia" w:ascii="仿宋_GB2312" w:eastAsia="仿宋_GB2312"/>
          <w:sz w:val="28"/>
          <w:szCs w:val="28"/>
        </w:rPr>
        <w:t>%。</w:t>
      </w:r>
    </w:p>
    <w:p w14:paraId="7322C85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1A8D4A5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1B69CE5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5938F86B">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14:paraId="15FA36E5">
      <w:pPr>
        <w:jc w:val="center"/>
        <w:rPr>
          <w:rFonts w:hint="eastAsia" w:ascii="黑体" w:eastAsia="黑体"/>
          <w:sz w:val="28"/>
          <w:szCs w:val="28"/>
        </w:rPr>
      </w:pPr>
      <w:r>
        <w:drawing>
          <wp:inline distT="0" distB="0" distL="114300" distR="114300">
            <wp:extent cx="4048125" cy="1866900"/>
            <wp:effectExtent l="4445" t="4445" r="5080" b="14605"/>
            <wp:docPr id="614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B594DE4">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14:paraId="16C5C35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年度财政拨款收入总计45025.</w:t>
      </w:r>
      <w:r>
        <w:rPr>
          <w:rFonts w:hint="eastAsia" w:ascii="仿宋_GB2312" w:eastAsia="仿宋_GB2312"/>
          <w:sz w:val="28"/>
          <w:szCs w:val="28"/>
          <w:highlight w:val="none"/>
          <w:lang w:val="en-US" w:eastAsia="zh-CN"/>
        </w:rPr>
        <w:t>40</w:t>
      </w:r>
      <w:r>
        <w:rPr>
          <w:rFonts w:hint="eastAsia" w:ascii="仿宋_GB2312" w:eastAsia="仿宋_GB2312"/>
          <w:sz w:val="28"/>
          <w:szCs w:val="28"/>
          <w:highlight w:val="none"/>
        </w:rPr>
        <w:t>万元，比上年</w:t>
      </w:r>
      <w:r>
        <w:rPr>
          <w:rFonts w:hint="eastAsia" w:ascii="仿宋_GB2312" w:eastAsia="仿宋_GB2312"/>
          <w:sz w:val="28"/>
          <w:szCs w:val="28"/>
          <w:highlight w:val="none"/>
          <w:lang w:val="en-US" w:eastAsia="zh-CN"/>
        </w:rPr>
        <w:t>减少19189.67</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减少42.62</w:t>
      </w:r>
      <w:r>
        <w:rPr>
          <w:rFonts w:hint="eastAsia" w:ascii="仿宋_GB2312" w:eastAsia="仿宋_GB2312"/>
          <w:sz w:val="28"/>
          <w:szCs w:val="28"/>
          <w:highlight w:val="none"/>
        </w:rPr>
        <w:t>%。主要原因：住房保障支出</w:t>
      </w:r>
      <w:r>
        <w:rPr>
          <w:rFonts w:hint="eastAsia" w:ascii="仿宋_GB2312" w:eastAsia="仿宋_GB2312"/>
          <w:sz w:val="28"/>
          <w:szCs w:val="28"/>
          <w:highlight w:val="none"/>
          <w:lang w:val="en-US" w:eastAsia="zh-CN"/>
        </w:rPr>
        <w:t>收入15813.02</w:t>
      </w:r>
      <w:r>
        <w:rPr>
          <w:rFonts w:hint="eastAsia" w:ascii="仿宋_GB2312" w:eastAsia="仿宋_GB2312"/>
          <w:sz w:val="28"/>
          <w:szCs w:val="28"/>
          <w:highlight w:val="none"/>
        </w:rPr>
        <w:t>万元，比去年同期支出的21750.91万元，</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5937.8</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下降29.30</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年度财政拨款支出总计45025.</w:t>
      </w:r>
      <w:r>
        <w:rPr>
          <w:rFonts w:hint="eastAsia" w:ascii="仿宋_GB2312" w:eastAsia="仿宋_GB2312"/>
          <w:sz w:val="28"/>
          <w:szCs w:val="28"/>
          <w:highlight w:val="none"/>
          <w:lang w:val="en-US" w:eastAsia="zh-CN"/>
        </w:rPr>
        <w:t>40</w:t>
      </w:r>
      <w:r>
        <w:rPr>
          <w:rFonts w:hint="eastAsia" w:ascii="仿宋_GB2312" w:eastAsia="仿宋_GB2312"/>
          <w:sz w:val="28"/>
          <w:szCs w:val="28"/>
          <w:highlight w:val="none"/>
        </w:rPr>
        <w:t>万元，比上年</w:t>
      </w:r>
      <w:r>
        <w:rPr>
          <w:rFonts w:hint="eastAsia" w:ascii="仿宋_GB2312" w:eastAsia="仿宋_GB2312"/>
          <w:sz w:val="28"/>
          <w:szCs w:val="28"/>
          <w:highlight w:val="none"/>
          <w:lang w:val="en-US" w:eastAsia="zh-CN"/>
        </w:rPr>
        <w:t>减少19189.67</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减少42.62</w:t>
      </w:r>
      <w:r>
        <w:rPr>
          <w:rFonts w:hint="eastAsia" w:ascii="仿宋_GB2312" w:eastAsia="仿宋_GB2312"/>
          <w:sz w:val="28"/>
          <w:szCs w:val="28"/>
          <w:highlight w:val="none"/>
        </w:rPr>
        <w:t>%。主要原因：住房保障支出</w:t>
      </w:r>
      <w:r>
        <w:rPr>
          <w:rFonts w:hint="eastAsia" w:ascii="仿宋_GB2312" w:eastAsia="仿宋_GB2312"/>
          <w:sz w:val="28"/>
          <w:szCs w:val="28"/>
          <w:highlight w:val="none"/>
          <w:lang w:val="en-US" w:eastAsia="zh-CN"/>
        </w:rPr>
        <w:t>收入15813.02</w:t>
      </w:r>
      <w:r>
        <w:rPr>
          <w:rFonts w:hint="eastAsia" w:ascii="仿宋_GB2312" w:eastAsia="仿宋_GB2312"/>
          <w:sz w:val="28"/>
          <w:szCs w:val="28"/>
          <w:highlight w:val="none"/>
        </w:rPr>
        <w:t>万元，比去年同期支出的21750.91万元，</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5937.8</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下降29.30</w:t>
      </w:r>
      <w:r>
        <w:rPr>
          <w:rFonts w:hint="eastAsia" w:ascii="仿宋_GB2312" w:eastAsia="仿宋_GB2312"/>
          <w:sz w:val="28"/>
          <w:szCs w:val="28"/>
          <w:highlight w:val="none"/>
        </w:rPr>
        <w:t>%。</w:t>
      </w:r>
    </w:p>
    <w:p w14:paraId="0B1E60CF">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14:paraId="4269DCE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60D2F0A9">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2023年度一般公共预算财政拨款支出45025.</w:t>
      </w:r>
      <w:r>
        <w:rPr>
          <w:rFonts w:hint="eastAsia" w:ascii="仿宋_GB2312" w:eastAsia="仿宋_GB2312"/>
          <w:sz w:val="28"/>
          <w:szCs w:val="28"/>
          <w:highlight w:val="none"/>
          <w:lang w:val="en-US" w:eastAsia="zh-CN"/>
        </w:rPr>
        <w:t>40</w:t>
      </w:r>
      <w:r>
        <w:rPr>
          <w:rFonts w:hint="eastAsia" w:ascii="仿宋_GB2312" w:eastAsia="仿宋_GB2312"/>
          <w:sz w:val="28"/>
          <w:szCs w:val="28"/>
          <w:highlight w:val="none"/>
        </w:rPr>
        <w:t>万元，主要用于以下方面（按大类）：一般公共服务支出8479.12万元，占本年财政拨款支出</w:t>
      </w:r>
      <w:r>
        <w:rPr>
          <w:rFonts w:hint="eastAsia" w:ascii="仿宋_GB2312" w:eastAsia="仿宋_GB2312"/>
          <w:sz w:val="28"/>
          <w:szCs w:val="28"/>
          <w:highlight w:val="none"/>
          <w:lang w:val="en-US" w:eastAsia="zh-CN"/>
        </w:rPr>
        <w:t>18.83</w:t>
      </w:r>
      <w:r>
        <w:rPr>
          <w:rFonts w:hint="eastAsia" w:ascii="仿宋_GB2312" w:eastAsia="仿宋_GB2312"/>
          <w:sz w:val="28"/>
          <w:szCs w:val="28"/>
          <w:highlight w:val="none"/>
        </w:rPr>
        <w:t>%；公共安全支出98.3</w:t>
      </w:r>
      <w:r>
        <w:rPr>
          <w:rFonts w:hint="eastAsia" w:ascii="仿宋_GB2312" w:eastAsia="仿宋_GB2312"/>
          <w:sz w:val="28"/>
          <w:szCs w:val="28"/>
          <w:highlight w:val="none"/>
          <w:lang w:val="en-US" w:eastAsia="zh-CN"/>
        </w:rPr>
        <w:t>4万元，</w:t>
      </w:r>
      <w:r>
        <w:rPr>
          <w:rFonts w:hint="eastAsia" w:ascii="仿宋_GB2312" w:eastAsia="仿宋_GB2312"/>
          <w:sz w:val="28"/>
          <w:szCs w:val="28"/>
          <w:highlight w:val="none"/>
        </w:rPr>
        <w:t>占本年财政拨款支出0.</w:t>
      </w:r>
      <w:r>
        <w:rPr>
          <w:rFonts w:hint="eastAsia" w:ascii="仿宋_GB2312" w:eastAsia="仿宋_GB2312"/>
          <w:sz w:val="28"/>
          <w:szCs w:val="28"/>
          <w:highlight w:val="none"/>
          <w:lang w:val="en-US" w:eastAsia="zh-CN"/>
        </w:rPr>
        <w:t>21</w:t>
      </w:r>
      <w:r>
        <w:rPr>
          <w:rFonts w:hint="eastAsia" w:ascii="仿宋_GB2312" w:eastAsia="仿宋_GB2312"/>
          <w:sz w:val="28"/>
          <w:szCs w:val="28"/>
          <w:highlight w:val="none"/>
        </w:rPr>
        <w:t>%；文化旅游体育与传媒支出237.5</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万元，占本年财政拨款支出0.</w:t>
      </w:r>
      <w:r>
        <w:rPr>
          <w:rFonts w:hint="eastAsia" w:ascii="仿宋_GB2312" w:eastAsia="仿宋_GB2312"/>
          <w:sz w:val="28"/>
          <w:szCs w:val="28"/>
          <w:highlight w:val="none"/>
          <w:lang w:val="en-US" w:eastAsia="zh-CN"/>
        </w:rPr>
        <w:t>52</w:t>
      </w:r>
      <w:r>
        <w:rPr>
          <w:rFonts w:hint="eastAsia" w:ascii="仿宋_GB2312" w:eastAsia="仿宋_GB2312"/>
          <w:sz w:val="28"/>
          <w:szCs w:val="28"/>
          <w:highlight w:val="none"/>
        </w:rPr>
        <w:t>%；社会保障和就业支出7067.2</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 xml:space="preserve"> 万元，占本年财政拨款支出15.</w:t>
      </w:r>
      <w:r>
        <w:rPr>
          <w:rFonts w:hint="eastAsia" w:ascii="仿宋_GB2312" w:eastAsia="仿宋_GB2312"/>
          <w:sz w:val="28"/>
          <w:szCs w:val="28"/>
          <w:highlight w:val="none"/>
          <w:lang w:val="en-US" w:eastAsia="zh-CN"/>
        </w:rPr>
        <w:t>70</w:t>
      </w:r>
      <w:r>
        <w:rPr>
          <w:rFonts w:hint="eastAsia" w:ascii="仿宋_GB2312" w:eastAsia="仿宋_GB2312"/>
          <w:sz w:val="28"/>
          <w:szCs w:val="28"/>
          <w:highlight w:val="none"/>
        </w:rPr>
        <w:t>%；卫生健康支出1102.</w:t>
      </w:r>
      <w:r>
        <w:rPr>
          <w:rFonts w:hint="eastAsia" w:ascii="仿宋_GB2312" w:eastAsia="仿宋_GB2312"/>
          <w:sz w:val="28"/>
          <w:szCs w:val="28"/>
          <w:highlight w:val="none"/>
          <w:lang w:val="en-US" w:eastAsia="zh-CN"/>
        </w:rPr>
        <w:t>70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15.07</w:t>
      </w:r>
      <w:r>
        <w:rPr>
          <w:rFonts w:hint="eastAsia" w:ascii="仿宋_GB2312" w:eastAsia="仿宋_GB2312"/>
          <w:sz w:val="28"/>
          <w:szCs w:val="28"/>
          <w:highlight w:val="none"/>
        </w:rPr>
        <w:t>%；节能环保支出579.19万元，占本年财政拨款支出1.</w:t>
      </w:r>
      <w:r>
        <w:rPr>
          <w:rFonts w:hint="eastAsia" w:ascii="仿宋_GB2312" w:eastAsia="仿宋_GB2312"/>
          <w:sz w:val="28"/>
          <w:szCs w:val="28"/>
          <w:highlight w:val="none"/>
          <w:lang w:val="en-US" w:eastAsia="zh-CN"/>
        </w:rPr>
        <w:t>29</w:t>
      </w:r>
      <w:r>
        <w:rPr>
          <w:rFonts w:hint="eastAsia" w:ascii="仿宋_GB2312" w:eastAsia="仿宋_GB2312"/>
          <w:sz w:val="28"/>
          <w:szCs w:val="28"/>
          <w:highlight w:val="none"/>
        </w:rPr>
        <w:t>%；城乡社区支出6784.31万元，占本年财政拨款支出1</w:t>
      </w:r>
      <w:r>
        <w:rPr>
          <w:rFonts w:hint="eastAsia" w:ascii="仿宋_GB2312" w:eastAsia="仿宋_GB2312"/>
          <w:sz w:val="28"/>
          <w:szCs w:val="28"/>
          <w:highlight w:val="none"/>
          <w:lang w:val="en-US" w:eastAsia="zh-CN"/>
        </w:rPr>
        <w:t>5.07</w:t>
      </w:r>
      <w:r>
        <w:rPr>
          <w:rFonts w:hint="eastAsia" w:ascii="仿宋_GB2312" w:eastAsia="仿宋_GB2312"/>
          <w:sz w:val="28"/>
          <w:szCs w:val="28"/>
          <w:highlight w:val="none"/>
        </w:rPr>
        <w:t>%；农林水支出4863.84万元，占本年财政拨款支出1</w:t>
      </w:r>
      <w:r>
        <w:rPr>
          <w:rFonts w:hint="eastAsia" w:ascii="仿宋_GB2312" w:eastAsia="仿宋_GB2312"/>
          <w:sz w:val="28"/>
          <w:szCs w:val="28"/>
          <w:highlight w:val="none"/>
          <w:lang w:val="en-US" w:eastAsia="zh-CN"/>
        </w:rPr>
        <w:t>0.80</w:t>
      </w:r>
      <w:r>
        <w:rPr>
          <w:rFonts w:hint="eastAsia" w:ascii="仿宋_GB2312" w:eastAsia="仿宋_GB2312"/>
          <w:sz w:val="28"/>
          <w:szCs w:val="28"/>
          <w:highlight w:val="none"/>
        </w:rPr>
        <w:t>%；住房保障支出15813.0</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万元，占本年财政拨款支出3</w:t>
      </w:r>
      <w:r>
        <w:rPr>
          <w:rFonts w:hint="eastAsia" w:ascii="仿宋_GB2312" w:eastAsia="仿宋_GB2312"/>
          <w:sz w:val="28"/>
          <w:szCs w:val="28"/>
          <w:highlight w:val="none"/>
          <w:lang w:val="en-US" w:eastAsia="zh-CN"/>
        </w:rPr>
        <w:t>5.12</w:t>
      </w:r>
      <w:r>
        <w:rPr>
          <w:rFonts w:hint="eastAsia" w:ascii="仿宋_GB2312" w:eastAsia="仿宋_GB2312"/>
          <w:sz w:val="28"/>
          <w:szCs w:val="28"/>
          <w:highlight w:val="none"/>
        </w:rPr>
        <w:t>%。</w:t>
      </w:r>
    </w:p>
    <w:p w14:paraId="6B199DD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B8C738E">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eastAsia="仿宋_GB2312"/>
          <w:sz w:val="28"/>
          <w:szCs w:val="28"/>
          <w:highlight w:val="none"/>
        </w:rPr>
      </w:pPr>
      <w:r>
        <w:rPr>
          <w:rFonts w:hint="eastAsia" w:ascii="仿宋_GB2312" w:eastAsia="仿宋_GB2312"/>
          <w:sz w:val="28"/>
          <w:szCs w:val="28"/>
          <w:highlight w:val="none"/>
        </w:rPr>
        <w:t>1.“一般公共服务支出”（类）202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年度决算8479.1</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减少1438.78</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降低14.51</w:t>
      </w:r>
      <w:r>
        <w:rPr>
          <w:rFonts w:hint="eastAsia" w:ascii="仿宋_GB2312" w:eastAsia="仿宋_GB2312"/>
          <w:sz w:val="28"/>
          <w:szCs w:val="28"/>
          <w:highlight w:val="none"/>
        </w:rPr>
        <w:t>%。其中：</w:t>
      </w:r>
    </w:p>
    <w:p w14:paraId="653981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“人大事务”（款）202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年度决算72.17万元，比202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年度年初预算增加7.8</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万元，增长12.13%。主要原因：人大相关工作支出</w:t>
      </w:r>
      <w:r>
        <w:rPr>
          <w:rFonts w:hint="eastAsia" w:ascii="仿宋_GB2312" w:eastAsia="仿宋_GB2312"/>
          <w:sz w:val="28"/>
          <w:szCs w:val="28"/>
          <w:highlight w:val="none"/>
          <w:lang w:val="en-US" w:eastAsia="zh-CN"/>
        </w:rPr>
        <w:t>增加</w:t>
      </w:r>
      <w:r>
        <w:rPr>
          <w:rFonts w:hint="eastAsia" w:ascii="仿宋_GB2312" w:eastAsia="仿宋_GB2312"/>
          <w:sz w:val="28"/>
          <w:szCs w:val="28"/>
          <w:highlight w:val="none"/>
        </w:rPr>
        <w:t>。</w:t>
      </w:r>
    </w:p>
    <w:p w14:paraId="65FBF3A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“政府办公厅（室）及相关机构事务”（款）202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年度决算6859.59万元，比202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减少1235.34</w:t>
      </w:r>
      <w:r>
        <w:rPr>
          <w:rFonts w:hint="eastAsia" w:ascii="仿宋_GB2312" w:eastAsia="仿宋_GB2312"/>
          <w:sz w:val="28"/>
          <w:szCs w:val="28"/>
          <w:highlight w:val="none"/>
        </w:rPr>
        <w:t>万元，增长（下降）2.74%。主要原因：行政、事业运行经费支出</w:t>
      </w:r>
      <w:r>
        <w:rPr>
          <w:rFonts w:hint="eastAsia" w:ascii="仿宋_GB2312" w:eastAsia="仿宋_GB2312"/>
          <w:sz w:val="28"/>
          <w:szCs w:val="28"/>
          <w:highlight w:val="none"/>
          <w:lang w:val="en-US" w:eastAsia="zh-CN"/>
        </w:rPr>
        <w:t>降低</w:t>
      </w:r>
      <w:r>
        <w:rPr>
          <w:rFonts w:hint="eastAsia" w:ascii="仿宋_GB2312" w:eastAsia="仿宋_GB2312"/>
          <w:sz w:val="28"/>
          <w:szCs w:val="28"/>
          <w:highlight w:val="none"/>
        </w:rPr>
        <w:t>。</w:t>
      </w:r>
    </w:p>
    <w:p w14:paraId="36193D50">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“统计信息事务”（款）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年度决算21.37万元，比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年度年初预算减少1.4</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万元，下降6.39%。主要原因：统计抽样调查支出</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w:t>
      </w:r>
    </w:p>
    <w:p w14:paraId="73277D85">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“纪检监察事务”（款）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年度决算5.3684万元，比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年度年初预算减少0.93万元，下降14.79%。主要原因：</w:t>
      </w:r>
      <w:r>
        <w:rPr>
          <w:rFonts w:hint="eastAsia" w:ascii="仿宋_GB2312" w:eastAsia="仿宋_GB2312"/>
          <w:sz w:val="28"/>
          <w:szCs w:val="28"/>
          <w:highlight w:val="none"/>
          <w:lang w:val="en-US" w:eastAsia="zh-CN"/>
        </w:rPr>
        <w:t>纪检</w:t>
      </w:r>
      <w:r>
        <w:rPr>
          <w:rFonts w:hint="eastAsia" w:ascii="仿宋_GB2312" w:eastAsia="仿宋_GB2312"/>
          <w:sz w:val="28"/>
          <w:szCs w:val="28"/>
          <w:highlight w:val="none"/>
        </w:rPr>
        <w:t>经费相关支出减少。</w:t>
      </w:r>
    </w:p>
    <w:p w14:paraId="5F1B23A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“民族事务”（款）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年度决算0.04万元，比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年度年初预算增加0.04万元，增长100%。主要原因：区拨少数民族专项经费支出增加。</w:t>
      </w:r>
    </w:p>
    <w:p w14:paraId="3ADF44E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“群众团体事务”（款）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年度决算97.27万元，比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减少5.974</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w:t>
      </w:r>
      <w:r>
        <w:rPr>
          <w:rFonts w:hint="eastAsia" w:ascii="仿宋_GB2312" w:eastAsia="仿宋_GB2312"/>
          <w:sz w:val="28"/>
          <w:szCs w:val="28"/>
          <w:highlight w:val="none"/>
        </w:rPr>
        <w:t>5.79%。主要原因：党群、党建等经费支出</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w:t>
      </w:r>
    </w:p>
    <w:p w14:paraId="13A8FEA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“党委办公厅（室）及相关机构事务”（款）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年度决算17.25万元，比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增加17.25</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增加100</w:t>
      </w:r>
      <w:r>
        <w:rPr>
          <w:rFonts w:hint="eastAsia" w:ascii="仿宋_GB2312" w:eastAsia="仿宋_GB2312"/>
          <w:sz w:val="28"/>
          <w:szCs w:val="28"/>
          <w:highlight w:val="none"/>
        </w:rPr>
        <w:t>%。</w:t>
      </w:r>
    </w:p>
    <w:p w14:paraId="3FB21739">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“组织事务”（款）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年度决算1384.78万元，比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减少240.24</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下降14.78%</w:t>
      </w:r>
      <w:r>
        <w:rPr>
          <w:rFonts w:hint="eastAsia" w:ascii="仿宋_GB2312" w:eastAsia="仿宋_GB2312"/>
          <w:sz w:val="28"/>
          <w:szCs w:val="28"/>
          <w:highlight w:val="none"/>
        </w:rPr>
        <w:t>。主要原因：党群、党建等经费支出</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w:t>
      </w:r>
    </w:p>
    <w:p w14:paraId="13E5E75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“其他共产党事务支出”（款）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年度决算0.2万元，比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减少1</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下降83.33%</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区拨专项</w:t>
      </w:r>
      <w:r>
        <w:rPr>
          <w:rFonts w:hint="eastAsia" w:ascii="仿宋_GB2312" w:eastAsia="仿宋_GB2312"/>
          <w:sz w:val="28"/>
          <w:szCs w:val="28"/>
          <w:highlight w:val="none"/>
        </w:rPr>
        <w:t>ZZSDQYXJL</w:t>
      </w:r>
      <w:r>
        <w:rPr>
          <w:rFonts w:hint="eastAsia" w:ascii="仿宋_GB2312" w:eastAsia="仿宋_GB2312"/>
          <w:sz w:val="28"/>
          <w:szCs w:val="28"/>
          <w:highlight w:val="none"/>
          <w:lang w:val="en-US" w:eastAsia="zh-CN"/>
        </w:rPr>
        <w:t>减少支出</w:t>
      </w:r>
      <w:r>
        <w:rPr>
          <w:rFonts w:hint="eastAsia" w:ascii="仿宋_GB2312" w:eastAsia="仿宋_GB2312"/>
          <w:sz w:val="28"/>
          <w:szCs w:val="28"/>
          <w:highlight w:val="none"/>
        </w:rPr>
        <w:t>。</w:t>
      </w:r>
    </w:p>
    <w:p w14:paraId="5EC45E7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“社会工作事务”（款）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年度决算21.0</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增加</w:t>
      </w:r>
      <w:r>
        <w:rPr>
          <w:rFonts w:hint="eastAsia" w:ascii="仿宋_GB2312" w:eastAsia="仿宋_GB2312"/>
          <w:sz w:val="28"/>
          <w:szCs w:val="28"/>
          <w:highlight w:val="none"/>
        </w:rPr>
        <w:t>21.0</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增加100%</w:t>
      </w:r>
      <w:r>
        <w:rPr>
          <w:rFonts w:hint="eastAsia" w:ascii="仿宋_GB2312" w:eastAsia="仿宋_GB2312"/>
          <w:sz w:val="28"/>
          <w:szCs w:val="28"/>
          <w:highlight w:val="none"/>
        </w:rPr>
        <w:t>。主要原因：</w:t>
      </w:r>
    </w:p>
    <w:p w14:paraId="13E2DB4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2.“公共安全支出”(类)</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年度决算98.33万元，比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17.5</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下降15.13%</w:t>
      </w:r>
      <w:r>
        <w:rPr>
          <w:rFonts w:hint="eastAsia" w:ascii="仿宋_GB2312" w:eastAsia="仿宋_GB2312"/>
          <w:sz w:val="28"/>
          <w:szCs w:val="28"/>
          <w:highlight w:val="none"/>
        </w:rPr>
        <w:t>。其中：</w:t>
      </w:r>
    </w:p>
    <w:p w14:paraId="445A275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“司法”（款）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年度决算98.3</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17.5</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下降15.13%</w:t>
      </w:r>
      <w:r>
        <w:rPr>
          <w:rFonts w:hint="eastAsia" w:ascii="仿宋_GB2312" w:eastAsia="仿宋_GB2312"/>
          <w:sz w:val="28"/>
          <w:szCs w:val="28"/>
          <w:highlight w:val="none"/>
        </w:rPr>
        <w:t>。主要原因：司法所经费支出</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w:t>
      </w:r>
    </w:p>
    <w:p w14:paraId="4586E7B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.“文化旅游体育与传媒支出”(类)</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年度决算237.5</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年度年初预算增加70.0</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万元，增长41.81%。其中：</w:t>
      </w:r>
    </w:p>
    <w:p w14:paraId="569F2E6F">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“文化和旅游”（款）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年度决算237.5</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年度年初预算增加70.0</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万元，增长41.81%。主要原因：群众文化活动、其他文体活动经费支出</w:t>
      </w:r>
      <w:r>
        <w:rPr>
          <w:rFonts w:hint="eastAsia" w:ascii="仿宋_GB2312" w:eastAsia="仿宋_GB2312"/>
          <w:sz w:val="28"/>
          <w:szCs w:val="28"/>
          <w:highlight w:val="none"/>
          <w:lang w:val="en-US" w:eastAsia="zh-CN"/>
        </w:rPr>
        <w:t>增加</w:t>
      </w:r>
      <w:r>
        <w:rPr>
          <w:rFonts w:hint="eastAsia" w:ascii="仿宋_GB2312" w:eastAsia="仿宋_GB2312"/>
          <w:sz w:val="28"/>
          <w:szCs w:val="28"/>
          <w:highlight w:val="none"/>
        </w:rPr>
        <w:t>。</w:t>
      </w:r>
    </w:p>
    <w:p w14:paraId="4454B35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.“社会保障和就业支出”(类)</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年度决算7833.91万元，比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年度年初预算减少359.9</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万元，下降4.39%。其中：</w:t>
      </w:r>
    </w:p>
    <w:p w14:paraId="7295FD2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“人力资源和社会保障管理事务”（款）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年度决算18.62万元，比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10.3</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下降</w:t>
      </w:r>
      <w:r>
        <w:rPr>
          <w:rFonts w:hint="eastAsia" w:ascii="仿宋_GB2312" w:eastAsia="仿宋_GB2312"/>
          <w:sz w:val="28"/>
          <w:szCs w:val="28"/>
          <w:highlight w:val="none"/>
        </w:rPr>
        <w:t>35.76%。主要原因：社保所经费支出</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w:t>
      </w:r>
    </w:p>
    <w:p w14:paraId="5A482C01">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“民政管理事务”（款）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年度决算5871.8</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年度年初预算减少255.6</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万元，下降4.17%。主要原因：社区经费支出减少。</w:t>
      </w:r>
    </w:p>
    <w:p w14:paraId="74B8B775">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“行政事业单位养老支出”（款）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年度决算1371.2</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年度年初预算增加40.8</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万元，增长3.07%。主要原因：离退休人员经费、在职人员保险经费支出增加。</w:t>
      </w:r>
    </w:p>
    <w:p w14:paraId="46093C15">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“就业补助”（款）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年度决算173.1</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年度年初预减少158.88万元，下降47.86%。主要原因：岗位补贴等就业补助相关支出减少。</w:t>
      </w:r>
    </w:p>
    <w:p w14:paraId="738DE72F">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“抚恤”（款）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年度决算139.58万元，比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年度年初预算减少17.14万元，下降10.94%。主要原因：优抚相关支出减少。</w:t>
      </w:r>
    </w:p>
    <w:p w14:paraId="54472725">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“社会福利”（款）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年度决算84.98万元，比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年度年初预算增加73.13万元，增长617.16%。主要原因：老年福利等经费支出增加。</w:t>
      </w:r>
    </w:p>
    <w:p w14:paraId="2FFF4B1A">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“残疾人事业”（款）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年度决算109.91万元，比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年度年初预算减少3.74万元，下降3.29%。主要原因：残疾人康复、活动、慰问等经费支出有所减少。</w:t>
      </w:r>
    </w:p>
    <w:p w14:paraId="56BA7B31">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“最低生活保障”（款）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年度决算7.95万元，比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年度年初预算减少7.50万元，下降50.01%。主要原因：社救对象慰问、医疗救助及民政科经费等支出减少。</w:t>
      </w:r>
    </w:p>
    <w:p w14:paraId="1B8DA198">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“临时救助”（款）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年度决算2.83万元，比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年度年初预算减少6.1</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万元，下降68.53%。主要原因：社临时救助等支出</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w:t>
      </w:r>
    </w:p>
    <w:p w14:paraId="6192B037">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“财政代缴社会保险费支出”（款）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年度决算2.6万元，比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年度年初预算减少0.4万元，下降13.33%。主要原因：</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年社保所申请低保、重残等城乡养老参保费用</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w:t>
      </w:r>
    </w:p>
    <w:p w14:paraId="345650A6">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“其他社会保障和就业支出”（款）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年度决算51.73万元，比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年度年初预算减少14.10万元，下降21.42%。主要原因：社保所</w:t>
      </w:r>
      <w:r>
        <w:rPr>
          <w:rFonts w:hint="eastAsia" w:ascii="仿宋_GB2312" w:eastAsia="仿宋_GB2312"/>
          <w:sz w:val="28"/>
          <w:szCs w:val="28"/>
          <w:highlight w:val="none"/>
          <w:lang w:val="en-US" w:eastAsia="zh-CN"/>
        </w:rPr>
        <w:t>及送温暖社会建设资金、社会建设和公益事业补助专项等支出减少</w:t>
      </w:r>
      <w:r>
        <w:rPr>
          <w:rFonts w:hint="eastAsia" w:ascii="仿宋_GB2312" w:eastAsia="仿宋_GB2312"/>
          <w:sz w:val="28"/>
          <w:szCs w:val="28"/>
          <w:highlight w:val="none"/>
        </w:rPr>
        <w:t>。</w:t>
      </w:r>
    </w:p>
    <w:p w14:paraId="0D13FDC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.“卫生健康支出”(类)</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年度决算7728.6</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年度年初预算增加1309.1</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万元，增长20.39%。其中：</w:t>
      </w:r>
    </w:p>
    <w:p w14:paraId="184B09E1">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“公共卫生”（款）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年度决算2767.0</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年度年初预算增加496.99万元，增长21.89%。主要原因：基本公共卫生服务补助</w:t>
      </w:r>
      <w:r>
        <w:rPr>
          <w:rFonts w:hint="eastAsia" w:ascii="仿宋_GB2312" w:eastAsia="仿宋_GB2312"/>
          <w:sz w:val="28"/>
          <w:szCs w:val="28"/>
          <w:highlight w:val="none"/>
          <w:lang w:val="en-US" w:eastAsia="zh-CN"/>
        </w:rPr>
        <w:t>等专项增加</w:t>
      </w:r>
      <w:r>
        <w:rPr>
          <w:rFonts w:hint="eastAsia" w:ascii="仿宋_GB2312" w:eastAsia="仿宋_GB2312"/>
          <w:sz w:val="28"/>
          <w:szCs w:val="28"/>
          <w:highlight w:val="none"/>
        </w:rPr>
        <w:t>。</w:t>
      </w:r>
    </w:p>
    <w:p w14:paraId="18FF05CF">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“计划生育事务”（款）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年度决算700.66万元，比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年度年初预算增加537.26万元，增长328.80%。主要原因：计划生育服务相关支出</w:t>
      </w:r>
      <w:r>
        <w:rPr>
          <w:rFonts w:hint="eastAsia" w:ascii="仿宋_GB2312" w:eastAsia="仿宋_GB2312"/>
          <w:sz w:val="28"/>
          <w:szCs w:val="28"/>
          <w:highlight w:val="none"/>
          <w:lang w:val="en-US" w:eastAsia="zh-CN"/>
        </w:rPr>
        <w:t>增加</w:t>
      </w:r>
      <w:r>
        <w:rPr>
          <w:rFonts w:hint="eastAsia" w:ascii="仿宋_GB2312" w:eastAsia="仿宋_GB2312"/>
          <w:sz w:val="28"/>
          <w:szCs w:val="28"/>
          <w:highlight w:val="none"/>
        </w:rPr>
        <w:t>。</w:t>
      </w:r>
    </w:p>
    <w:p w14:paraId="02FB01FB">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“行政事业单位医疗”（款）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年度决算973.6</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年度年初预算增加6.7</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 xml:space="preserve">    </w:t>
      </w:r>
      <w:r>
        <w:rPr>
          <w:rFonts w:hint="eastAsia" w:ascii="仿宋_GB2312" w:eastAsia="仿宋_GB2312"/>
          <w:sz w:val="28"/>
          <w:szCs w:val="28"/>
          <w:highlight w:val="none"/>
        </w:rPr>
        <w:t>增长0.70%。主要原因：行政事业单位医疗保障支出增加。</w:t>
      </w:r>
    </w:p>
    <w:p w14:paraId="1AE017A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“优抚对象医疗”（款）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509FFC2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“医疗保障管理事务”（款）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年度决算1.9</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年度年初预算减少1.25万元，下降38.74%。主要原因：退返知青门诊医疗费用帮扶资金</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w:t>
      </w:r>
    </w:p>
    <w:p w14:paraId="27A357F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.“节能环保支出”(类)</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年度决算579.19万元，比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年度年初预算减少26.5</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万元，下降4.38%。其中：</w:t>
      </w:r>
    </w:p>
    <w:p w14:paraId="3933065D">
      <w:pPr>
        <w:keepNext w:val="0"/>
        <w:keepLines w:val="0"/>
        <w:pageBreakBefore w:val="0"/>
        <w:widowControl w:val="0"/>
        <w:kinsoku/>
        <w:wordWrap/>
        <w:overflowPunct/>
        <w:topLinePunct w:val="0"/>
        <w:bidi w:val="0"/>
        <w:snapToGrid/>
        <w:spacing w:line="560" w:lineRule="exact"/>
        <w:ind w:firstLine="560" w:firstLineChars="200"/>
        <w:textAlignment w:val="auto"/>
        <w:rPr>
          <w:rFonts w:hint="default" w:ascii="仿宋_GB2312" w:eastAsia="仿宋_GB2312"/>
          <w:sz w:val="28"/>
          <w:szCs w:val="28"/>
          <w:highlight w:val="none"/>
          <w:lang w:val="en-US" w:eastAsia="zh-CN"/>
        </w:rPr>
      </w:pPr>
      <w:r>
        <w:rPr>
          <w:rFonts w:hint="eastAsia" w:ascii="仿宋_GB2312" w:eastAsia="仿宋_GB2312"/>
          <w:sz w:val="28"/>
          <w:szCs w:val="28"/>
          <w:highlight w:val="none"/>
        </w:rPr>
        <w:t>“污染防治”（款）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年度决算579.19万元，比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年度年初预算减少26.5</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万元，下降4.38%。主要原因：大气污染防治经费支出</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 xml:space="preserve">    </w:t>
      </w:r>
    </w:p>
    <w:p w14:paraId="126ACAA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.“城乡社区支出”(类)</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年度决算6784.31万元，比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年度年初预算增加3696.3</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万元，增长119.70%。其中：</w:t>
      </w:r>
    </w:p>
    <w:p w14:paraId="4FC91BF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“城乡社区管理事务”（款）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年度年初预算减少8.55万元，下降97.43%。主要原因：城乡社区管理事务相关支出</w:t>
      </w:r>
      <w:r>
        <w:rPr>
          <w:rFonts w:hint="eastAsia" w:ascii="仿宋_GB2312" w:eastAsia="仿宋_GB2312"/>
          <w:sz w:val="28"/>
          <w:szCs w:val="28"/>
          <w:highlight w:val="none"/>
          <w:lang w:val="en-US" w:eastAsia="zh-CN"/>
        </w:rPr>
        <w:t>增加</w:t>
      </w:r>
      <w:r>
        <w:rPr>
          <w:rFonts w:hint="eastAsia" w:ascii="仿宋_GB2312" w:eastAsia="仿宋_GB2312"/>
          <w:sz w:val="28"/>
          <w:szCs w:val="28"/>
          <w:highlight w:val="none"/>
        </w:rPr>
        <w:t>。</w:t>
      </w:r>
    </w:p>
    <w:p w14:paraId="0284161D">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“城乡社区公共设施”（款）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年度决算3252.9</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年度年初预算增加3003.3</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万元，增长1203.26%。主要原因：市政相关支出</w:t>
      </w:r>
      <w:r>
        <w:rPr>
          <w:rFonts w:hint="eastAsia" w:ascii="仿宋_GB2312" w:eastAsia="仿宋_GB2312"/>
          <w:sz w:val="28"/>
          <w:szCs w:val="28"/>
          <w:highlight w:val="none"/>
          <w:lang w:val="en-US" w:eastAsia="zh-CN"/>
        </w:rPr>
        <w:t>增加</w:t>
      </w:r>
      <w:r>
        <w:rPr>
          <w:rFonts w:hint="eastAsia" w:ascii="仿宋_GB2312" w:eastAsia="仿宋_GB2312"/>
          <w:sz w:val="28"/>
          <w:szCs w:val="28"/>
          <w:highlight w:val="none"/>
        </w:rPr>
        <w:t>。</w:t>
      </w:r>
    </w:p>
    <w:p w14:paraId="2EF84F0A">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“城乡社区环境卫生”（款）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年度决算1198.4</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年度年初预算增加224.4</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万元，增长23.04%。主要原因：环卫工作</w:t>
      </w:r>
      <w:r>
        <w:rPr>
          <w:rFonts w:hint="eastAsia" w:ascii="仿宋_GB2312" w:eastAsia="仿宋_GB2312"/>
          <w:sz w:val="28"/>
          <w:szCs w:val="28"/>
          <w:highlight w:val="none"/>
          <w:lang w:val="en-US" w:eastAsia="zh-CN"/>
        </w:rPr>
        <w:t>支出增加</w:t>
      </w:r>
      <w:r>
        <w:rPr>
          <w:rFonts w:hint="eastAsia" w:ascii="仿宋_GB2312" w:eastAsia="仿宋_GB2312"/>
          <w:sz w:val="28"/>
          <w:szCs w:val="28"/>
          <w:highlight w:val="none"/>
        </w:rPr>
        <w:t>。</w:t>
      </w:r>
    </w:p>
    <w:p w14:paraId="5B7033D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“其他城乡社区支出”（款）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年度决算2332.72万元，比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年度年初预算增加477.16万元，增长25.72%。主要原因：派出所</w:t>
      </w:r>
      <w:r>
        <w:rPr>
          <w:rFonts w:hint="eastAsia" w:ascii="仿宋_GB2312" w:eastAsia="仿宋_GB2312"/>
          <w:sz w:val="28"/>
          <w:szCs w:val="28"/>
          <w:highlight w:val="none"/>
          <w:lang w:val="en-US" w:eastAsia="zh-CN"/>
        </w:rPr>
        <w:t>经费增加</w:t>
      </w:r>
      <w:r>
        <w:rPr>
          <w:rFonts w:hint="eastAsia" w:ascii="仿宋_GB2312" w:eastAsia="仿宋_GB2312"/>
          <w:sz w:val="28"/>
          <w:szCs w:val="28"/>
          <w:highlight w:val="none"/>
          <w:lang w:eastAsia="zh-CN"/>
        </w:rPr>
        <w:t>，疏解整治促提升</w:t>
      </w:r>
      <w:r>
        <w:rPr>
          <w:rFonts w:hint="eastAsia" w:ascii="仿宋_GB2312" w:eastAsia="仿宋_GB2312"/>
          <w:sz w:val="28"/>
          <w:szCs w:val="28"/>
          <w:highlight w:val="none"/>
          <w:lang w:val="en-US" w:eastAsia="zh-CN"/>
        </w:rPr>
        <w:t>项目增加</w:t>
      </w:r>
      <w:r>
        <w:rPr>
          <w:rFonts w:hint="eastAsia" w:ascii="仿宋_GB2312" w:eastAsia="仿宋_GB2312"/>
          <w:sz w:val="28"/>
          <w:szCs w:val="28"/>
          <w:highlight w:val="none"/>
        </w:rPr>
        <w:t>。</w:t>
      </w:r>
    </w:p>
    <w:p w14:paraId="0F37E0B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.“农林水支出”(类)</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年度决算4863.84万元，比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年度年初预算增加124.64万元，增长2.63%。其中：</w:t>
      </w:r>
    </w:p>
    <w:p w14:paraId="4CE04379">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“农业农村”（款）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年度决算40.2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年度年初预算增加10.6</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万元，增长35.90%。主要原因：“一喷三防”</w:t>
      </w:r>
      <w:r>
        <w:rPr>
          <w:rFonts w:hint="eastAsia" w:ascii="仿宋_GB2312" w:eastAsia="仿宋_GB2312"/>
          <w:sz w:val="28"/>
          <w:szCs w:val="28"/>
          <w:highlight w:val="none"/>
          <w:lang w:val="en-US" w:eastAsia="zh-CN"/>
        </w:rPr>
        <w:t>专项增加</w:t>
      </w:r>
      <w:r>
        <w:rPr>
          <w:rFonts w:hint="eastAsia" w:ascii="仿宋_GB2312" w:eastAsia="仿宋_GB2312"/>
          <w:sz w:val="28"/>
          <w:szCs w:val="28"/>
          <w:highlight w:val="none"/>
        </w:rPr>
        <w:t>。</w:t>
      </w:r>
    </w:p>
    <w:p w14:paraId="25EBF8A9">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“林业和草原”（款）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年度决算4769.6</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年度年初预算增加119.0</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万元，增长2.56%。主要原因：林业</w:t>
      </w:r>
      <w:r>
        <w:rPr>
          <w:rFonts w:hint="eastAsia" w:ascii="仿宋_GB2312" w:eastAsia="仿宋_GB2312"/>
          <w:sz w:val="28"/>
          <w:szCs w:val="28"/>
          <w:highlight w:val="none"/>
          <w:lang w:val="en-US" w:eastAsia="zh-CN"/>
        </w:rPr>
        <w:t>支出增加</w:t>
      </w:r>
      <w:r>
        <w:rPr>
          <w:rFonts w:hint="eastAsia" w:ascii="仿宋_GB2312" w:eastAsia="仿宋_GB2312"/>
          <w:sz w:val="28"/>
          <w:szCs w:val="28"/>
          <w:highlight w:val="none"/>
        </w:rPr>
        <w:t>。</w:t>
      </w:r>
    </w:p>
    <w:p w14:paraId="3D6FEAB8">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“水利”（款）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年度决算54万元，比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万元，下降8.47%。主要原因：河长制</w:t>
      </w:r>
      <w:r>
        <w:rPr>
          <w:rFonts w:hint="eastAsia" w:ascii="仿宋_GB2312" w:eastAsia="仿宋_GB2312"/>
          <w:sz w:val="28"/>
          <w:szCs w:val="28"/>
          <w:highlight w:val="none"/>
          <w:lang w:val="en-US" w:eastAsia="zh-CN"/>
        </w:rPr>
        <w:t>专项减少</w:t>
      </w:r>
      <w:r>
        <w:rPr>
          <w:rFonts w:hint="eastAsia" w:ascii="仿宋_GB2312" w:eastAsia="仿宋_GB2312"/>
          <w:sz w:val="28"/>
          <w:szCs w:val="28"/>
          <w:highlight w:val="none"/>
        </w:rPr>
        <w:t>。</w:t>
      </w:r>
    </w:p>
    <w:p w14:paraId="52A97AD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.“住房保障支出”(类)</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年度决算16375.77万元，比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年度年初预算增加5199.981万元，增长46.53%。其中：</w:t>
      </w:r>
    </w:p>
    <w:p w14:paraId="24862B1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“保障性安居工程支出”（款）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年度决算15811.1</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年度年初预算增加4635.34万元，增长41.48%。主要原因：老旧小区</w:t>
      </w:r>
      <w:r>
        <w:rPr>
          <w:rFonts w:hint="eastAsia" w:ascii="仿宋_GB2312" w:eastAsia="仿宋_GB2312"/>
          <w:sz w:val="28"/>
          <w:szCs w:val="28"/>
          <w:highlight w:val="none"/>
          <w:lang w:val="en-US" w:eastAsia="zh-CN"/>
        </w:rPr>
        <w:t>专项支出增加</w:t>
      </w:r>
      <w:r>
        <w:rPr>
          <w:rFonts w:hint="eastAsia" w:ascii="仿宋_GB2312" w:eastAsia="仿宋_GB2312"/>
          <w:sz w:val="28"/>
          <w:szCs w:val="28"/>
          <w:highlight w:val="none"/>
        </w:rPr>
        <w:t>。</w:t>
      </w:r>
    </w:p>
    <w:p w14:paraId="50DA6D7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“住房改革支出”（款）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年度决算564.64万元，比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年度年初预算增加564.64万元，增长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%。主要原因：购房补贴</w:t>
      </w:r>
      <w:r>
        <w:rPr>
          <w:rFonts w:hint="eastAsia" w:ascii="仿宋_GB2312" w:eastAsia="仿宋_GB2312"/>
          <w:sz w:val="28"/>
          <w:szCs w:val="28"/>
          <w:highlight w:val="none"/>
          <w:lang w:val="en-US" w:eastAsia="zh-CN"/>
        </w:rPr>
        <w:t>支出增加</w:t>
      </w:r>
      <w:r>
        <w:rPr>
          <w:rFonts w:hint="eastAsia" w:ascii="仿宋_GB2312" w:eastAsia="仿宋_GB2312"/>
          <w:sz w:val="28"/>
          <w:szCs w:val="28"/>
          <w:highlight w:val="none"/>
        </w:rPr>
        <w:t>。</w:t>
      </w:r>
    </w:p>
    <w:p w14:paraId="4E20B9E3">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七、国有资本经营预算财政拨款收支情况说明</w:t>
      </w:r>
      <w:r>
        <w:rPr>
          <w:rFonts w:hint="eastAsia" w:ascii="仿宋_GB2312" w:eastAsia="仿宋_GB2312"/>
          <w:sz w:val="28"/>
          <w:szCs w:val="28"/>
        </w:rPr>
        <w:t>（无此经费填写“本部门/单位202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p>
    <w:p w14:paraId="5F4CA80B">
      <w:pPr>
        <w:keepNext w:val="0"/>
        <w:keepLines w:val="0"/>
        <w:pageBreakBefore w:val="0"/>
        <w:widowControl w:val="0"/>
        <w:numPr>
          <w:ilvl w:val="0"/>
          <w:numId w:val="0"/>
        </w:numPr>
        <w:tabs>
          <w:tab w:val="center" w:pos="6979"/>
        </w:tabs>
        <w:kinsoku/>
        <w:wordWrap/>
        <w:overflowPunct/>
        <w:topLinePunct w:val="0"/>
        <w:bidi w:val="0"/>
        <w:snapToGrid/>
        <w:spacing w:line="560" w:lineRule="exact"/>
        <w:ind w:firstLine="560" w:firstLineChars="200"/>
        <w:textAlignment w:val="auto"/>
        <w:rPr>
          <w:rFonts w:hint="eastAsia" w:ascii="黑体" w:eastAsia="仿宋_GB2312"/>
          <w:sz w:val="28"/>
          <w:szCs w:val="28"/>
          <w:highlight w:val="none"/>
          <w:lang w:eastAsia="zh-CN"/>
        </w:rPr>
      </w:pPr>
      <w:r>
        <w:rPr>
          <w:rFonts w:hint="eastAsia" w:ascii="仿宋_GB2312" w:eastAsia="仿宋_GB2312"/>
          <w:sz w:val="28"/>
          <w:szCs w:val="28"/>
          <w:highlight w:val="none"/>
        </w:rPr>
        <w:t>本部门202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年度无国有资本经营预算财</w:t>
      </w:r>
      <w:r>
        <w:rPr>
          <w:rFonts w:ascii="仿宋_GB2312" w:eastAsia="仿宋_GB2312"/>
          <w:sz w:val="28"/>
          <w:szCs w:val="28"/>
          <w:highlight w:val="none"/>
        </w:rPr>
        <w:t>政拨款</w:t>
      </w:r>
      <w:r>
        <w:rPr>
          <w:rFonts w:hint="eastAsia" w:ascii="仿宋_GB2312" w:eastAsia="仿宋_GB2312"/>
          <w:sz w:val="28"/>
          <w:szCs w:val="28"/>
          <w:highlight w:val="none"/>
        </w:rPr>
        <w:t>安排的支出</w:t>
      </w:r>
      <w:r>
        <w:rPr>
          <w:rFonts w:hint="eastAsia" w:ascii="仿宋_GB2312" w:eastAsia="仿宋_GB2312"/>
          <w:sz w:val="28"/>
          <w:szCs w:val="28"/>
          <w:highlight w:val="none"/>
          <w:lang w:eastAsia="zh-CN"/>
        </w:rPr>
        <w:t>。</w:t>
      </w:r>
    </w:p>
    <w:p w14:paraId="3FD96E8F">
      <w:pPr>
        <w:ind w:firstLine="537" w:firstLineChars="192"/>
        <w:rPr>
          <w:rFonts w:hint="eastAsia" w:ascii="仿宋_GB2312" w:eastAsia="仿宋_GB2312"/>
          <w:sz w:val="28"/>
          <w:szCs w:val="28"/>
        </w:rPr>
      </w:pPr>
      <w:r>
        <w:rPr>
          <w:rFonts w:hint="eastAsia" w:ascii="黑体" w:eastAsia="黑体"/>
          <w:sz w:val="28"/>
          <w:szCs w:val="28"/>
        </w:rPr>
        <w:t>八、财政拨款基本支出决算情况说明</w:t>
      </w:r>
      <w:r>
        <w:rPr>
          <w:rFonts w:hint="eastAsia" w:ascii="仿宋_GB2312" w:eastAsia="仿宋_GB2312"/>
          <w:sz w:val="28"/>
          <w:szCs w:val="28"/>
        </w:rPr>
        <w:t>（按实际支出项目列示，无支出的项目</w:t>
      </w:r>
      <w:r>
        <w:rPr>
          <w:rFonts w:hint="eastAsia" w:ascii="仿宋_GB2312" w:eastAsia="仿宋_GB2312"/>
          <w:sz w:val="28"/>
          <w:szCs w:val="28"/>
          <w:lang w:eastAsia="zh-CN"/>
        </w:rPr>
        <w:t>可</w:t>
      </w:r>
      <w:r>
        <w:rPr>
          <w:rFonts w:hint="eastAsia" w:ascii="仿宋_GB2312" w:eastAsia="仿宋_GB2312"/>
          <w:sz w:val="28"/>
          <w:szCs w:val="28"/>
        </w:rPr>
        <w:t>删除）</w:t>
      </w:r>
    </w:p>
    <w:p w14:paraId="6C91BB18">
      <w:pPr>
        <w:ind w:firstLine="537" w:firstLineChars="192"/>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24年度使用一般公共预算财政拨款安排基本支出4994.90万元，使用政府性基金财政拨款安排基本支出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50E4D4E">
      <w:pPr>
        <w:tabs>
          <w:tab w:val="center" w:pos="6979"/>
        </w:tabs>
        <w:jc w:val="both"/>
        <w:rPr>
          <w:rFonts w:hint="eastAsia" w:ascii="宋体" w:hAnsi="宋体" w:cs="宋体"/>
          <w:b/>
          <w:bCs/>
          <w:spacing w:val="40"/>
          <w:kern w:val="0"/>
          <w:sz w:val="32"/>
          <w:szCs w:val="32"/>
        </w:rPr>
      </w:pPr>
    </w:p>
    <w:p w14:paraId="037F8F4B">
      <w:pPr>
        <w:tabs>
          <w:tab w:val="center" w:pos="6979"/>
        </w:tabs>
        <w:jc w:val="center"/>
        <w:rPr>
          <w:rFonts w:hint="eastAsia" w:ascii="宋体" w:hAnsi="宋体" w:cs="宋体"/>
          <w:b/>
          <w:bCs/>
          <w:spacing w:val="40"/>
          <w:kern w:val="0"/>
          <w:sz w:val="32"/>
          <w:szCs w:val="32"/>
        </w:rPr>
      </w:pPr>
    </w:p>
    <w:p w14:paraId="27BCA171">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449F2253">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14:paraId="2C612DD3">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jc w:val="left"/>
        <w:textAlignment w:val="auto"/>
        <w:rPr>
          <w:rFonts w:hint="eastAsia" w:ascii="宋体" w:hAnsi="宋体" w:cs="宋体"/>
          <w:b/>
          <w:color w:val="FF0000"/>
          <w:spacing w:val="40"/>
          <w:kern w:val="0"/>
          <w:sz w:val="32"/>
          <w:szCs w:val="32"/>
          <w:highlight w:val="none"/>
        </w:rPr>
      </w:pPr>
      <w:r>
        <w:rPr>
          <w:rFonts w:hint="eastAsia" w:ascii="仿宋_GB2312" w:eastAsia="仿宋_GB2312"/>
          <w:sz w:val="28"/>
          <w:szCs w:val="28"/>
          <w:highlight w:val="none"/>
        </w:rPr>
        <w:t>“三公”经费包括本部门所属</w:t>
      </w:r>
      <w:r>
        <w:rPr>
          <w:rFonts w:hint="eastAsia" w:ascii="仿宋_GB2312" w:eastAsia="仿宋_GB2312"/>
          <w:bCs/>
          <w:sz w:val="28"/>
          <w:szCs w:val="28"/>
          <w:highlight w:val="none"/>
        </w:rPr>
        <w:t>1</w:t>
      </w:r>
      <w:r>
        <w:rPr>
          <w:rFonts w:hint="eastAsia" w:ascii="仿宋_GB2312" w:eastAsia="仿宋_GB2312"/>
          <w:sz w:val="28"/>
          <w:szCs w:val="28"/>
          <w:highlight w:val="none"/>
        </w:rPr>
        <w:t>个行政单位、</w:t>
      </w:r>
      <w:r>
        <w:rPr>
          <w:rFonts w:hint="eastAsia" w:ascii="仿宋_GB2312" w:eastAsia="仿宋_GB2312"/>
          <w:bCs/>
          <w:sz w:val="28"/>
          <w:szCs w:val="28"/>
          <w:highlight w:val="none"/>
        </w:rPr>
        <w:t>1个</w:t>
      </w:r>
      <w:r>
        <w:rPr>
          <w:rFonts w:hint="eastAsia" w:ascii="仿宋_GB2312" w:eastAsia="仿宋_GB2312"/>
          <w:sz w:val="28"/>
          <w:szCs w:val="28"/>
          <w:highlight w:val="none"/>
        </w:rPr>
        <w:t>事业单位。</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年度“三公”经费财政拨款决算数16</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02万元，比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年度“三公”经费财政拨款年初预算18</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20万元</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2</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万元。其中：</w:t>
      </w:r>
    </w:p>
    <w:p w14:paraId="004D191E">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eastAsia="仿宋_GB2312"/>
          <w:sz w:val="28"/>
          <w:szCs w:val="28"/>
          <w:highlight w:val="none"/>
        </w:rPr>
      </w:pPr>
      <w:r>
        <w:rPr>
          <w:rFonts w:hint="eastAsia" w:ascii="仿宋_GB2312" w:eastAsia="仿宋_GB2312"/>
          <w:sz w:val="28"/>
          <w:szCs w:val="28"/>
          <w:highlight w:val="none"/>
        </w:rPr>
        <w:t>1.因公出国（境）费用。</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年度决算数0.00万元，与</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年度年初预算数0.00万元持平。主要原因：</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年未发生因公出国（境）事项。</w:t>
      </w:r>
    </w:p>
    <w:p w14:paraId="67E1C27E">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eastAsia="仿宋_GB2312"/>
          <w:sz w:val="28"/>
          <w:szCs w:val="28"/>
          <w:highlight w:val="none"/>
        </w:rPr>
      </w:pPr>
      <w:r>
        <w:rPr>
          <w:rFonts w:hint="eastAsia" w:ascii="仿宋_GB2312" w:eastAsia="仿宋_GB2312"/>
          <w:sz w:val="28"/>
          <w:szCs w:val="28"/>
          <w:highlight w:val="none"/>
        </w:rPr>
        <w:t>2.公务接待费。</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年度决算数0.00万元，比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年度年初预算数2.10万元减少2.10万元。主要原因：</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年未发生公务接待事项。</w:t>
      </w:r>
    </w:p>
    <w:p w14:paraId="04F4A71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3.公务用车购置及运行维护费。</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16.02</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16.10</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0.08万元。其中，公务用车购置费</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年度决算数0.00万元，与</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年度年初预算数0.00万元持平。主要原因：</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年未发生公务用车购置事项。公务用车运行维护费</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年度决算数16.02万元，比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年度年初预算数16.10万元</w:t>
      </w:r>
      <w:r>
        <w:rPr>
          <w:rFonts w:hint="eastAsia" w:ascii="仿宋_GB2312" w:eastAsia="仿宋_GB2312"/>
          <w:sz w:val="28"/>
          <w:szCs w:val="28"/>
          <w:highlight w:val="none"/>
          <w:lang w:val="en-US" w:eastAsia="zh-CN"/>
        </w:rPr>
        <w:t>减少</w:t>
      </w:r>
      <w:r>
        <w:rPr>
          <w:rFonts w:hint="eastAsia" w:ascii="仿宋_GB2312" w:eastAsia="仿宋_GB2312"/>
          <w:sz w:val="28"/>
          <w:szCs w:val="28"/>
          <w:highlight w:val="none"/>
        </w:rPr>
        <w:t>0.08万元，主要原因：公务用车车辆燃油、保险、维修等费用较往年变化不大。</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年度公务用车运行维护费中，公务用车加油</w:t>
      </w:r>
      <w:r>
        <w:rPr>
          <w:rFonts w:hint="eastAsia" w:ascii="仿宋_GB2312" w:eastAsia="仿宋_GB2312"/>
          <w:sz w:val="28"/>
          <w:szCs w:val="28"/>
          <w:highlight w:val="none"/>
          <w:lang w:val="en-US" w:eastAsia="zh-CN"/>
        </w:rPr>
        <w:t>7.49</w:t>
      </w:r>
      <w:r>
        <w:rPr>
          <w:rFonts w:hint="eastAsia" w:ascii="仿宋_GB2312" w:eastAsia="仿宋_GB2312"/>
          <w:sz w:val="28"/>
          <w:szCs w:val="28"/>
          <w:highlight w:val="none"/>
        </w:rPr>
        <w:t>万元，公务用车维修</w:t>
      </w:r>
      <w:r>
        <w:rPr>
          <w:rFonts w:hint="eastAsia" w:ascii="仿宋_GB2312" w:eastAsia="仿宋_GB2312"/>
          <w:sz w:val="28"/>
          <w:szCs w:val="28"/>
          <w:highlight w:val="none"/>
          <w:lang w:val="en-US" w:eastAsia="zh-CN"/>
        </w:rPr>
        <w:t>7.34</w:t>
      </w:r>
      <w:r>
        <w:rPr>
          <w:rFonts w:hint="eastAsia" w:ascii="仿宋_GB2312" w:eastAsia="仿宋_GB2312"/>
          <w:sz w:val="28"/>
          <w:szCs w:val="28"/>
          <w:highlight w:val="none"/>
        </w:rPr>
        <w:t>万元，公务用车保险1.19万元。</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年度公务用车保有量</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辆，车均运行维护费2.29万元。</w:t>
      </w:r>
    </w:p>
    <w:p w14:paraId="0DC5401A">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14:paraId="6CD6C0B9">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hint="eastAsia" w:ascii="仿宋_GB2312" w:eastAsia="仿宋_GB2312"/>
          <w:sz w:val="28"/>
          <w:szCs w:val="28"/>
          <w:highlight w:val="none"/>
          <w:lang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年度使用财政拨款安排的基本支出中的日常公用经费支出，合计359.55万元，比上年增加30.59万元，增加原因：办公费、水费、电费、取暖费、工会经费、其他交通费用支出较上年有所增加。</w:t>
      </w:r>
    </w:p>
    <w:p w14:paraId="44D69681">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14:paraId="54FE9472">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2024年度政府采购支出总额20463.40万元，其中：政府采购货物支出241.34万元，政府采购工程支出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万元，政府采购服务支出20222.06万元。授予中小企业合同金17991.55万元，占政府采购支出总额的</w:t>
      </w:r>
      <w:r>
        <w:rPr>
          <w:rFonts w:hint="eastAsia" w:ascii="仿宋_GB2312" w:eastAsia="仿宋_GB2312"/>
          <w:sz w:val="28"/>
          <w:szCs w:val="28"/>
          <w:highlight w:val="none"/>
          <w:lang w:val="en-US" w:eastAsia="zh-CN"/>
        </w:rPr>
        <w:t>87.92</w:t>
      </w:r>
      <w:r>
        <w:rPr>
          <w:rFonts w:hint="eastAsia" w:ascii="仿宋_GB2312" w:eastAsia="仿宋_GB2312"/>
          <w:sz w:val="28"/>
          <w:szCs w:val="28"/>
          <w:highlight w:val="none"/>
        </w:rPr>
        <w:t>%，其中：授予小微企业合同金额16938.25万元，占政府采购支出总额的</w:t>
      </w:r>
      <w:r>
        <w:rPr>
          <w:rFonts w:hint="eastAsia" w:ascii="仿宋_GB2312" w:eastAsia="仿宋_GB2312"/>
          <w:sz w:val="28"/>
          <w:szCs w:val="28"/>
          <w:highlight w:val="none"/>
          <w:lang w:val="en-US" w:eastAsia="zh-CN"/>
        </w:rPr>
        <w:t>82.77</w:t>
      </w:r>
      <w:r>
        <w:rPr>
          <w:rFonts w:hint="eastAsia" w:ascii="仿宋_GB2312" w:eastAsia="仿宋_GB2312"/>
          <w:sz w:val="28"/>
          <w:szCs w:val="28"/>
          <w:highlight w:val="none"/>
        </w:rPr>
        <w:t>%。</w:t>
      </w:r>
    </w:p>
    <w:p w14:paraId="0BDE9151">
      <w:pPr>
        <w:ind w:firstLine="560" w:firstLineChars="200"/>
        <w:rPr>
          <w:rFonts w:hint="eastAsia" w:ascii="黑体" w:eastAsia="黑体"/>
          <w:sz w:val="28"/>
          <w:szCs w:val="28"/>
        </w:rPr>
      </w:pPr>
      <w:r>
        <w:rPr>
          <w:rFonts w:hint="eastAsia" w:ascii="黑体" w:eastAsia="黑体"/>
          <w:sz w:val="28"/>
          <w:szCs w:val="28"/>
        </w:rPr>
        <w:t>四、国有资产占用情况</w:t>
      </w:r>
    </w:p>
    <w:p w14:paraId="30C8963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rPr>
        <w:t>截至202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年底，本部门固定资产总额</w:t>
      </w:r>
      <w:r>
        <w:rPr>
          <w:rFonts w:hint="eastAsia" w:ascii="仿宋_GB2312" w:eastAsia="仿宋_GB2312"/>
          <w:sz w:val="28"/>
          <w:szCs w:val="28"/>
          <w:highlight w:val="none"/>
          <w:lang w:val="en-US" w:eastAsia="zh-CN"/>
        </w:rPr>
        <w:t>1894.16</w:t>
      </w:r>
      <w:r>
        <w:rPr>
          <w:rFonts w:hint="eastAsia" w:ascii="仿宋_GB2312" w:eastAsia="仿宋_GB2312"/>
          <w:sz w:val="28"/>
          <w:szCs w:val="28"/>
          <w:highlight w:val="none"/>
        </w:rPr>
        <w:t>万元，其中车辆</w:t>
      </w:r>
      <w:r>
        <w:rPr>
          <w:rFonts w:hint="eastAsia" w:ascii="仿宋_GB2312" w:eastAsia="仿宋_GB2312"/>
          <w:sz w:val="28"/>
          <w:szCs w:val="28"/>
          <w:highlight w:val="none"/>
          <w:lang w:val="en-US" w:eastAsia="zh-CN"/>
        </w:rPr>
        <w:t>42</w:t>
      </w:r>
      <w:r>
        <w:rPr>
          <w:rFonts w:hint="eastAsia" w:ascii="仿宋_GB2312" w:eastAsia="仿宋_GB2312"/>
          <w:sz w:val="28"/>
          <w:szCs w:val="28"/>
          <w:highlight w:val="none"/>
        </w:rPr>
        <w:t>台</w:t>
      </w:r>
      <w:r>
        <w:rPr>
          <w:rFonts w:hint="eastAsia" w:ascii="仿宋_GB2312" w:hAnsi="Times New Roman" w:eastAsia="仿宋_GB2312" w:cs="Times New Roman"/>
          <w:sz w:val="28"/>
          <w:szCs w:val="28"/>
          <w:highlight w:val="none"/>
        </w:rPr>
        <w:t>，</w:t>
      </w:r>
      <w:r>
        <w:rPr>
          <w:rFonts w:hint="eastAsia" w:ascii="仿宋_GB2312" w:hAnsi="Times New Roman" w:eastAsia="仿宋_GB2312" w:cs="Times New Roman"/>
          <w:sz w:val="28"/>
          <w:szCs w:val="28"/>
          <w:highlight w:val="none"/>
          <w:lang w:val="en-US" w:eastAsia="zh-CN"/>
        </w:rPr>
        <w:t>924.53</w:t>
      </w:r>
      <w:r>
        <w:rPr>
          <w:rFonts w:hint="eastAsia" w:ascii="仿宋_GB2312" w:hAnsi="Times New Roman" w:eastAsia="仿宋_GB2312" w:cs="Times New Roman"/>
          <w:sz w:val="28"/>
          <w:szCs w:val="28"/>
          <w:highlight w:val="none"/>
        </w:rPr>
        <w:t>万元</w:t>
      </w:r>
      <w:r>
        <w:rPr>
          <w:rFonts w:hint="eastAsia" w:ascii="仿宋_GB2312" w:hAnsi="Times New Roman" w:eastAsia="仿宋_GB2312" w:cs="Times New Roman"/>
          <w:sz w:val="28"/>
          <w:szCs w:val="28"/>
          <w:highlight w:val="none"/>
          <w:lang w:eastAsia="zh-CN"/>
        </w:rPr>
        <w:t>。</w:t>
      </w:r>
    </w:p>
    <w:p w14:paraId="69F4F15B">
      <w:pPr>
        <w:ind w:firstLine="560" w:firstLineChars="200"/>
        <w:rPr>
          <w:rFonts w:hint="eastAsia" w:ascii="仿宋_GB2312" w:eastAsia="仿宋_GB2312"/>
          <w:sz w:val="28"/>
          <w:szCs w:val="28"/>
          <w:highlight w:val="none"/>
        </w:rPr>
      </w:pPr>
      <w:r>
        <w:rPr>
          <w:rFonts w:hint="eastAsia" w:ascii="黑体" w:eastAsia="黑体"/>
          <w:sz w:val="28"/>
          <w:szCs w:val="28"/>
          <w:highlight w:val="none"/>
        </w:rPr>
        <w:t>五</w:t>
      </w:r>
      <w:r>
        <w:rPr>
          <w:rFonts w:ascii="黑体" w:eastAsia="黑体"/>
          <w:sz w:val="28"/>
          <w:szCs w:val="28"/>
          <w:highlight w:val="none"/>
        </w:rPr>
        <w:t>、</w:t>
      </w:r>
      <w:r>
        <w:rPr>
          <w:rFonts w:hint="eastAsia" w:ascii="黑体" w:eastAsia="黑体"/>
          <w:sz w:val="28"/>
          <w:szCs w:val="28"/>
          <w:highlight w:val="none"/>
        </w:rPr>
        <w:t>绩效评价结果情况</w:t>
      </w:r>
    </w:p>
    <w:p w14:paraId="40F59A4A">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2025年，本部门/单位对2024年度部门/单位项目支出实施了绩效   评价，单位自评265个，占部门/单位项目总数的100.00 %，涉及金额51784.939570万元。评价得分在90分（含90分）以上的263个、评价得分在80-90分（含80分）的2个、评价得分在60-80分（含60分）的0个、评价得分在60分以下的0个。</w:t>
      </w:r>
    </w:p>
    <w:p w14:paraId="0D4A15B5">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14:paraId="6E7A25FE">
      <w:pPr>
        <w:spacing w:line="56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年度本部门没有重点行政事业性收费</w:t>
      </w:r>
      <w:r>
        <w:rPr>
          <w:rFonts w:hint="eastAsia" w:ascii="仿宋_GB2312" w:eastAsia="仿宋_GB2312"/>
          <w:sz w:val="28"/>
          <w:szCs w:val="28"/>
          <w:highlight w:val="none"/>
          <w:lang w:eastAsia="zh-CN"/>
        </w:rPr>
        <w:t>。</w:t>
      </w:r>
    </w:p>
    <w:p w14:paraId="3FDACA5A">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A8DD6D5">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20</w:t>
      </w:r>
      <w:r>
        <w:rPr>
          <w:rFonts w:hint="eastAsia" w:ascii="仿宋_GB2312" w:eastAsia="仿宋_GB2312"/>
          <w:sz w:val="28"/>
          <w:szCs w:val="28"/>
        </w:rPr>
        <w:t>项，金额</w:t>
      </w:r>
      <w:r>
        <w:rPr>
          <w:rFonts w:hint="eastAsia" w:ascii="仿宋_GB2312" w:eastAsia="仿宋_GB2312"/>
          <w:sz w:val="28"/>
          <w:szCs w:val="28"/>
          <w:lang w:val="en-US" w:eastAsia="zh-CN"/>
        </w:rPr>
        <w:t>1279.77</w:t>
      </w:r>
      <w:r>
        <w:rPr>
          <w:rFonts w:hint="eastAsia" w:ascii="仿宋_GB2312" w:eastAsia="仿宋_GB2312"/>
          <w:sz w:val="28"/>
          <w:szCs w:val="28"/>
        </w:rPr>
        <w:t>万元。</w:t>
      </w:r>
    </w:p>
    <w:p w14:paraId="16CADBAC">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14:paraId="34B34F45">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86E7C7A">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47FB8BD">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B832D34">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70C2644">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496F0C92">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BA9E46B">
      <w:pPr>
        <w:ind w:firstLine="420" w:firstLineChars="150"/>
        <w:rPr>
          <w:rFonts w:hint="eastAsia"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14:paraId="6B99557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一般公共服务（类）人大事务（款）：反映各级人民代表大会（以下简称“人大”）的支出。</w:t>
      </w:r>
    </w:p>
    <w:p w14:paraId="6207ADC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一般公共服务（类）政府办公厅（室）及相关机构事务（款）：反映各级政府办公厅（室）及相关机构的支出。</w:t>
      </w:r>
    </w:p>
    <w:p w14:paraId="26DAB9F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一般公共服务（类）统计信息事务（款）：反映统计、信息事务方面的支出。</w:t>
      </w:r>
    </w:p>
    <w:p w14:paraId="2D7947B2">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一般公共服务（类）财政事务（款）：反映财政事务方面的支出。</w:t>
      </w:r>
    </w:p>
    <w:p w14:paraId="64F933F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一般公共服务（类）审计事务（款）：反映政府审计方面的支出。</w:t>
      </w:r>
    </w:p>
    <w:p w14:paraId="62644A9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一般公共服务（类）纪检监察事务（款）：反映纪检、监察方面的支出。</w:t>
      </w:r>
    </w:p>
    <w:p w14:paraId="1599459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一般公共服务（类）民族事务（款）：反映用于民族事务管理方面的支出。</w:t>
      </w:r>
    </w:p>
    <w:p w14:paraId="55F9B0D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一般公共服务（类）群众团体事务（款）：反映各级人民团体、社会团体、群众团体以及工会、妇联、共青团组织（包括中华青年联合会）等方面的支出。</w:t>
      </w:r>
    </w:p>
    <w:p w14:paraId="3977CEF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一般公共服务（类）党委办公厅（室）及相关机构事务（款）：反映党委办公厅（室）及相关机构的支出。</w:t>
      </w:r>
    </w:p>
    <w:p w14:paraId="71B8780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一般公共服务（类）组织事务（款）：反映中国共产党组织部门的支出。</w:t>
      </w:r>
    </w:p>
    <w:p w14:paraId="1279D13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一般公共服务（类）其他共产党事务支出（款）：</w:t>
      </w:r>
      <w:r>
        <w:rPr>
          <w:rFonts w:hint="eastAsia" w:ascii="仿宋_GB2312" w:eastAsia="仿宋_GB2312"/>
          <w:sz w:val="28"/>
          <w:szCs w:val="28"/>
          <w:highlight w:val="none"/>
          <w:lang w:val="en-US" w:eastAsia="zh-CN"/>
        </w:rPr>
        <w:t>反应上述款项以外</w:t>
      </w:r>
      <w:r>
        <w:rPr>
          <w:rFonts w:hint="eastAsia" w:ascii="仿宋_GB2312" w:eastAsia="仿宋_GB2312"/>
          <w:sz w:val="28"/>
          <w:szCs w:val="28"/>
          <w:highlight w:val="none"/>
        </w:rPr>
        <w:t>其他</w:t>
      </w:r>
      <w:r>
        <w:rPr>
          <w:rFonts w:hint="eastAsia" w:ascii="仿宋_GB2312" w:eastAsia="仿宋_GB2312"/>
          <w:sz w:val="28"/>
          <w:szCs w:val="28"/>
          <w:highlight w:val="none"/>
          <w:lang w:val="en-US" w:eastAsia="zh-CN"/>
        </w:rPr>
        <w:t>用于中国</w:t>
      </w:r>
      <w:r>
        <w:rPr>
          <w:rFonts w:hint="eastAsia" w:ascii="仿宋_GB2312" w:eastAsia="仿宋_GB2312"/>
          <w:sz w:val="28"/>
          <w:szCs w:val="28"/>
          <w:highlight w:val="none"/>
        </w:rPr>
        <w:t>共产党事务</w:t>
      </w:r>
      <w:r>
        <w:rPr>
          <w:rFonts w:hint="eastAsia" w:ascii="仿宋_GB2312" w:eastAsia="仿宋_GB2312"/>
          <w:sz w:val="28"/>
          <w:szCs w:val="28"/>
          <w:highlight w:val="none"/>
          <w:lang w:eastAsia="zh-CN"/>
        </w:rPr>
        <w:t>的</w:t>
      </w:r>
      <w:r>
        <w:rPr>
          <w:rFonts w:hint="eastAsia" w:ascii="仿宋_GB2312" w:eastAsia="仿宋_GB2312"/>
          <w:sz w:val="28"/>
          <w:szCs w:val="28"/>
          <w:highlight w:val="none"/>
        </w:rPr>
        <w:t>支出</w:t>
      </w:r>
    </w:p>
    <w:p w14:paraId="1E79157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default" w:ascii="仿宋_GB2312" w:eastAsia="仿宋_GB2312"/>
          <w:sz w:val="28"/>
          <w:szCs w:val="28"/>
          <w:highlight w:val="none"/>
          <w:lang w:val="en-US" w:eastAsia="zh-CN"/>
        </w:rPr>
      </w:pPr>
      <w:r>
        <w:rPr>
          <w:rFonts w:hint="eastAsia" w:ascii="仿宋_GB2312" w:eastAsia="仿宋_GB2312"/>
          <w:sz w:val="28"/>
          <w:szCs w:val="28"/>
          <w:highlight w:val="none"/>
        </w:rPr>
        <w:t>一般公共服务（类）社会工作事务（款）：反映中国共产党）社会工作部门的支出。</w:t>
      </w:r>
    </w:p>
    <w:p w14:paraId="74666AE4">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公共安全支出（类）司法（款）：反映司法行政事务支出。监狱和强制隔离戒毒方面的支出不在此科目反映。</w:t>
      </w:r>
    </w:p>
    <w:p w14:paraId="427A1F37">
      <w:pPr>
        <w:keepNext w:val="0"/>
        <w:keepLines w:val="0"/>
        <w:pageBreakBefore w:val="0"/>
        <w:widowControl w:val="0"/>
        <w:kinsoku/>
        <w:wordWrap/>
        <w:overflowPunct/>
        <w:topLinePunct w:val="0"/>
        <w:autoSpaceDE/>
        <w:autoSpaceDN/>
        <w:bidi w:val="0"/>
        <w:adjustRightInd/>
        <w:snapToGrid/>
        <w:spacing w:line="560" w:lineRule="exact"/>
        <w:ind w:left="279" w:leftChars="133" w:firstLine="140" w:firstLineChars="50"/>
        <w:textAlignment w:val="auto"/>
        <w:rPr>
          <w:rFonts w:hint="eastAsia" w:ascii="仿宋_GB2312" w:eastAsia="仿宋_GB2312"/>
          <w:sz w:val="28"/>
          <w:szCs w:val="28"/>
          <w:highlight w:val="none"/>
        </w:rPr>
      </w:pPr>
      <w:r>
        <w:rPr>
          <w:rFonts w:hint="eastAsia" w:ascii="仿宋_GB2312" w:eastAsia="仿宋_GB2312"/>
          <w:sz w:val="28"/>
          <w:szCs w:val="28"/>
          <w:highlight w:val="none"/>
        </w:rPr>
        <w:t>文化旅游体育与传媒支出（类）文化和旅游（款）：反映政府用于公共文化设施、艺术表演团体、文化艺术活动、对外文化交流及旅游业管理与服务等方面的支出。</w:t>
      </w:r>
    </w:p>
    <w:p w14:paraId="03DE651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社会保障和就业支出（类）人力资源和社会保障管理事务（款）：反映人力资源和社会保障管理事务支出。</w:t>
      </w:r>
    </w:p>
    <w:p w14:paraId="1BE7B12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社会保障和就业支出（类）民政管理事务（款）：反映民政管理事务支出。</w:t>
      </w:r>
    </w:p>
    <w:p w14:paraId="48A154B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社会保障和就业支出（类）行政事业单位养老支出（款）：反映用于行政事业单位养老方面的支出。</w:t>
      </w:r>
    </w:p>
    <w:p w14:paraId="0D001A12">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社会保障和就业支出（类）就业补助（款）：反映财政用于就业方面的补助支出。</w:t>
      </w:r>
    </w:p>
    <w:p w14:paraId="31988D0C">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社会保障和就业支出（类）抚恤（款）：反映用于各类优抚对象和优抚事业单位的支出。</w:t>
      </w:r>
    </w:p>
    <w:p w14:paraId="2FB5BCB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社会保障和就业支出（类）社会福利（款）：反映用于社会福利的支出。</w:t>
      </w:r>
    </w:p>
    <w:p w14:paraId="249695B4">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社会保障和就业支出（类）残疾人事业（款）：反映政府在残疾人事业方面的支出。</w:t>
      </w:r>
    </w:p>
    <w:p w14:paraId="19C9B68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社会保障和就业支出（类）最低生活保障（款）：反映城乡最低生活保障对象的最低生活保障金支出。</w:t>
      </w:r>
    </w:p>
    <w:p w14:paraId="0BDC5D59">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社会保障和就业支出（类）临时救助（款）：反映城乡生活困难居民的临时救助等支出。</w:t>
      </w:r>
    </w:p>
    <w:p w14:paraId="36D4215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default" w:ascii="仿宋_GB2312" w:eastAsia="仿宋_GB2312"/>
          <w:sz w:val="28"/>
          <w:szCs w:val="28"/>
          <w:highlight w:val="none"/>
          <w:lang w:val="en-US" w:eastAsia="zh-CN"/>
        </w:rPr>
      </w:pPr>
      <w:r>
        <w:rPr>
          <w:rFonts w:hint="eastAsia" w:ascii="仿宋_GB2312" w:eastAsia="仿宋_GB2312"/>
          <w:sz w:val="28"/>
          <w:szCs w:val="28"/>
          <w:highlight w:val="none"/>
        </w:rPr>
        <w:t>社会保障和就业支出（类）财政代缴社会保险费支出（款）：</w:t>
      </w:r>
      <w:r>
        <w:rPr>
          <w:rFonts w:hint="eastAsia" w:ascii="仿宋_GB2312" w:eastAsia="仿宋_GB2312"/>
          <w:sz w:val="28"/>
          <w:szCs w:val="28"/>
          <w:highlight w:val="none"/>
          <w:lang w:val="en-US" w:eastAsia="zh-CN"/>
        </w:rPr>
        <w:t>反应财政为城乡生活困难人员缴纳的社会保险费支出。</w:t>
      </w:r>
    </w:p>
    <w:p w14:paraId="68EE3E34">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社会保障和就业支出（类）其他社会保障和就业支出（款）：反映上述项目以外其他用于社会保障和就业方面的支出。</w:t>
      </w:r>
    </w:p>
    <w:p w14:paraId="5A8E43E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卫生健康支出（类）公共卫生（款）：反映公共卫生支出。</w:t>
      </w:r>
    </w:p>
    <w:p w14:paraId="4EB5474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卫生健康支出（类）计划生育事务（款）：反映计划生育方面的支出。</w:t>
      </w:r>
    </w:p>
    <w:p w14:paraId="7753017C">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卫生健康支出（类）行政事业单位医疗（款）：反映行政事业单位医疗方面的支出。</w:t>
      </w:r>
    </w:p>
    <w:p w14:paraId="385A43C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卫生健康支出（类）医疗救助（款）：反映医疗救助方面的支出。</w:t>
      </w:r>
    </w:p>
    <w:p w14:paraId="344E1D32">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卫生健康支出（类）优抚对象医疗（款）：反映优抚对象医疗方面的支出。</w:t>
      </w:r>
    </w:p>
    <w:p w14:paraId="1021E509">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rPr>
      </w:pPr>
      <w:r>
        <w:rPr>
          <w:rFonts w:hint="eastAsia" w:ascii="仿宋_GB2312" w:eastAsia="仿宋_GB2312"/>
          <w:sz w:val="28"/>
          <w:szCs w:val="28"/>
          <w:highlight w:val="none"/>
        </w:rPr>
        <w:t>卫生健康支出（类）医疗保障管理事务（款）：反映医疗保障管理方面的支出。</w:t>
      </w:r>
    </w:p>
    <w:p w14:paraId="0B47569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节能环保支出（类）污染防治（款）：反映政府在大气、水体、噪声、固体废弃物、放射性物质等方面的支出。</w:t>
      </w:r>
    </w:p>
    <w:p w14:paraId="058A6558">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城乡社区支出（类）城乡社区管理事务（款）：反映城乡社区管理事务支出。</w:t>
      </w:r>
    </w:p>
    <w:p w14:paraId="133A53D0">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城乡社区支出（类）城乡社区公共设施（款）：反映城乡社区道路、桥涵、燃气、供暖、公共交通（含轮渡、轻轨、地铁）、道路照明等公共设施建设维护与管理方面的支出。</w:t>
      </w:r>
    </w:p>
    <w:p w14:paraId="2A75CBA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城乡社区支出（类）城乡社区环境卫生（款）：反映城乡社区道路清扫、垃圾清运与处理、公厕建设与维护、园林绿化等方面的支出。</w:t>
      </w:r>
    </w:p>
    <w:p w14:paraId="745180DD">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城乡社区支出（类）其他城乡社区支出（款）：反映除上述项目以外其他用于城乡社区方面的支出。</w:t>
      </w:r>
    </w:p>
    <w:p w14:paraId="4572F234">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农林水支出（类）农业农村（款）：反映种植业、畜牧业、渔业、种业、兽医、农机、农垦、农场、农村产业、农村社会事业等方面的支出。</w:t>
      </w:r>
    </w:p>
    <w:p w14:paraId="29BCA8F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农林水支出（类）林业和草原（款）：反映政府用于林业和草原方面的支出。</w:t>
      </w:r>
    </w:p>
    <w:p w14:paraId="24BF75E6">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农林水支出（类）水利（款）：反映政府用于水利方面的支出。</w:t>
      </w:r>
    </w:p>
    <w:p w14:paraId="67D20433">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rPr>
        <w:t>住房保障支出（类）保障性安居工程支出（款）：反映</w:t>
      </w:r>
      <w:r>
        <w:rPr>
          <w:rFonts w:hint="eastAsia" w:ascii="仿宋_GB2312" w:eastAsia="仿宋_GB2312"/>
          <w:sz w:val="28"/>
          <w:szCs w:val="28"/>
          <w:highlight w:val="none"/>
          <w:lang w:val="en-US" w:eastAsia="zh-CN"/>
        </w:rPr>
        <w:t>用于保障性住房方面的支出。</w:t>
      </w:r>
    </w:p>
    <w:p w14:paraId="35CF939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rPr>
        <w:t>住房保障支出（类）</w:t>
      </w:r>
      <w:r>
        <w:rPr>
          <w:rFonts w:hint="eastAsia" w:ascii="仿宋_GB2312" w:eastAsia="仿宋_GB2312"/>
          <w:sz w:val="28"/>
          <w:szCs w:val="28"/>
          <w:highlight w:val="none"/>
          <w:lang w:val="en-US" w:eastAsia="zh-CN"/>
        </w:rPr>
        <w:t>住房改革</w:t>
      </w:r>
      <w:r>
        <w:rPr>
          <w:rFonts w:hint="eastAsia" w:ascii="仿宋_GB2312" w:eastAsia="仿宋_GB2312"/>
          <w:sz w:val="28"/>
          <w:szCs w:val="28"/>
          <w:highlight w:val="none"/>
        </w:rPr>
        <w:t>支出（款）：反映</w:t>
      </w:r>
      <w:r>
        <w:rPr>
          <w:rFonts w:hint="eastAsia" w:ascii="仿宋_GB2312" w:eastAsia="仿宋_GB2312"/>
          <w:sz w:val="28"/>
          <w:szCs w:val="28"/>
          <w:highlight w:val="none"/>
          <w:lang w:val="en-US" w:eastAsia="zh-CN"/>
        </w:rPr>
        <w:t>新行政事业单位用财政拨款资金和其他资金等安排的住房改革支出。</w:t>
      </w:r>
    </w:p>
    <w:p w14:paraId="20E3DD2A">
      <w:pPr>
        <w:tabs>
          <w:tab w:val="center" w:pos="6979"/>
        </w:tabs>
        <w:spacing w:before="156" w:beforeLines="50" w:after="156" w:afterLines="50"/>
        <w:jc w:val="center"/>
        <w:rPr>
          <w:rFonts w:hint="eastAsia" w:ascii="宋体" w:hAnsi="宋体" w:cs="宋体"/>
          <w:b/>
          <w:bCs/>
          <w:spacing w:val="40"/>
          <w:kern w:val="0"/>
          <w:sz w:val="32"/>
          <w:szCs w:val="32"/>
        </w:rPr>
      </w:pPr>
    </w:p>
    <w:p w14:paraId="5F7EBC2E">
      <w:pPr>
        <w:tabs>
          <w:tab w:val="center" w:pos="6979"/>
        </w:tabs>
        <w:spacing w:before="156" w:beforeLines="50" w:after="156" w:afterLines="50"/>
        <w:jc w:val="center"/>
        <w:rPr>
          <w:rFonts w:hint="eastAsia" w:ascii="宋体" w:hAnsi="宋体" w:cs="宋体"/>
          <w:b/>
          <w:bCs/>
          <w:spacing w:val="40"/>
          <w:kern w:val="0"/>
          <w:sz w:val="32"/>
          <w:szCs w:val="32"/>
        </w:rPr>
      </w:pPr>
    </w:p>
    <w:p w14:paraId="0B6CD263">
      <w:pPr>
        <w:pStyle w:val="3"/>
        <w:ind w:left="0" w:leftChars="0" w:firstLine="0" w:firstLineChars="0"/>
        <w:rPr>
          <w:rFonts w:hint="eastAsia" w:ascii="宋体" w:hAnsi="宋体" w:eastAsia="宋体" w:cs="宋体"/>
          <w:b/>
          <w:bCs/>
          <w:spacing w:val="40"/>
          <w:kern w:val="0"/>
          <w:sz w:val="32"/>
          <w:szCs w:val="32"/>
          <w:highlight w:val="none"/>
        </w:rPr>
      </w:pPr>
      <w:bookmarkStart w:id="0" w:name="_GoBack"/>
      <w:bookmarkEnd w:id="0"/>
    </w:p>
    <w:p w14:paraId="0D6C3E33">
      <w:pPr>
        <w:pStyle w:val="3"/>
        <w:rPr>
          <w:rFonts w:hint="eastAsia" w:ascii="宋体" w:hAnsi="宋体" w:eastAsia="宋体" w:cs="宋体"/>
          <w:b/>
          <w:bCs/>
          <w:spacing w:val="40"/>
          <w:kern w:val="0"/>
          <w:sz w:val="32"/>
          <w:szCs w:val="32"/>
          <w:highlight w:val="none"/>
        </w:rPr>
      </w:pPr>
    </w:p>
    <w:p w14:paraId="65310D98">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14:paraId="195F56C5">
      <w:pPr>
        <w:spacing w:line="580" w:lineRule="exact"/>
        <w:ind w:firstLine="560" w:firstLineChars="200"/>
        <w:jc w:val="center"/>
        <w:rPr>
          <w:rFonts w:hint="eastAsia" w:ascii="黑体" w:eastAsia="黑体"/>
          <w:sz w:val="28"/>
          <w:szCs w:val="28"/>
          <w:highlight w:val="none"/>
        </w:rPr>
      </w:pPr>
    </w:p>
    <w:p w14:paraId="6D98646C">
      <w:pPr>
        <w:ind w:firstLine="560" w:firstLineChars="200"/>
        <w:rPr>
          <w:rFonts w:hint="eastAsia" w:ascii="黑体" w:eastAsia="黑体"/>
          <w:sz w:val="32"/>
          <w:szCs w:val="32"/>
          <w:highlight w:val="none"/>
          <w:lang w:eastAsia="zh-CN"/>
        </w:rPr>
      </w:pPr>
      <w:r>
        <w:rPr>
          <w:rFonts w:hint="eastAsia" w:ascii="黑体" w:eastAsia="黑体"/>
          <w:sz w:val="28"/>
          <w:szCs w:val="28"/>
          <w:highlight w:val="none"/>
        </w:rPr>
        <w:t>一</w:t>
      </w:r>
      <w:r>
        <w:rPr>
          <w:rFonts w:ascii="黑体" w:eastAsia="黑体"/>
          <w:sz w:val="28"/>
          <w:szCs w:val="28"/>
          <w:highlight w:val="none"/>
        </w:rPr>
        <w:t>、</w:t>
      </w: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rPr>
        <w:t>（详见附件）</w:t>
      </w:r>
    </w:p>
    <w:p w14:paraId="3F8E96E6">
      <w:pPr>
        <w:spacing w:line="480" w:lineRule="exact"/>
        <w:jc w:val="center"/>
        <w:rPr>
          <w:rFonts w:hint="eastAsia" w:ascii="黑体" w:eastAsia="黑体"/>
          <w:sz w:val="32"/>
          <w:szCs w:val="32"/>
          <w:highlight w:val="none"/>
        </w:rPr>
      </w:pPr>
    </w:p>
    <w:p w14:paraId="35A92D52">
      <w:pPr>
        <w:spacing w:line="480" w:lineRule="exact"/>
        <w:jc w:val="center"/>
        <w:rPr>
          <w:rFonts w:hint="eastAsia" w:ascii="黑体" w:eastAsia="黑体"/>
          <w:sz w:val="32"/>
          <w:szCs w:val="32"/>
          <w:highlight w:val="none"/>
        </w:rPr>
      </w:pPr>
    </w:p>
    <w:p w14:paraId="50901BD5">
      <w:pPr>
        <w:spacing w:line="480" w:lineRule="exact"/>
        <w:jc w:val="center"/>
        <w:rPr>
          <w:rFonts w:hint="eastAsia" w:ascii="黑体" w:eastAsia="黑体"/>
          <w:sz w:val="32"/>
          <w:szCs w:val="32"/>
          <w:highlight w:val="none"/>
        </w:rPr>
      </w:pPr>
    </w:p>
    <w:p w14:paraId="2C234EB3">
      <w:pPr>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63FE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8C5905">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14:paraId="158C5905">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14:paraId="56EAD052">
    <w:pPr>
      <w:pStyle w:val="7"/>
    </w:pPr>
  </w:p>
  <w:p w14:paraId="4BF76BF7">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85C80">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49AC0E">
                          <w:pPr>
                            <w:pStyle w:val="7"/>
                            <w:rPr>
                              <w:rStyle w:val="13"/>
                            </w:rPr>
                          </w:pPr>
                          <w:r>
                            <w:fldChar w:fldCharType="begin"/>
                          </w:r>
                          <w:r>
                            <w:rPr>
                              <w:rStyle w:val="13"/>
                            </w:rPr>
                            <w:instrText xml:space="preserve">PAGE  </w:instrText>
                          </w:r>
                          <w:r>
                            <w:fldChar w:fldCharType="separate"/>
                          </w:r>
                          <w:r>
                            <w:rPr>
                              <w:rStyle w:val="13"/>
                            </w:rP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sF/f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SwX99yQEAAJkDAAAOAAAAAAAAAAEAIAAAAB4BAABkcnMvZTJvRG9j&#10;LnhtbFBLBQYAAAAABgAGAFkBAABZBQAAAAA=&#10;">
              <v:fill on="f" focussize="0,0"/>
              <v:stroke on="f"/>
              <v:imagedata o:title=""/>
              <o:lock v:ext="edit" aspectratio="f"/>
              <v:textbox inset="0mm,0mm,0mm,0mm" style="mso-fit-shape-to-text:t;">
                <w:txbxContent>
                  <w:p w14:paraId="3249AC0E">
                    <w:pPr>
                      <w:pStyle w:val="7"/>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4D65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14:paraId="42FD676F">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EFAB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1C32B0A">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1FAE"/>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BA07A4"/>
    <w:rsid w:val="01C47B20"/>
    <w:rsid w:val="0270686F"/>
    <w:rsid w:val="027A4645"/>
    <w:rsid w:val="038E6E7A"/>
    <w:rsid w:val="03BC021E"/>
    <w:rsid w:val="04592C5D"/>
    <w:rsid w:val="04A62B62"/>
    <w:rsid w:val="05691B19"/>
    <w:rsid w:val="056F72B2"/>
    <w:rsid w:val="05E337FC"/>
    <w:rsid w:val="065A2AF1"/>
    <w:rsid w:val="079004AC"/>
    <w:rsid w:val="0845254C"/>
    <w:rsid w:val="08844E22"/>
    <w:rsid w:val="0A3D172D"/>
    <w:rsid w:val="0A690774"/>
    <w:rsid w:val="0A6C3DC0"/>
    <w:rsid w:val="0AFD09DD"/>
    <w:rsid w:val="0B1E710A"/>
    <w:rsid w:val="0B6E1DBA"/>
    <w:rsid w:val="0B895573"/>
    <w:rsid w:val="0C4D19CF"/>
    <w:rsid w:val="0C7B7F86"/>
    <w:rsid w:val="0DFE35DB"/>
    <w:rsid w:val="0E407715"/>
    <w:rsid w:val="0F8E2C57"/>
    <w:rsid w:val="1059665E"/>
    <w:rsid w:val="10AC13BA"/>
    <w:rsid w:val="10D0497D"/>
    <w:rsid w:val="115B2DE0"/>
    <w:rsid w:val="118B1054"/>
    <w:rsid w:val="124610E1"/>
    <w:rsid w:val="135572DF"/>
    <w:rsid w:val="14A81E98"/>
    <w:rsid w:val="14A979BF"/>
    <w:rsid w:val="16302145"/>
    <w:rsid w:val="163F4A7E"/>
    <w:rsid w:val="16A6258C"/>
    <w:rsid w:val="177B5642"/>
    <w:rsid w:val="187C5B16"/>
    <w:rsid w:val="18A22B4C"/>
    <w:rsid w:val="1AEC0734"/>
    <w:rsid w:val="1B323594"/>
    <w:rsid w:val="1B3D4561"/>
    <w:rsid w:val="1B43291B"/>
    <w:rsid w:val="1B8C10B5"/>
    <w:rsid w:val="1BA53440"/>
    <w:rsid w:val="1BF27E46"/>
    <w:rsid w:val="1C4921B3"/>
    <w:rsid w:val="1C4C57FF"/>
    <w:rsid w:val="1C7254ED"/>
    <w:rsid w:val="1DDC1F50"/>
    <w:rsid w:val="1DEF20B0"/>
    <w:rsid w:val="1DFE521F"/>
    <w:rsid w:val="1E524D56"/>
    <w:rsid w:val="1E9559B9"/>
    <w:rsid w:val="1F401DDF"/>
    <w:rsid w:val="1F664E2A"/>
    <w:rsid w:val="1FC3450E"/>
    <w:rsid w:val="21422A39"/>
    <w:rsid w:val="214243FA"/>
    <w:rsid w:val="220F17A9"/>
    <w:rsid w:val="232235C5"/>
    <w:rsid w:val="24D32F62"/>
    <w:rsid w:val="257A14F5"/>
    <w:rsid w:val="27196C26"/>
    <w:rsid w:val="28887CA4"/>
    <w:rsid w:val="29C43864"/>
    <w:rsid w:val="29EF086F"/>
    <w:rsid w:val="2A8415D0"/>
    <w:rsid w:val="2AD510B6"/>
    <w:rsid w:val="2B367DA6"/>
    <w:rsid w:val="2BF13CCD"/>
    <w:rsid w:val="2C074F97"/>
    <w:rsid w:val="2D6F134E"/>
    <w:rsid w:val="2EE06191"/>
    <w:rsid w:val="2EFFE297"/>
    <w:rsid w:val="2F2148C9"/>
    <w:rsid w:val="301437CA"/>
    <w:rsid w:val="310036A5"/>
    <w:rsid w:val="31E56082"/>
    <w:rsid w:val="32785148"/>
    <w:rsid w:val="32807B59"/>
    <w:rsid w:val="32966566"/>
    <w:rsid w:val="340824FC"/>
    <w:rsid w:val="341D7D55"/>
    <w:rsid w:val="3431735D"/>
    <w:rsid w:val="353C75FB"/>
    <w:rsid w:val="35DA1C76"/>
    <w:rsid w:val="35E6061B"/>
    <w:rsid w:val="37441A9D"/>
    <w:rsid w:val="37D82EBE"/>
    <w:rsid w:val="386D6DD1"/>
    <w:rsid w:val="3B452322"/>
    <w:rsid w:val="3B871F58"/>
    <w:rsid w:val="3C2E0626"/>
    <w:rsid w:val="3D474095"/>
    <w:rsid w:val="3D8F7874"/>
    <w:rsid w:val="3DE04810"/>
    <w:rsid w:val="3DFD6097"/>
    <w:rsid w:val="3EA177D5"/>
    <w:rsid w:val="3F143319"/>
    <w:rsid w:val="3F3B19D7"/>
    <w:rsid w:val="404F63DB"/>
    <w:rsid w:val="4098530B"/>
    <w:rsid w:val="4179397F"/>
    <w:rsid w:val="4208288A"/>
    <w:rsid w:val="42F27DD4"/>
    <w:rsid w:val="433E495C"/>
    <w:rsid w:val="44617DEC"/>
    <w:rsid w:val="452847AC"/>
    <w:rsid w:val="457B057E"/>
    <w:rsid w:val="45A90126"/>
    <w:rsid w:val="45B85B30"/>
    <w:rsid w:val="45E32481"/>
    <w:rsid w:val="4616442F"/>
    <w:rsid w:val="46456C98"/>
    <w:rsid w:val="46B753D0"/>
    <w:rsid w:val="46C027C2"/>
    <w:rsid w:val="48174664"/>
    <w:rsid w:val="48804E0D"/>
    <w:rsid w:val="48B9571B"/>
    <w:rsid w:val="49090450"/>
    <w:rsid w:val="49311755"/>
    <w:rsid w:val="493E459E"/>
    <w:rsid w:val="49E14F29"/>
    <w:rsid w:val="4A205159"/>
    <w:rsid w:val="4AC27CB3"/>
    <w:rsid w:val="4B6544BF"/>
    <w:rsid w:val="4B6D146C"/>
    <w:rsid w:val="4BF72BEF"/>
    <w:rsid w:val="4CA15D2F"/>
    <w:rsid w:val="4CD80866"/>
    <w:rsid w:val="4DC112FA"/>
    <w:rsid w:val="4DD3727F"/>
    <w:rsid w:val="4DEB2135"/>
    <w:rsid w:val="4E150194"/>
    <w:rsid w:val="4E6F0B4C"/>
    <w:rsid w:val="4F6A776F"/>
    <w:rsid w:val="50502C65"/>
    <w:rsid w:val="50D2795A"/>
    <w:rsid w:val="51C9186A"/>
    <w:rsid w:val="51DB3C59"/>
    <w:rsid w:val="523C53F3"/>
    <w:rsid w:val="5253098E"/>
    <w:rsid w:val="530F6FAB"/>
    <w:rsid w:val="538E1C7E"/>
    <w:rsid w:val="53D14261"/>
    <w:rsid w:val="5449029B"/>
    <w:rsid w:val="550A17D8"/>
    <w:rsid w:val="55195EBF"/>
    <w:rsid w:val="556A671B"/>
    <w:rsid w:val="55762E42"/>
    <w:rsid w:val="568B6949"/>
    <w:rsid w:val="57106E4E"/>
    <w:rsid w:val="57A7B272"/>
    <w:rsid w:val="57BC2B32"/>
    <w:rsid w:val="57FB6DB4"/>
    <w:rsid w:val="58470068"/>
    <w:rsid w:val="58886F75"/>
    <w:rsid w:val="58C146D8"/>
    <w:rsid w:val="593432C8"/>
    <w:rsid w:val="59F14D15"/>
    <w:rsid w:val="5A0B0C2F"/>
    <w:rsid w:val="5A1720F9"/>
    <w:rsid w:val="5AA4447D"/>
    <w:rsid w:val="5B0942E0"/>
    <w:rsid w:val="5B9C37C2"/>
    <w:rsid w:val="5BA7C654"/>
    <w:rsid w:val="5BEE0B3E"/>
    <w:rsid w:val="5CF74D38"/>
    <w:rsid w:val="5D2E7ADA"/>
    <w:rsid w:val="5D681792"/>
    <w:rsid w:val="5DB06C95"/>
    <w:rsid w:val="5E9156EC"/>
    <w:rsid w:val="5EF7101F"/>
    <w:rsid w:val="5F105C3D"/>
    <w:rsid w:val="5F2D3D9B"/>
    <w:rsid w:val="5F8A0474"/>
    <w:rsid w:val="5FEB66AA"/>
    <w:rsid w:val="60C018E5"/>
    <w:rsid w:val="60FF240D"/>
    <w:rsid w:val="610572F8"/>
    <w:rsid w:val="628726BA"/>
    <w:rsid w:val="636724EC"/>
    <w:rsid w:val="638A7560"/>
    <w:rsid w:val="63D53465"/>
    <w:rsid w:val="63ED29F1"/>
    <w:rsid w:val="63F21DB5"/>
    <w:rsid w:val="641F04E5"/>
    <w:rsid w:val="64A31301"/>
    <w:rsid w:val="64C0607C"/>
    <w:rsid w:val="65366619"/>
    <w:rsid w:val="65AC6CC3"/>
    <w:rsid w:val="66023187"/>
    <w:rsid w:val="67136D1B"/>
    <w:rsid w:val="672D1356"/>
    <w:rsid w:val="676F09E1"/>
    <w:rsid w:val="683C7AA3"/>
    <w:rsid w:val="696173A6"/>
    <w:rsid w:val="69EB68C7"/>
    <w:rsid w:val="6A9B1DCA"/>
    <w:rsid w:val="6AB62F2F"/>
    <w:rsid w:val="6B6C668C"/>
    <w:rsid w:val="6BCD5AB6"/>
    <w:rsid w:val="6C2C6080"/>
    <w:rsid w:val="6E815404"/>
    <w:rsid w:val="6E873A42"/>
    <w:rsid w:val="6ED07197"/>
    <w:rsid w:val="6F375468"/>
    <w:rsid w:val="6FC94B09"/>
    <w:rsid w:val="6FE55BEA"/>
    <w:rsid w:val="721821DB"/>
    <w:rsid w:val="72E530F8"/>
    <w:rsid w:val="73504D4A"/>
    <w:rsid w:val="73AD044F"/>
    <w:rsid w:val="73C60B68"/>
    <w:rsid w:val="73FB4CB6"/>
    <w:rsid w:val="74CE5F27"/>
    <w:rsid w:val="75565B3D"/>
    <w:rsid w:val="756172B0"/>
    <w:rsid w:val="75A44ED9"/>
    <w:rsid w:val="75E74A0A"/>
    <w:rsid w:val="76516E0F"/>
    <w:rsid w:val="768F7680"/>
    <w:rsid w:val="77512F0B"/>
    <w:rsid w:val="77F80C6B"/>
    <w:rsid w:val="796450AB"/>
    <w:rsid w:val="7A3B22B0"/>
    <w:rsid w:val="7A684727"/>
    <w:rsid w:val="7A7F1C49"/>
    <w:rsid w:val="7B5B7AE6"/>
    <w:rsid w:val="7BA7071E"/>
    <w:rsid w:val="7BDF6DA8"/>
    <w:rsid w:val="7C496874"/>
    <w:rsid w:val="7C7EDC1A"/>
    <w:rsid w:val="7CCED98D"/>
    <w:rsid w:val="7CF16B67"/>
    <w:rsid w:val="7D052701"/>
    <w:rsid w:val="7D08410F"/>
    <w:rsid w:val="7D902913"/>
    <w:rsid w:val="7DB96DED"/>
    <w:rsid w:val="7DD345AE"/>
    <w:rsid w:val="7DD3AD81"/>
    <w:rsid w:val="7EF23159"/>
    <w:rsid w:val="7F0C69B3"/>
    <w:rsid w:val="7F7FE70F"/>
    <w:rsid w:val="7FC06DB4"/>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24964\Desktop\&#20915;&#31639;&#25253;&#34920;\2024&#24180;&#20915;&#31639;&#25253;&#21578;\&#39292;&#29366;&#22270;&#29983;&#25104;&#21442;&#3277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24964\Desktop\&#20915;&#31639;&#25253;&#34920;\2024&#24180;&#20915;&#31639;&#25253;&#21578;\&#39292;&#29366;&#22270;&#29983;&#25104;&#21442;&#3277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[饼状图生成参考.xls]Sheet1!$B$1</c:f>
              <c:strCache>
                <c:ptCount val="1"/>
                <c:pt idx="0">
                  <c:v>收入决算</c:v>
                </c:pt>
              </c:strCache>
            </c:strRef>
          </c:tx>
          <c:explosion val="0"/>
          <c:dPt>
            <c:idx val="0"/>
            <c:bubble3D val="0"/>
            <c:explosion val="0"/>
            <c:spPr>
              <a:solidFill>
                <a:schemeClr val="accent1"/>
              </a:solidFill>
              <a:ln w="19050">
                <a:solidFill>
                  <a:schemeClr val="lt1"/>
                </a:solidFill>
              </a:ln>
              <a:effectLst/>
            </c:spPr>
          </c:dPt>
          <c:dPt>
            <c:idx val="1"/>
            <c:bubble3D val="0"/>
            <c:explosion val="0"/>
            <c:spPr>
              <a:solidFill>
                <a:schemeClr val="accent2"/>
              </a:solidFill>
              <a:ln w="19050">
                <a:solidFill>
                  <a:schemeClr val="lt1"/>
                </a:solidFill>
              </a:ln>
              <a:effectLst/>
            </c:spPr>
          </c:dPt>
          <c:dPt>
            <c:idx val="2"/>
            <c:bubble3D val="0"/>
            <c:explosion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Pt>
            <c:idx val="4"/>
            <c:bubble3D val="0"/>
            <c:explosion val="0"/>
            <c:spPr>
              <a:solidFill>
                <a:schemeClr val="accent5"/>
              </a:solidFill>
              <a:ln w="19050">
                <a:solidFill>
                  <a:schemeClr val="lt1"/>
                </a:solidFill>
              </a:ln>
              <a:effectLst/>
            </c:spPr>
          </c:dPt>
          <c:dPt>
            <c:idx val="5"/>
            <c:bubble3D val="0"/>
            <c:explosion val="0"/>
            <c:spPr>
              <a:solidFill>
                <a:schemeClr val="accent6"/>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[饼状图生成参考.xls]Sheet1!$A$2:$A$7</c:f>
              <c:strCache>
                <c:ptCount val="6"/>
                <c:pt idx="0">
                  <c:v>财政拨款收入</c:v>
                </c:pt>
                <c:pt idx="1">
                  <c:v>上级补助收入</c:v>
                </c:pt>
                <c:pt idx="2">
                  <c:v>事业收入</c:v>
                </c:pt>
                <c:pt idx="3">
                  <c:v>经营收入</c:v>
                </c:pt>
                <c:pt idx="4">
                  <c:v>附属单位收入</c:v>
                </c:pt>
                <c:pt idx="5">
                  <c:v>其他收入</c:v>
                </c:pt>
              </c:strCache>
            </c:strRef>
          </c:cat>
          <c:val>
            <c:numRef>
              <c:f>[饼状图生成参考.xls]Sheet1!$B$2:$B$7</c:f>
              <c:numCache>
                <c:formatCode>0%</c:formatCode>
                <c:ptCount val="6"/>
                <c:pt idx="0">
                  <c:v>1</c:v>
                </c:pt>
                <c:pt idx="1">
                  <c:v>0</c:v>
                </c:pt>
                <c:pt idx="2">
                  <c:v>0</c:v>
                </c:pt>
                <c:pt idx="3">
                  <c:v>0</c:v>
                </c:pt>
                <c:pt idx="4">
                  <c:v>0</c:v>
                </c:pt>
                <c:pt idx="5">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683784bc-60a1-4dcf-90a3-67c8f8c4fe5f}"/>
      </c:ext>
    </c:extLst>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'[饼状图生成参考.xls]Sheet1 (2)'!$B$1</c:f>
              <c:strCache>
                <c:ptCount val="1"/>
                <c:pt idx="0">
                  <c:v>支出决算</c:v>
                </c:pt>
              </c:strCache>
            </c:strRef>
          </c:tx>
          <c:explosion val="0"/>
          <c:dPt>
            <c:idx val="0"/>
            <c:bubble3D val="0"/>
            <c:explosion val="0"/>
            <c:spPr>
              <a:solidFill>
                <a:schemeClr val="accent1"/>
              </a:solidFill>
              <a:ln w="19050">
                <a:solidFill>
                  <a:schemeClr val="lt1"/>
                </a:solidFill>
              </a:ln>
              <a:effectLst/>
            </c:spPr>
          </c:dPt>
          <c:dPt>
            <c:idx val="1"/>
            <c:bubble3D val="0"/>
            <c:explosion val="0"/>
            <c:spPr>
              <a:solidFill>
                <a:schemeClr val="accent2"/>
              </a:solidFill>
              <a:ln w="19050">
                <a:solidFill>
                  <a:schemeClr val="lt1"/>
                </a:solidFill>
              </a:ln>
              <a:effectLst/>
            </c:spPr>
          </c:dPt>
          <c:dPt>
            <c:idx val="2"/>
            <c:bubble3D val="0"/>
            <c:explosion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Pt>
            <c:idx val="4"/>
            <c:bubble3D val="0"/>
            <c:explosion val="0"/>
            <c:spPr>
              <a:solidFill>
                <a:schemeClr val="accent5"/>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'[饼状图生成参考.xls]Sheet1 (2)'!$A$2:$A$6</c:f>
              <c:strCache>
                <c:ptCount val="5"/>
                <c:pt idx="0">
                  <c:v>基本支出</c:v>
                </c:pt>
                <c:pt idx="1">
                  <c:v>项目支出</c:v>
                </c:pt>
                <c:pt idx="2">
                  <c:v>上缴上级支出</c:v>
                </c:pt>
                <c:pt idx="3">
                  <c:v>经营支出</c:v>
                </c:pt>
                <c:pt idx="4">
                  <c:v>对附属单位补助支出</c:v>
                </c:pt>
              </c:strCache>
            </c:strRef>
          </c:cat>
          <c:val>
            <c:numRef>
              <c:f>'[饼状图生成参考.xls]Sheet1 (2)'!$B$2:$B$6</c:f>
              <c:numCache>
                <c:formatCode>0%</c:formatCode>
                <c:ptCount val="5"/>
                <c:pt idx="0">
                  <c:v>0.0972</c:v>
                </c:pt>
                <c:pt idx="1">
                  <c:v>0.9028</c:v>
                </c:pt>
                <c:pt idx="2">
                  <c:v>0</c:v>
                </c:pt>
                <c:pt idx="3">
                  <c:v>0</c:v>
                </c:pt>
                <c:pt idx="4">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78373bd4-680c-49fd-865e-5c05c8ab81a3}"/>
      </c:ext>
    </c:extLst>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8170</Words>
  <Characters>9823</Characters>
  <Lines>77</Lines>
  <Paragraphs>21</Paragraphs>
  <TotalTime>5</TotalTime>
  <ScaleCrop>false</ScaleCrop>
  <LinksUpToDate>false</LinksUpToDate>
  <CharactersWithSpaces>9851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Wabi-sabi</cp:lastModifiedBy>
  <cp:lastPrinted>2020-08-07T19:39:00Z</cp:lastPrinted>
  <dcterms:modified xsi:type="dcterms:W3CDTF">2025-08-28T01:46:21Z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088A4A2809DA487CABE32682EA0EE58B_13</vt:lpwstr>
  </property>
  <property fmtid="{D5CDD505-2E9C-101B-9397-08002B2CF9AE}" pid="4" name="KSOTemplateDocerSaveRecord">
    <vt:lpwstr>eyJoZGlkIjoiNzMxYjg5MzVmYWEzZWI5YjM5YWMzNzBmNDg2Y2NlNzIiLCJ1c2VySWQiOiI5MzU3NjY4NjcifQ==</vt:lpwstr>
  </property>
</Properties>
</file>