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Times New Roman" w:eastAsia="方正小标宋简体" w:cs="Times New Roman"/>
          <w:color w:val="auto"/>
          <w:sz w:val="44"/>
          <w:szCs w:val="24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24"/>
        </w:rPr>
        <w:t>目 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仿宋_GB2312" w:cs="Times New Roman"/>
          <w:b/>
          <w:bCs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第一部分:</w:t>
      </w:r>
      <w:r>
        <w:rPr>
          <w:rFonts w:hint="eastAsia" w:eastAsia="仿宋_GB2312" w:cs="Times New Roman"/>
          <w:b/>
          <w:bCs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政府决算公开套表（详见附表）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三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年本级一般公共预算支出决算表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四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年一般公共预算基本支出决算表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五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年一般公共预算“三公经费”财政拨款支出决算表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六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七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八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年本级政府性基金支出决算表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九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年国有资本经营预算收入决算表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年国有资本经营支出决算表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年本级国有资本经营支出决算表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年社会保险基金预算收入决算表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十三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年社会保险基金预算支出决算表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十四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年一般公共预算税收返还和转移支付明细表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十五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年政府性基金预算转移支付明细表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十六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年地方政府债务限额及余额预算情况表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十七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年地方政府一般债务余额情况表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十八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年地方政府专项债务余额情况表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十九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年新增地方政府债券使用情况表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年地方政府债券发行及还本付息情况表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年政府采购情况表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年政府购买服务支出决算表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sectPr>
          <w:pgSz w:w="11906" w:h="16838"/>
          <w:pgMar w:top="1701" w:right="1474" w:bottom="1644" w:left="1587" w:header="851" w:footer="992" w:gutter="0"/>
          <w:pgNumType w:start="1"/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注：以上表格中数据由于四舍五入取舍造成的计算误差，均未作机械调</w:t>
      </w:r>
      <w:r>
        <w:rPr>
          <w:rFonts w:hint="eastAsia" w:eastAsia="仿宋_GB2312" w:cs="Times New Roman"/>
          <w:color w:val="auto"/>
          <w:sz w:val="24"/>
          <w:szCs w:val="24"/>
          <w:lang w:val="en-US" w:eastAsia="zh-CN"/>
        </w:rPr>
        <w:t>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Times New Roman" w:hAnsi="Times New Roman" w:eastAsia="仿宋_GB2312" w:cs="Times New Roman"/>
          <w:b/>
          <w:bCs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第二部分:大兴区政府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eastAsia="zh-CN"/>
        </w:rPr>
        <w:t>决算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公开套表的说明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三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年本级一般公共预算支出决算表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四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年一般公共预算基本支出决算表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五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年一般公共预算“三公经费”财政拨款支出决算表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六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七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八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年本级政府性基金支出决算表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九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年国有资本经营预算收入决算表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年国有资本经营支出决算表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年本级国有资本经营支出决算表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年社会保险基金预算收入决算表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十三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年社会保险基金预算支出决算表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十四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年一般公共预算税收返还和转移支付明细表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十五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年政府性基金预算转移支付明细表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十六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年地方政府债务限额及余额预算情况表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十七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年地方政府一般债务余额情况表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十八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年地方政府专项债务余额情况表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十九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年新增地方政府债券使用情况表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年地方政府债券发行及还本付息情况表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二十一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年政府采购情况表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二十二 大兴区长子营镇</w:t>
      </w:r>
      <w:r>
        <w:rPr>
          <w:rFonts w:hint="eastAsia" w:eastAsia="仿宋_GB2312" w:cs="Times New Roman"/>
          <w:color w:val="auto"/>
          <w:sz w:val="24"/>
          <w:szCs w:val="24"/>
          <w:lang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年政府购买服务支出决算表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二十三</w:t>
      </w:r>
      <w:r>
        <w:rPr>
          <w:rFonts w:hint="eastAsia" w:eastAsia="仿宋_GB2312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</w:rPr>
        <w:t>其他重要事项的情况说明</w:t>
      </w:r>
    </w:p>
    <w:p>
      <w:pPr>
        <w:spacing w:line="620" w:lineRule="exact"/>
        <w:ind w:firstLine="480" w:firstLineChars="15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</w:p>
    <w:p>
      <w:pPr>
        <w:spacing w:line="620" w:lineRule="exact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</w:rPr>
      </w:pPr>
    </w:p>
    <w:p>
      <w:pPr>
        <w:spacing w:line="620" w:lineRule="exact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大兴区长子营镇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决算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公开套表的说明</w:t>
      </w:r>
    </w:p>
    <w:p>
      <w:pPr>
        <w:spacing w:line="620" w:lineRule="exact"/>
        <w:jc w:val="left"/>
        <w:rPr>
          <w:rFonts w:ascii="仿宋_GB2312" w:hAnsi="Tahoma" w:eastAsia="仿宋_GB2312" w:cs="Tahoma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620" w:lineRule="exact"/>
        <w:jc w:val="left"/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年一般公共预算收入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决算表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》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的说明</w:t>
      </w:r>
    </w:p>
    <w:p>
      <w:pPr>
        <w:spacing w:line="560" w:lineRule="exact"/>
        <w:ind w:firstLine="640" w:firstLineChars="200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年一般公共预算收入完成53048.61万元，完成调整预算的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115.40%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。其中：返还性收入3333.92万元，一般性转移支付收入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23948.48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万元，专项转移支付收入19969.94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上年结转收入 5,796.27 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主要原因为专项转移支付收入增加。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二、关于《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年一般公共预算支出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决算表》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一般公共预算支出总计为45860.39 万元，其中：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年一般公共预算支出决算数为42858.33万元、上解支出决算数为3002.06 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预备费支出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为0万元</w:t>
      </w:r>
      <w:r>
        <w:rPr>
          <w:rFonts w:hint="eastAsia" w:ascii="仿宋_GB2312" w:hAnsi="宋体" w:eastAsia="仿宋_GB2312" w:cs="宋体"/>
          <w:sz w:val="32"/>
          <w:szCs w:val="32"/>
        </w:rPr>
        <w:t>。主要原因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为</w:t>
      </w:r>
      <w:r>
        <w:rPr>
          <w:rFonts w:hint="eastAsia" w:ascii="仿宋_GB2312" w:hAnsi="宋体" w:eastAsia="仿宋_GB2312" w:cs="宋体"/>
          <w:sz w:val="32"/>
          <w:szCs w:val="32"/>
        </w:rPr>
        <w:t>：一般公共预算支出为调整预算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的99.77%</w:t>
      </w:r>
      <w:r>
        <w:rPr>
          <w:rFonts w:hint="eastAsia" w:ascii="仿宋_GB2312" w:hAnsi="宋体" w:eastAsia="仿宋_GB2312" w:cs="宋体"/>
          <w:sz w:val="32"/>
          <w:szCs w:val="32"/>
        </w:rPr>
        <w:t>，支出较调整预算有所增加的原因详见《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大兴区长子营镇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年一般公共预算支出决算表》说明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620" w:lineRule="exact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</w:rPr>
        <w:t>三、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本级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一般公共预算支出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决算表》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长子营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 42,858.33 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年调整预算数为 43,468.23  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完成调整预算的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98.60%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其中变动的主要原因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是</w:t>
      </w:r>
      <w:r>
        <w:rPr>
          <w:rFonts w:hint="eastAsia" w:ascii="仿宋_GB2312" w:hAnsi="宋体" w:eastAsia="仿宋_GB2312" w:cs="宋体"/>
          <w:sz w:val="32"/>
          <w:szCs w:val="32"/>
        </w:rPr>
        <w:t>：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9,577.45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万元，调整预算数 10,114.19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万元，完成调整预算数94.69%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，主要用于基层党组织服务群众经费和政府人员经费、公用经费支出等，保障政府正常运转和基层党组织建设支出的需求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公共安全支出 21.14 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57万元，完成调整预算数37.09%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%，主要用于安全维稳等支出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文化旅游体育与传媒支出 318.63 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308.22 万元，完成调整预算数103.38%，主要原因为基层文化建设支出增加。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社会保障和就业支出 1,443.61 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1,573.75 万元，完成调整预算数91.73%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，主要用于优抚社救、高龄老人津贴、居家养老补贴、丧葬补贴、就业事业等支出，保障弱势群体的生活需求。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卫生健康支出 3,798.65 万元，调整预算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3,665.17 万元，完成调整预算数103.64%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，减少原因主要为防疫资金的减少，主要用于公共卫生经费、优抚对象医疗、计生专干补助以及独生子女家庭奖励等支出。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节能环保支出 3,463.10 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662.61 万元，完成调整预算数522.65%，增加主要原因是河道生态修复、煤改电和大气方面专项资金增加。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 4,427.84 万元，调整预算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7,184.76万元，完成调整预算数61.63%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主要用于疏解整治促提升、城镇环境整治和城镇综合管理工作支出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农林水支出 19,152.01 万元，调整预算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18,544.69 万元，完成调整预算数103.27%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，主要用于平原造林养护、村级公益金、农村绿化美化、林木病虫害防控、农村基础设施建设和河道管护、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村干部工资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等支出。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自然资源海洋气象等支出 257.12 1万元，调整预算数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258.85 万元，完成调整预算数99.33%%，主要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用于房地一体的宅基地、集体建设用地权籍调查和确权登记方面的支出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灾害防治及应急管理支出 398.80 万元，调整预算数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679.00 万元，完成调整预算数58.73%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主要用于应急管理事务、消防事务支出，减少主要原因是消防事务支出用市级疏解整治促提升资金支出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11.预备费支出为0万元。</w:t>
      </w:r>
    </w:p>
    <w:p>
      <w:pPr>
        <w:rPr>
          <w:rFonts w:hint="default" w:ascii="黑体" w:hAnsi="文星标宋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年一般公共预算基本支出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决算表》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2024年一般公共预算基本支出合计6656.60  万元，包含机关工资福利支出4553.32  万元，其中：工资奖金津补贴3237.33 万元，社会保障缴费934.99 万元，住房公积金381.01 万元；机关商品和服务支出546.67  万元，其中：办公经费506.97 万元，公务用车运行维护费24.70 万元，维修（护）费15.00 万元；对事业单位经常性补助1500.09  万元，其中：工资福利支出1498.96 万元，商品和服务支出1.13万元；对个人和家庭的补助56.51  万元，其中：社会福利和救助0.15 万元，离退休费56.36 万元。</w:t>
      </w:r>
    </w:p>
    <w:p>
      <w:pPr>
        <w:rPr>
          <w:rFonts w:hint="default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五、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关于《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大兴区长子营镇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年一般公共预算“三公经费”财政拨款支出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决算表》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年镇级一般公共预算“三公经费”财政拨款支出24.7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年预算调整数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为30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万元。其中：因公出国（境）费用为0，公务接待费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，公务用车费24.7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sz w:val="32"/>
          <w:szCs w:val="32"/>
        </w:rPr>
        <w:t>（含车辆燃油、保险、维修，公务用车购置费用）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spacing w:line="620" w:lineRule="exact"/>
        <w:jc w:val="left"/>
        <w:rPr>
          <w:rFonts w:hint="default" w:ascii="仿宋_GB2312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年政府性基金预算收入决算表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年政府性基金预算收入完成11107 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调整预算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4829.00  万元，完成调整预算数230%，主要原因是专项转移支付收入增加，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其中：一般</w:t>
      </w:r>
      <w:r>
        <w:rPr>
          <w:rFonts w:hint="eastAsia" w:ascii="仿宋_GB2312" w:hAnsi="宋体" w:eastAsia="仿宋_GB2312" w:cs="宋体"/>
          <w:sz w:val="32"/>
          <w:szCs w:val="32"/>
        </w:rPr>
        <w:t>转移支付收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入</w:t>
      </w:r>
      <w:r>
        <w:rPr>
          <w:rFonts w:hint="eastAsia" w:ascii="仿宋_GB2312" w:hAnsi="宋体" w:eastAsia="仿宋_GB2312" w:cs="宋体"/>
          <w:sz w:val="32"/>
          <w:szCs w:val="32"/>
        </w:rPr>
        <w:t>234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5万元，专项转移支付收入8434.00 万元，上年结转收入328万元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620" w:lineRule="exact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七、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年政府性基金支出决算表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年镇级政府性基金支出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11052.8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其中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镇级支出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11052.8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万元，为调整预算的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228.88%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，上解支出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主要用于环整、土地流转费，老旧果园等复耕工作、平原造林工程、公路大修、路灯照明、湿地公园、美丽乡村基础设施建设等支出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。 </w:t>
      </w:r>
    </w:p>
    <w:p>
      <w:pPr>
        <w:spacing w:line="620" w:lineRule="exact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大兴区长子营镇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2024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年本级政府性基金支出决算表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2024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年镇级政府性基金支出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11052.8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其中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镇级支出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11052.8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万元，为调整预算的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228.88%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土地流转费，230国道、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</w:rPr>
        <w:t>老旧果园等复耕工作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平原造林工程、公厕、路灯照明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湿地公园、美丽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乡村基础设施建设等支出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。 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九、关于《大兴区长子营镇2024年国有资本经营预算收入决算表》的说明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十、关于《大兴区长子营镇2024年国有资本经营支出决算表》的说明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十一、关于《大兴区长子营镇2024年本级国有资本经营支出决算表》的说明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十二、关于《大兴区长子营镇2024年社会保险基金预算收入表》的说明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十三、关于《大兴区长子营镇2024年社会保险基金预算支出决算表》的说明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十四、关于《大兴区长子营镇2024年一般公共预算税收返还和区对镇一般转移支付明细表》的说明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 xml:space="preserve">。 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十五、关于《大兴区长子营镇2024年政府性基金预算一般转移支付明细表》的说明</w:t>
      </w:r>
    </w:p>
    <w:p>
      <w:pPr>
        <w:spacing w:line="620" w:lineRule="exact"/>
        <w:ind w:firstLine="640" w:firstLineChars="200"/>
        <w:jc w:val="left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十六、关于《大兴区长子营镇2024年地方政府债务限额及余额决算情况表》的说明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十七、关于《大兴区长子营镇2024年地方政府一般债务余额情况表》的说明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十八、关于《大兴区长子营镇2024年地方政府专项债务余额情况表》的说明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十九、关于《大兴区长子营镇2024年新增地方政府债券使用情况表》的说明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default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二十、关于《大兴区长子营镇2024年地方政府债券发行及还本付息情况表》的说明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此表镇级为0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二十一、关于《大兴区长子营镇2024年政府采购情况表》的说明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大兴区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长子营镇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支出9937.828717万元，其中：采购货物支出204.787360万元、采购工程支出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0万元、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采购服务支出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9,733.041357万元。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二十二、关于《大兴区长子营镇2024年政府购买服务支出决算表》的说明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文星标宋" w:hAnsi="文星标宋" w:eastAsia="文星标宋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大兴区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长子营镇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2024年政府购买服务支出874.440000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元，其中：公共服务874.440000万元。</w:t>
      </w:r>
    </w:p>
    <w:p>
      <w:pPr>
        <w:numPr>
          <w:ilvl w:val="0"/>
          <w:numId w:val="0"/>
        </w:numPr>
        <w:spacing w:line="620" w:lineRule="exact"/>
        <w:ind w:leftChars="0"/>
        <w:jc w:val="left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二十三、其他重要事项的情况说明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预算绩效管理工作情况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长子营镇严格按照中央和北京市关于全面实施预算绩效管理的要求，持续深化预算绩效管理改革，认真落实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《大兴区预算绩效目标管理办法》等文件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的要求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，推动预算绩效管理提质增效。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夯实绩效目标管理基础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。将绩效目标设置作为预算安排的前置条件，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依托信息化系统加强审核，提升目标设定科学性。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绩效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监控。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2024年实现所有项目绩效监控全覆盖。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日常监控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和定期重点监控。开展重点项目月度分析，及时纠偏止损，保障资金使用安全高效。</w:t>
      </w:r>
    </w:p>
    <w:p>
      <w:pPr>
        <w:widowControl w:val="0"/>
        <w:tabs>
          <w:tab w:val="left" w:pos="720"/>
        </w:tabs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深化绩效评价作用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全面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绩效自评，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2024年实现绩效管理全覆盖，共对299个项目开展自评，得分均在90分以上，覆盖率达100%。开展事前绩效评估项目1个、项目支出绩效评价1个、成本绩效分析3个，有效提升预算编制的科学性和准确性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spacing w:line="620" w:lineRule="exact"/>
        <w:ind w:firstLine="480" w:firstLineChars="15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</w:p>
    <w:p>
      <w:pPr>
        <w:spacing w:line="620" w:lineRule="exact"/>
        <w:ind w:firstLine="480" w:firstLineChars="15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8DD2AC"/>
    <w:multiLevelType w:val="singleLevel"/>
    <w:tmpl w:val="EE8DD2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dkZDc5NDAzOTlmMGI5MDFiODFjNTI1N2Q2ZTExMWEifQ=="/>
  </w:docVars>
  <w:rsids>
    <w:rsidRoot w:val="008A03D9"/>
    <w:rsid w:val="000142C9"/>
    <w:rsid w:val="00020B07"/>
    <w:rsid w:val="00044617"/>
    <w:rsid w:val="000527AB"/>
    <w:rsid w:val="0005538B"/>
    <w:rsid w:val="00073C74"/>
    <w:rsid w:val="00080387"/>
    <w:rsid w:val="00090287"/>
    <w:rsid w:val="00097314"/>
    <w:rsid w:val="000A221C"/>
    <w:rsid w:val="000A5C6E"/>
    <w:rsid w:val="000D3094"/>
    <w:rsid w:val="000E3F84"/>
    <w:rsid w:val="000F0BF4"/>
    <w:rsid w:val="000F6B5B"/>
    <w:rsid w:val="00100343"/>
    <w:rsid w:val="0010166C"/>
    <w:rsid w:val="00132C9D"/>
    <w:rsid w:val="001344E7"/>
    <w:rsid w:val="001507BA"/>
    <w:rsid w:val="001853E3"/>
    <w:rsid w:val="00193DBA"/>
    <w:rsid w:val="001C2D8B"/>
    <w:rsid w:val="001C7DA4"/>
    <w:rsid w:val="001E1114"/>
    <w:rsid w:val="001E6152"/>
    <w:rsid w:val="001E622E"/>
    <w:rsid w:val="002201F4"/>
    <w:rsid w:val="00236065"/>
    <w:rsid w:val="0027534F"/>
    <w:rsid w:val="002A0616"/>
    <w:rsid w:val="002A29B9"/>
    <w:rsid w:val="002A3819"/>
    <w:rsid w:val="002B5C47"/>
    <w:rsid w:val="002C404E"/>
    <w:rsid w:val="002F6E0C"/>
    <w:rsid w:val="00323B43"/>
    <w:rsid w:val="00351891"/>
    <w:rsid w:val="0035219B"/>
    <w:rsid w:val="00357D39"/>
    <w:rsid w:val="00365DCF"/>
    <w:rsid w:val="00383A07"/>
    <w:rsid w:val="00393562"/>
    <w:rsid w:val="00394A05"/>
    <w:rsid w:val="003A1D1B"/>
    <w:rsid w:val="003C3292"/>
    <w:rsid w:val="003C5E21"/>
    <w:rsid w:val="003D0B4F"/>
    <w:rsid w:val="003D37D8"/>
    <w:rsid w:val="003E0450"/>
    <w:rsid w:val="00402B76"/>
    <w:rsid w:val="00406143"/>
    <w:rsid w:val="00407568"/>
    <w:rsid w:val="004077AB"/>
    <w:rsid w:val="004315FC"/>
    <w:rsid w:val="004349D8"/>
    <w:rsid w:val="004358AB"/>
    <w:rsid w:val="0045198B"/>
    <w:rsid w:val="0045241F"/>
    <w:rsid w:val="004566A9"/>
    <w:rsid w:val="004611AD"/>
    <w:rsid w:val="00462BDB"/>
    <w:rsid w:val="004D0CAD"/>
    <w:rsid w:val="004E4E40"/>
    <w:rsid w:val="004E72B1"/>
    <w:rsid w:val="004F0832"/>
    <w:rsid w:val="005042B2"/>
    <w:rsid w:val="005211F0"/>
    <w:rsid w:val="00521408"/>
    <w:rsid w:val="00525981"/>
    <w:rsid w:val="00531DB6"/>
    <w:rsid w:val="00536CE2"/>
    <w:rsid w:val="00552C89"/>
    <w:rsid w:val="00577858"/>
    <w:rsid w:val="00582796"/>
    <w:rsid w:val="0058603F"/>
    <w:rsid w:val="005A7212"/>
    <w:rsid w:val="005B180A"/>
    <w:rsid w:val="005B77EE"/>
    <w:rsid w:val="005C575C"/>
    <w:rsid w:val="005C5F23"/>
    <w:rsid w:val="005E3A91"/>
    <w:rsid w:val="005E763B"/>
    <w:rsid w:val="005F2500"/>
    <w:rsid w:val="0060557D"/>
    <w:rsid w:val="00642A81"/>
    <w:rsid w:val="00643E4E"/>
    <w:rsid w:val="00653650"/>
    <w:rsid w:val="00655E4B"/>
    <w:rsid w:val="00662508"/>
    <w:rsid w:val="00683146"/>
    <w:rsid w:val="00693FE6"/>
    <w:rsid w:val="006B6467"/>
    <w:rsid w:val="00710534"/>
    <w:rsid w:val="00720B69"/>
    <w:rsid w:val="00722248"/>
    <w:rsid w:val="007404F2"/>
    <w:rsid w:val="00747940"/>
    <w:rsid w:val="007524B2"/>
    <w:rsid w:val="00753E77"/>
    <w:rsid w:val="007602B2"/>
    <w:rsid w:val="00764960"/>
    <w:rsid w:val="00775058"/>
    <w:rsid w:val="00777588"/>
    <w:rsid w:val="007A7891"/>
    <w:rsid w:val="007C3ACE"/>
    <w:rsid w:val="007C7EBC"/>
    <w:rsid w:val="007D406A"/>
    <w:rsid w:val="007F00B7"/>
    <w:rsid w:val="00804531"/>
    <w:rsid w:val="008544F1"/>
    <w:rsid w:val="00862697"/>
    <w:rsid w:val="008A03D9"/>
    <w:rsid w:val="008A1694"/>
    <w:rsid w:val="008B3F22"/>
    <w:rsid w:val="008B5EAE"/>
    <w:rsid w:val="008B7726"/>
    <w:rsid w:val="008C3BF0"/>
    <w:rsid w:val="008E29D1"/>
    <w:rsid w:val="009014D4"/>
    <w:rsid w:val="00905D0D"/>
    <w:rsid w:val="00924BC2"/>
    <w:rsid w:val="00931AC3"/>
    <w:rsid w:val="00995CBF"/>
    <w:rsid w:val="009A27FA"/>
    <w:rsid w:val="009B0017"/>
    <w:rsid w:val="009C49DA"/>
    <w:rsid w:val="009E2033"/>
    <w:rsid w:val="009F3043"/>
    <w:rsid w:val="009F3B42"/>
    <w:rsid w:val="00A02F14"/>
    <w:rsid w:val="00A34FD5"/>
    <w:rsid w:val="00A45C06"/>
    <w:rsid w:val="00A7185A"/>
    <w:rsid w:val="00A82A53"/>
    <w:rsid w:val="00A82C0D"/>
    <w:rsid w:val="00A87A33"/>
    <w:rsid w:val="00AA0B9A"/>
    <w:rsid w:val="00AA4DFB"/>
    <w:rsid w:val="00AB28A0"/>
    <w:rsid w:val="00AB435A"/>
    <w:rsid w:val="00AB5196"/>
    <w:rsid w:val="00AB5E00"/>
    <w:rsid w:val="00AC0052"/>
    <w:rsid w:val="00B045A0"/>
    <w:rsid w:val="00B10A0D"/>
    <w:rsid w:val="00B117FC"/>
    <w:rsid w:val="00B2051A"/>
    <w:rsid w:val="00B46022"/>
    <w:rsid w:val="00B612BD"/>
    <w:rsid w:val="00B75144"/>
    <w:rsid w:val="00BB44C1"/>
    <w:rsid w:val="00BC58F1"/>
    <w:rsid w:val="00BE4D43"/>
    <w:rsid w:val="00C14BDD"/>
    <w:rsid w:val="00C26327"/>
    <w:rsid w:val="00C34569"/>
    <w:rsid w:val="00C47203"/>
    <w:rsid w:val="00C55115"/>
    <w:rsid w:val="00C75973"/>
    <w:rsid w:val="00C91744"/>
    <w:rsid w:val="00CC7C89"/>
    <w:rsid w:val="00D0232B"/>
    <w:rsid w:val="00D0462B"/>
    <w:rsid w:val="00D10C98"/>
    <w:rsid w:val="00D22EAE"/>
    <w:rsid w:val="00D36559"/>
    <w:rsid w:val="00D374B6"/>
    <w:rsid w:val="00D5086D"/>
    <w:rsid w:val="00DA0C2E"/>
    <w:rsid w:val="00DA321C"/>
    <w:rsid w:val="00DA4005"/>
    <w:rsid w:val="00DB2EFC"/>
    <w:rsid w:val="00DD4567"/>
    <w:rsid w:val="00DE0076"/>
    <w:rsid w:val="00E172AB"/>
    <w:rsid w:val="00E25351"/>
    <w:rsid w:val="00E510CC"/>
    <w:rsid w:val="00E52156"/>
    <w:rsid w:val="00E72DC2"/>
    <w:rsid w:val="00E8162E"/>
    <w:rsid w:val="00EA16CF"/>
    <w:rsid w:val="00EB6631"/>
    <w:rsid w:val="00EE0E5F"/>
    <w:rsid w:val="00F06F90"/>
    <w:rsid w:val="00F142B5"/>
    <w:rsid w:val="00F17690"/>
    <w:rsid w:val="00F50C99"/>
    <w:rsid w:val="00F7113B"/>
    <w:rsid w:val="00F94BED"/>
    <w:rsid w:val="00FA0C33"/>
    <w:rsid w:val="00FA7FA0"/>
    <w:rsid w:val="00FB0CC5"/>
    <w:rsid w:val="00FC0314"/>
    <w:rsid w:val="00FE1224"/>
    <w:rsid w:val="00FE1BF0"/>
    <w:rsid w:val="00FE6558"/>
    <w:rsid w:val="00FF5CEA"/>
    <w:rsid w:val="01DB033C"/>
    <w:rsid w:val="064D3F0E"/>
    <w:rsid w:val="072759C6"/>
    <w:rsid w:val="0F596ABB"/>
    <w:rsid w:val="11397004"/>
    <w:rsid w:val="11CA5ED2"/>
    <w:rsid w:val="1861289E"/>
    <w:rsid w:val="1DF875FD"/>
    <w:rsid w:val="20B55767"/>
    <w:rsid w:val="23E9174D"/>
    <w:rsid w:val="268E2BAA"/>
    <w:rsid w:val="272D6FD4"/>
    <w:rsid w:val="277C19B7"/>
    <w:rsid w:val="279A24BA"/>
    <w:rsid w:val="2CE633C2"/>
    <w:rsid w:val="32172065"/>
    <w:rsid w:val="33D83857"/>
    <w:rsid w:val="36320286"/>
    <w:rsid w:val="37962D54"/>
    <w:rsid w:val="39FD725D"/>
    <w:rsid w:val="3C54447B"/>
    <w:rsid w:val="40A43A02"/>
    <w:rsid w:val="417E15F0"/>
    <w:rsid w:val="420A578F"/>
    <w:rsid w:val="46190610"/>
    <w:rsid w:val="46A47EB2"/>
    <w:rsid w:val="46E92B7D"/>
    <w:rsid w:val="4842699B"/>
    <w:rsid w:val="4BBC65AB"/>
    <w:rsid w:val="4C565893"/>
    <w:rsid w:val="4C636415"/>
    <w:rsid w:val="4D704194"/>
    <w:rsid w:val="4DDC675A"/>
    <w:rsid w:val="4F3F6893"/>
    <w:rsid w:val="4F5115EA"/>
    <w:rsid w:val="546D3F92"/>
    <w:rsid w:val="567216E7"/>
    <w:rsid w:val="5A863BA3"/>
    <w:rsid w:val="5A8859CC"/>
    <w:rsid w:val="5B5154DF"/>
    <w:rsid w:val="5CCA49C0"/>
    <w:rsid w:val="5CF02F8E"/>
    <w:rsid w:val="60330B3A"/>
    <w:rsid w:val="6055111F"/>
    <w:rsid w:val="61F13590"/>
    <w:rsid w:val="63085330"/>
    <w:rsid w:val="64447C6C"/>
    <w:rsid w:val="666C0A21"/>
    <w:rsid w:val="71463721"/>
    <w:rsid w:val="7251448E"/>
    <w:rsid w:val="75F0677C"/>
    <w:rsid w:val="78AE18EB"/>
    <w:rsid w:val="790745E9"/>
    <w:rsid w:val="7A7C3B9F"/>
    <w:rsid w:val="7DB23A78"/>
    <w:rsid w:val="7FC1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/>
    </w:r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4880</Words>
  <Characters>7366</Characters>
  <Lines>39</Lines>
  <Paragraphs>11</Paragraphs>
  <TotalTime>11</TotalTime>
  <ScaleCrop>false</ScaleCrop>
  <LinksUpToDate>false</LinksUpToDate>
  <CharactersWithSpaces>7395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2019-02-27T08:10:00Z</dcterms:created>
  <dc:creator>北京市大兴区长子营镇动物防疫站</dc:creator>
  <cp:lastModifiedBy>Administrator</cp:lastModifiedBy>
  <dcterms:modified xsi:type="dcterms:W3CDTF">2025-08-28T07:11:52Z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016BC9EB077F4C2991D2B824D0B9B6F2</vt:lpwstr>
  </property>
</Properties>
</file>