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hint="eastAsia" w:ascii="黑体" w:eastAsia="黑体"/>
          <w:sz w:val="72"/>
          <w:szCs w:val="72"/>
        </w:rPr>
      </w:pPr>
    </w:p>
    <w:p>
      <w:pPr>
        <w:rPr>
          <w:rFonts w:hint="eastAsia"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榆垡镇中心卫生院</w:t>
      </w:r>
    </w:p>
    <w:p>
      <w:pPr>
        <w:jc w:val="center"/>
        <w:rPr>
          <w:rFonts w:hint="eastAsia" w:ascii="黑体" w:eastAsia="黑体"/>
          <w:sz w:val="52"/>
          <w:szCs w:val="52"/>
        </w:rPr>
      </w:pPr>
      <w:r>
        <w:rPr>
          <w:rFonts w:hint="eastAsia" w:ascii="黑体" w:eastAsia="黑体"/>
          <w:sz w:val="72"/>
          <w:szCs w:val="72"/>
        </w:rPr>
        <w:t xml:space="preserve"> 2024年度部门决算报表及说明</w:t>
      </w:r>
    </w:p>
    <w:p>
      <w:pPr>
        <w:jc w:val="center"/>
        <w:rPr>
          <w:rFonts w:ascii="黑体" w:eastAsia="黑体"/>
          <w:sz w:val="52"/>
          <w:szCs w:val="52"/>
        </w:rPr>
      </w:pPr>
    </w:p>
    <w:p>
      <w:pPr>
        <w:jc w:val="cente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bookmarkStart w:id="0" w:name="_GoBack"/>
      <w:bookmarkEnd w:id="0"/>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1．主要职能。</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是一所一级甲等综合性医疗机构，主要为人民身体健康提供医疗与预防保健服务。具体业务范围包括：医疗、护理；预防保健；卫生技术人员培训；初级卫生保健规划的实施；卫生监督与卫生信息管理，是北京市医保定点医疗机构。</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2．机构情况，包括当年变动情况及原因。</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设有内科、外科、妇产科、中医科、口腔科等临床科室；检验科、放射科等功能检查科；社区科、预防保健科、妇幼保健科等公共卫生科室；办公室、财务科、医务科等职能科室。另外下辖7个社区卫生服务站及16个村卫生室。</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3．人员情况，包括当年变动情况及原因。</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我院2024年末在职职工185人，其中：正式在编职工127人，2024年退休1人，调入1人，新入职3人。长期聘用人员58人。专业技术人员占89.66%，其中正高职称2人、副高职称人员有15名、中级职称人员55名。</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5" w:firstLineChars="202"/>
        <w:rPr>
          <w:rFonts w:hint="eastAsia" w:ascii="仿宋_GB2312" w:eastAsia="仿宋_GB2312"/>
          <w:sz w:val="28"/>
          <w:szCs w:val="28"/>
          <w:lang w:eastAsia="zh-CN"/>
        </w:rPr>
      </w:pPr>
      <w:r>
        <w:rPr>
          <w:rFonts w:hint="eastAsia" w:ascii="仿宋_GB2312" w:eastAsia="仿宋_GB2312"/>
          <w:sz w:val="28"/>
          <w:szCs w:val="28"/>
        </w:rPr>
        <w:t>从预算单位构成看，我单位部门决算包括：北京市大兴区榆垡镇</w:t>
      </w:r>
      <w:r>
        <w:rPr>
          <w:rFonts w:hint="eastAsia" w:ascii="仿宋_GB2312" w:eastAsia="仿宋_GB2312"/>
          <w:sz w:val="28"/>
          <w:szCs w:val="28"/>
          <w:lang w:val="en-US" w:eastAsia="zh-CN"/>
        </w:rPr>
        <w:t>中心卫生院</w:t>
      </w:r>
      <w:r>
        <w:rPr>
          <w:rFonts w:hint="eastAsia" w:ascii="仿宋_GB2312" w:eastAsia="仿宋_GB2312"/>
          <w:sz w:val="28"/>
          <w:szCs w:val="28"/>
        </w:rPr>
        <w:t>本级决算</w:t>
      </w:r>
      <w:r>
        <w:rPr>
          <w:rFonts w:hint="eastAsia" w:ascii="仿宋_GB2312" w:eastAsia="仿宋_GB2312"/>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2024年度收入总计22220.22万元，</w:t>
      </w:r>
      <w:r>
        <w:rPr>
          <w:rFonts w:ascii="仿宋_GB2312" w:eastAsia="仿宋_GB2312"/>
          <w:sz w:val="28"/>
          <w:szCs w:val="28"/>
        </w:rPr>
        <w:t>比上年增加</w:t>
      </w:r>
      <w:r>
        <w:rPr>
          <w:rFonts w:hint="eastAsia" w:ascii="仿宋_GB2312" w:eastAsia="仿宋_GB2312"/>
          <w:sz w:val="28"/>
          <w:szCs w:val="28"/>
          <w:lang w:val="en-US" w:eastAsia="zh-CN"/>
        </w:rPr>
        <w:t>3183.93</w:t>
      </w:r>
      <w:r>
        <w:rPr>
          <w:rFonts w:hint="eastAsia" w:ascii="仿宋_GB2312" w:eastAsia="仿宋_GB2312"/>
          <w:sz w:val="28"/>
          <w:szCs w:val="28"/>
        </w:rPr>
        <w:t>万元，增长</w:t>
      </w:r>
      <w:r>
        <w:rPr>
          <w:rFonts w:hint="eastAsia" w:ascii="仿宋_GB2312" w:eastAsia="仿宋_GB2312"/>
          <w:sz w:val="28"/>
          <w:szCs w:val="28"/>
          <w:lang w:val="en-US" w:eastAsia="zh-CN"/>
        </w:rPr>
        <w:t>16.72</w:t>
      </w:r>
      <w:r>
        <w:rPr>
          <w:rFonts w:hint="eastAsia" w:ascii="仿宋_GB2312" w:eastAsia="仿宋_GB2312"/>
          <w:sz w:val="28"/>
          <w:szCs w:val="28"/>
        </w:rPr>
        <w:t>%。主要原因：一般公共预算财政拨款收入及事业收入增加。2024年度支出总计22220.22万元，</w:t>
      </w:r>
      <w:r>
        <w:rPr>
          <w:rFonts w:ascii="仿宋_GB2312" w:eastAsia="仿宋_GB2312"/>
          <w:sz w:val="28"/>
          <w:szCs w:val="28"/>
        </w:rPr>
        <w:t>比上年增加</w:t>
      </w:r>
      <w:r>
        <w:rPr>
          <w:rFonts w:hint="eastAsia" w:ascii="仿宋_GB2312" w:eastAsia="仿宋_GB2312"/>
          <w:sz w:val="28"/>
          <w:szCs w:val="28"/>
          <w:lang w:val="en-US" w:eastAsia="zh-CN"/>
        </w:rPr>
        <w:t>3183.93</w:t>
      </w:r>
      <w:r>
        <w:rPr>
          <w:rFonts w:hint="eastAsia" w:ascii="仿宋_GB2312" w:eastAsia="仿宋_GB2312"/>
          <w:sz w:val="28"/>
          <w:szCs w:val="28"/>
        </w:rPr>
        <w:t>万元，增长</w:t>
      </w:r>
      <w:r>
        <w:rPr>
          <w:rFonts w:hint="eastAsia" w:ascii="仿宋_GB2312" w:eastAsia="仿宋_GB2312"/>
          <w:sz w:val="28"/>
          <w:szCs w:val="28"/>
          <w:lang w:val="en-US" w:eastAsia="zh-CN"/>
        </w:rPr>
        <w:t>16.72</w:t>
      </w:r>
      <w:r>
        <w:rPr>
          <w:rFonts w:hint="eastAsia" w:ascii="仿宋_GB2312" w:eastAsia="仿宋_GB2312"/>
          <w:sz w:val="28"/>
          <w:szCs w:val="28"/>
        </w:rPr>
        <w:t>%。主要原因：人员经费及公用经费增加。</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2024年度本年收入合计17812.84万元，</w:t>
      </w:r>
      <w:r>
        <w:rPr>
          <w:rFonts w:ascii="仿宋_GB2312" w:eastAsia="仿宋_GB2312"/>
          <w:sz w:val="28"/>
          <w:szCs w:val="28"/>
        </w:rPr>
        <w:t>比上年增加</w:t>
      </w:r>
      <w:r>
        <w:rPr>
          <w:rFonts w:hint="eastAsia" w:ascii="仿宋_GB2312" w:eastAsia="仿宋_GB2312"/>
          <w:sz w:val="28"/>
          <w:szCs w:val="28"/>
          <w:lang w:val="en-US" w:eastAsia="zh-CN"/>
        </w:rPr>
        <w:t>2270.1</w:t>
      </w:r>
      <w:r>
        <w:rPr>
          <w:rFonts w:hint="eastAsia" w:ascii="仿宋_GB2312" w:eastAsia="仿宋_GB2312"/>
          <w:sz w:val="28"/>
          <w:szCs w:val="28"/>
        </w:rPr>
        <w:t>万元，增长</w:t>
      </w:r>
      <w:r>
        <w:rPr>
          <w:rFonts w:hint="eastAsia" w:ascii="仿宋_GB2312" w:eastAsia="仿宋_GB2312"/>
          <w:sz w:val="28"/>
          <w:szCs w:val="28"/>
          <w:lang w:val="en-US" w:eastAsia="zh-CN"/>
        </w:rPr>
        <w:t>14.61</w:t>
      </w:r>
      <w:r>
        <w:rPr>
          <w:rFonts w:hint="eastAsia" w:ascii="仿宋_GB2312" w:eastAsia="仿宋_GB2312"/>
          <w:sz w:val="28"/>
          <w:szCs w:val="28"/>
        </w:rPr>
        <w:t>%。主要原因：一般公共预算财政拨款收入及事业收入增加。其中：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1.财政拨款收入6438.23万元，占收入合计的</w:t>
      </w:r>
      <w:r>
        <w:rPr>
          <w:rFonts w:hint="eastAsia" w:ascii="仿宋_GB2312" w:eastAsia="仿宋_GB2312"/>
          <w:sz w:val="28"/>
          <w:szCs w:val="28"/>
          <w:lang w:val="en-US" w:eastAsia="zh-CN"/>
        </w:rPr>
        <w:t>36.14</w:t>
      </w:r>
      <w:r>
        <w:rPr>
          <w:rFonts w:hint="eastAsia" w:ascii="仿宋_GB2312" w:eastAsia="仿宋_GB2312"/>
          <w:sz w:val="28"/>
          <w:szCs w:val="28"/>
        </w:rPr>
        <w:t>%。其中：一般公共预算财政拨款收入6438.23万元，占收入合计的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3.事业收入11318.89万元，占收入合计的</w:t>
      </w:r>
      <w:r>
        <w:rPr>
          <w:rFonts w:hint="eastAsia" w:ascii="仿宋_GB2312" w:eastAsia="仿宋_GB2312"/>
          <w:sz w:val="28"/>
          <w:szCs w:val="28"/>
          <w:lang w:val="en-US" w:eastAsia="zh-CN"/>
        </w:rPr>
        <w:t>63.54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6.其他收入55.7</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hint="eastAsia" w:ascii="仿宋_GB2312" w:eastAsia="仿宋_GB2312"/>
          <w:sz w:val="28"/>
          <w:szCs w:val="28"/>
          <w:lang w:val="en-US" w:eastAsia="zh-CN"/>
        </w:rPr>
        <w:t>0.32</w:t>
      </w:r>
      <w:r>
        <w:rPr>
          <w:rFonts w:hint="eastAsia" w:ascii="仿宋_GB2312" w:eastAsia="仿宋_GB2312"/>
          <w:sz w:val="28"/>
          <w:szCs w:val="28"/>
        </w:rPr>
        <w:t>%。</w:t>
      </w:r>
    </w:p>
    <w:p>
      <w:pPr>
        <w:pStyle w:val="2"/>
        <w:jc w:val="center"/>
        <w:rPr>
          <w:rFonts w:hint="eastAsia" w:eastAsia="仿宋_GB2312"/>
          <w:lang w:eastAsia="zh-CN"/>
        </w:rPr>
      </w:pPr>
      <w:r>
        <w:rPr>
          <w:rFonts w:hint="eastAsia" w:ascii="仿宋_GB2312" w:eastAsia="仿宋_GB2312"/>
          <w:color w:val="000000"/>
          <w:sz w:val="32"/>
        </w:rPr>
        <w:t>图1：收入</w:t>
      </w:r>
      <w:r>
        <w:rPr>
          <w:rFonts w:hint="eastAsia" w:ascii="仿宋_GB2312" w:eastAsia="仿宋_GB2312"/>
          <w:color w:val="000000"/>
          <w:sz w:val="32"/>
          <w:lang w:val="en-US" w:eastAsia="zh-CN"/>
        </w:rPr>
        <w:t>决算</w:t>
      </w:r>
    </w:p>
    <w:p>
      <w:pPr>
        <w:pStyle w:val="2"/>
        <w:jc w:val="center"/>
        <w:rPr>
          <w:rFonts w:hint="eastAsia" w:ascii="仿宋_GB2312" w:eastAsia="仿宋_GB2312"/>
          <w:color w:val="000000"/>
          <w:sz w:val="32"/>
          <w:lang w:eastAsia="zh-CN"/>
        </w:rPr>
      </w:pPr>
      <w:r>
        <w:rPr>
          <w:rFonts w:hint="eastAsia" w:ascii="仿宋_GB2312" w:eastAsia="仿宋_GB2312"/>
          <w:color w:val="000000"/>
          <w:sz w:val="32"/>
          <w:lang w:eastAsia="zh-CN"/>
        </w:rPr>
        <w:drawing>
          <wp:inline distT="0" distB="0" distL="114300" distR="114300">
            <wp:extent cx="4839970" cy="2755265"/>
            <wp:effectExtent l="0" t="0" r="17780" b="6985"/>
            <wp:docPr id="5" name="图片 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2"/>
                    <pic:cNvPicPr>
                      <a:picLocks noChangeAspect="1"/>
                    </pic:cNvPicPr>
                  </pic:nvPicPr>
                  <pic:blipFill>
                    <a:blip r:embed="rId8"/>
                    <a:stretch>
                      <a:fillRect/>
                    </a:stretch>
                  </pic:blipFill>
                  <pic:spPr>
                    <a:xfrm>
                      <a:off x="0" y="0"/>
                      <a:ext cx="4839970" cy="2755265"/>
                    </a:xfrm>
                    <a:prstGeom prst="rect">
                      <a:avLst/>
                    </a:prstGeom>
                  </pic:spPr>
                </pic:pic>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2024年度本年支出合计15686.1</w:t>
      </w:r>
      <w:r>
        <w:rPr>
          <w:rFonts w:hint="eastAsia" w:ascii="仿宋_GB2312" w:eastAsia="仿宋_GB2312"/>
          <w:sz w:val="28"/>
          <w:szCs w:val="28"/>
          <w:lang w:val="en-US" w:eastAsia="zh-CN"/>
        </w:rPr>
        <w:t>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1138.62</w:t>
      </w:r>
      <w:r>
        <w:rPr>
          <w:rFonts w:hint="eastAsia" w:ascii="仿宋_GB2312" w:eastAsia="仿宋_GB2312"/>
          <w:sz w:val="28"/>
          <w:szCs w:val="28"/>
        </w:rPr>
        <w:t>万元，增长</w:t>
      </w:r>
      <w:r>
        <w:rPr>
          <w:rFonts w:hint="eastAsia" w:ascii="仿宋_GB2312" w:eastAsia="仿宋_GB2312"/>
          <w:sz w:val="28"/>
          <w:szCs w:val="28"/>
          <w:lang w:val="en-US" w:eastAsia="zh-CN"/>
        </w:rPr>
        <w:t>7.83</w:t>
      </w:r>
      <w:r>
        <w:rPr>
          <w:rFonts w:hint="eastAsia" w:ascii="仿宋_GB2312" w:eastAsia="仿宋_GB2312"/>
          <w:sz w:val="28"/>
          <w:szCs w:val="28"/>
        </w:rPr>
        <w:t>%。主要原因：人员经费及公用经费增加。其中：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1.基本支出12921.19万元，占支出合计的</w:t>
      </w:r>
      <w:r>
        <w:rPr>
          <w:rFonts w:hint="eastAsia" w:ascii="仿宋_GB2312" w:eastAsia="仿宋_GB2312"/>
          <w:sz w:val="28"/>
          <w:szCs w:val="28"/>
          <w:lang w:val="en-US" w:eastAsia="zh-CN"/>
        </w:rPr>
        <w:t>82.37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2.项目支出2764.9</w:t>
      </w:r>
      <w:r>
        <w:rPr>
          <w:rFonts w:hint="eastAsia" w:ascii="仿宋_GB2312" w:eastAsia="仿宋_GB2312"/>
          <w:sz w:val="28"/>
          <w:szCs w:val="28"/>
          <w:lang w:val="en-US" w:eastAsia="zh-CN"/>
        </w:rPr>
        <w:t>7</w:t>
      </w:r>
      <w:r>
        <w:rPr>
          <w:rFonts w:hint="eastAsia" w:ascii="仿宋_GB2312" w:eastAsia="仿宋_GB2312"/>
          <w:sz w:val="28"/>
          <w:szCs w:val="28"/>
        </w:rPr>
        <w:t>万元，占支出合计的</w:t>
      </w:r>
      <w:r>
        <w:rPr>
          <w:rFonts w:hint="eastAsia" w:ascii="仿宋_GB2312" w:eastAsia="仿宋_GB2312"/>
          <w:sz w:val="28"/>
          <w:szCs w:val="28"/>
          <w:lang w:val="en-US" w:eastAsia="zh-CN"/>
        </w:rPr>
        <w:t>17.63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jc w:val="center"/>
        <w:rPr>
          <w:rFonts w:hint="eastAsia" w:ascii="黑体" w:eastAsia="黑体"/>
          <w:b/>
          <w:sz w:val="28"/>
          <w:szCs w:val="28"/>
          <w:lang w:eastAsia="zh-CN"/>
        </w:rPr>
      </w:pPr>
      <w:r>
        <w:rPr>
          <w:rFonts w:hint="eastAsia" w:ascii="黑体" w:eastAsia="黑体"/>
          <w:b/>
          <w:sz w:val="28"/>
          <w:szCs w:val="28"/>
          <w:lang w:eastAsia="zh-CN"/>
        </w:rPr>
        <w:drawing>
          <wp:inline distT="0" distB="0" distL="114300" distR="114300">
            <wp:extent cx="4839970" cy="2755265"/>
            <wp:effectExtent l="0" t="0" r="17780" b="6985"/>
            <wp:docPr id="6" name="图片 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3"/>
                    <pic:cNvPicPr>
                      <a:picLocks noChangeAspect="1"/>
                    </pic:cNvPicPr>
                  </pic:nvPicPr>
                  <pic:blipFill>
                    <a:blip r:embed="rId9"/>
                    <a:stretch>
                      <a:fillRect/>
                    </a:stretch>
                  </pic:blipFill>
                  <pic:spPr>
                    <a:xfrm>
                      <a:off x="0" y="0"/>
                      <a:ext cx="4839970" cy="2755265"/>
                    </a:xfrm>
                    <a:prstGeom prst="rect">
                      <a:avLst/>
                    </a:prstGeom>
                  </pic:spPr>
                </pic:pic>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2024年度财政拨款收入总计6848.42万元，比上年增加805.36万元，增长13.33%。主要原因：在编人员经费补助</w:t>
      </w:r>
      <w:r>
        <w:rPr>
          <w:rFonts w:hint="eastAsia" w:ascii="仿宋_GB2312" w:eastAsia="仿宋_GB2312"/>
          <w:sz w:val="28"/>
          <w:szCs w:val="28"/>
          <w:lang w:val="en-US" w:eastAsia="zh-CN"/>
        </w:rPr>
        <w:t>增加</w:t>
      </w:r>
      <w:r>
        <w:rPr>
          <w:rFonts w:hint="eastAsia" w:ascii="仿宋_GB2312" w:eastAsia="仿宋_GB2312"/>
          <w:sz w:val="28"/>
          <w:szCs w:val="28"/>
        </w:rPr>
        <w:t>。2024年度财政拨款支出总计6848.42万元，比上年</w:t>
      </w:r>
      <w:r>
        <w:rPr>
          <w:rFonts w:ascii="仿宋_GB2312" w:eastAsia="仿宋_GB2312"/>
          <w:sz w:val="28"/>
          <w:szCs w:val="28"/>
        </w:rPr>
        <w:t>增加</w:t>
      </w:r>
      <w:r>
        <w:rPr>
          <w:rFonts w:hint="eastAsia" w:ascii="仿宋_GB2312" w:eastAsia="仿宋_GB2312"/>
          <w:sz w:val="28"/>
          <w:szCs w:val="28"/>
          <w:lang w:val="en-US" w:eastAsia="zh-CN"/>
        </w:rPr>
        <w:t>805.36</w:t>
      </w:r>
      <w:r>
        <w:rPr>
          <w:rFonts w:hint="eastAsia" w:ascii="仿宋_GB2312" w:eastAsia="仿宋_GB2312"/>
          <w:sz w:val="28"/>
          <w:szCs w:val="28"/>
        </w:rPr>
        <w:t>万元，增长</w:t>
      </w:r>
      <w:r>
        <w:rPr>
          <w:rFonts w:hint="eastAsia" w:ascii="仿宋_GB2312" w:eastAsia="仿宋_GB2312"/>
          <w:sz w:val="28"/>
          <w:szCs w:val="28"/>
          <w:lang w:val="en-US" w:eastAsia="zh-CN"/>
        </w:rPr>
        <w:t>13.33</w:t>
      </w:r>
      <w:r>
        <w:rPr>
          <w:rFonts w:hint="eastAsia" w:ascii="仿宋_GB2312" w:eastAsia="仿宋_GB2312"/>
          <w:sz w:val="28"/>
          <w:szCs w:val="28"/>
        </w:rPr>
        <w:t>%。主要原因：在编人员经费补助</w:t>
      </w:r>
      <w:r>
        <w:rPr>
          <w:rFonts w:hint="eastAsia" w:ascii="仿宋_GB2312" w:eastAsia="仿宋_GB2312"/>
          <w:sz w:val="28"/>
          <w:szCs w:val="28"/>
          <w:lang w:val="en-US" w:eastAsia="zh-CN"/>
        </w:rPr>
        <w:t>增加（包含住房补贴）</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2024年度一般公共预算财政拨款支出6848.42万元，主要用于以下方面（按大类）：“社会保障和就业支出”（类）612.1</w:t>
      </w:r>
      <w:r>
        <w:rPr>
          <w:rFonts w:hint="eastAsia" w:ascii="仿宋_GB2312" w:eastAsia="仿宋_GB2312"/>
          <w:sz w:val="28"/>
          <w:szCs w:val="28"/>
          <w:lang w:val="en-US" w:eastAsia="zh-CN"/>
        </w:rPr>
        <w:t>2</w:t>
      </w:r>
      <w:r>
        <w:rPr>
          <w:rFonts w:hint="eastAsia" w:ascii="仿宋_GB2312" w:eastAsia="仿宋_GB2312"/>
          <w:sz w:val="28"/>
          <w:szCs w:val="28"/>
        </w:rPr>
        <w:t>万元，占本年财政拨款支出的</w:t>
      </w:r>
      <w:r>
        <w:rPr>
          <w:rFonts w:hint="eastAsia" w:ascii="仿宋_GB2312" w:eastAsia="仿宋_GB2312"/>
          <w:sz w:val="28"/>
          <w:szCs w:val="28"/>
          <w:lang w:val="en-US" w:eastAsia="zh-CN"/>
        </w:rPr>
        <w:t>8.94</w:t>
      </w:r>
      <w:r>
        <w:rPr>
          <w:rFonts w:hint="eastAsia" w:ascii="仿宋_GB2312" w:eastAsia="仿宋_GB2312"/>
          <w:sz w:val="28"/>
          <w:szCs w:val="28"/>
        </w:rPr>
        <w:t>%；“卫生健康支出”（类）5826.11万元，占本年财政拨款支出的</w:t>
      </w:r>
      <w:r>
        <w:rPr>
          <w:rFonts w:hint="eastAsia" w:ascii="仿宋_GB2312" w:eastAsia="仿宋_GB2312"/>
          <w:sz w:val="28"/>
          <w:szCs w:val="28"/>
          <w:lang w:val="en-US" w:eastAsia="zh-CN"/>
        </w:rPr>
        <w:t>85.07</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”（类）410.19万元，占本年财政拨款支出的</w:t>
      </w:r>
      <w:r>
        <w:rPr>
          <w:rFonts w:hint="eastAsia" w:ascii="仿宋_GB2312" w:eastAsia="仿宋_GB2312"/>
          <w:sz w:val="28"/>
          <w:szCs w:val="28"/>
          <w:lang w:val="en-US" w:eastAsia="zh-CN"/>
        </w:rPr>
        <w:t>5.99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1.“社会保障和就业支出”（类）2024年度决算612.1</w:t>
      </w:r>
      <w:r>
        <w:rPr>
          <w:rFonts w:hint="eastAsia" w:ascii="仿宋_GB2312" w:eastAsia="仿宋_GB2312"/>
          <w:sz w:val="28"/>
          <w:szCs w:val="28"/>
          <w:lang w:val="en-US" w:eastAsia="zh-CN"/>
        </w:rPr>
        <w:t>2</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20.05</w:t>
      </w:r>
      <w:r>
        <w:rPr>
          <w:rFonts w:hint="eastAsia" w:ascii="仿宋_GB2312" w:eastAsia="仿宋_GB2312"/>
          <w:sz w:val="28"/>
          <w:szCs w:val="28"/>
        </w:rPr>
        <w:t>万元，下降</w:t>
      </w:r>
      <w:r>
        <w:rPr>
          <w:rFonts w:hint="eastAsia" w:ascii="仿宋_GB2312" w:eastAsia="仿宋_GB2312"/>
          <w:sz w:val="28"/>
          <w:szCs w:val="28"/>
          <w:lang w:val="en-US" w:eastAsia="zh-CN"/>
        </w:rPr>
        <w:t>3.17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“行政事业单位养老支出”（款，下同）2024年度决算</w:t>
      </w:r>
      <w:r>
        <w:rPr>
          <w:rFonts w:hint="eastAsia" w:ascii="仿宋_GB2312" w:eastAsia="仿宋_GB2312"/>
          <w:sz w:val="28"/>
          <w:szCs w:val="28"/>
          <w:lang w:val="en-US" w:eastAsia="zh-CN"/>
        </w:rPr>
        <w:t>612.12</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20.05</w:t>
      </w:r>
      <w:r>
        <w:rPr>
          <w:rFonts w:hint="eastAsia" w:ascii="仿宋_GB2312" w:eastAsia="仿宋_GB2312"/>
          <w:sz w:val="28"/>
          <w:szCs w:val="28"/>
        </w:rPr>
        <w:t>万元，下降</w:t>
      </w:r>
      <w:r>
        <w:rPr>
          <w:rFonts w:hint="eastAsia" w:ascii="仿宋_GB2312" w:eastAsia="仿宋_GB2312"/>
          <w:sz w:val="28"/>
          <w:szCs w:val="28"/>
          <w:lang w:val="en-US" w:eastAsia="zh-CN"/>
        </w:rPr>
        <w:t>3.17</w:t>
      </w:r>
      <w:r>
        <w:rPr>
          <w:rFonts w:hint="eastAsia" w:ascii="仿宋_GB2312" w:eastAsia="仿宋_GB2312"/>
          <w:sz w:val="28"/>
          <w:szCs w:val="28"/>
        </w:rPr>
        <w:t>%。主要原因：为人员社保基数调整。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 2024年度决算</w:t>
      </w:r>
      <w:r>
        <w:rPr>
          <w:rFonts w:hint="eastAsia" w:ascii="仿宋_GB2312" w:eastAsia="仿宋_GB2312"/>
          <w:sz w:val="28"/>
          <w:szCs w:val="28"/>
          <w:lang w:val="en-US" w:eastAsia="zh-CN"/>
        </w:rPr>
        <w:t>5826.11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1111.5</w:t>
      </w:r>
      <w:r>
        <w:rPr>
          <w:rFonts w:hint="eastAsia" w:ascii="仿宋_GB2312" w:eastAsia="仿宋_GB2312"/>
          <w:sz w:val="28"/>
          <w:szCs w:val="28"/>
        </w:rPr>
        <w:t>万元，增长</w:t>
      </w:r>
      <w:r>
        <w:rPr>
          <w:rFonts w:hint="eastAsia" w:ascii="仿宋_GB2312" w:eastAsia="仿宋_GB2312"/>
          <w:sz w:val="28"/>
          <w:szCs w:val="28"/>
          <w:lang w:val="en-US" w:eastAsia="zh-CN"/>
        </w:rPr>
        <w:t>23.57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“基层医疗卫生机构”（款）2024年度决算3075.49万元，比2024年度年初预算增加</w:t>
      </w:r>
      <w:r>
        <w:rPr>
          <w:rFonts w:hint="eastAsia" w:ascii="仿宋_GB2312" w:eastAsia="仿宋_GB2312"/>
          <w:sz w:val="28"/>
          <w:szCs w:val="28"/>
          <w:lang w:val="en-US" w:eastAsia="zh-CN"/>
        </w:rPr>
        <w:t>492.59</w:t>
      </w:r>
      <w:r>
        <w:rPr>
          <w:rFonts w:hint="eastAsia" w:ascii="仿宋_GB2312" w:eastAsia="仿宋_GB2312"/>
          <w:sz w:val="28"/>
          <w:szCs w:val="28"/>
        </w:rPr>
        <w:t>万元，增长</w:t>
      </w:r>
      <w:r>
        <w:rPr>
          <w:rFonts w:hint="eastAsia" w:ascii="仿宋_GB2312" w:eastAsia="仿宋_GB2312"/>
          <w:sz w:val="28"/>
          <w:szCs w:val="28"/>
          <w:lang w:val="en-US" w:eastAsia="zh-CN"/>
        </w:rPr>
        <w:t>19.07</w:t>
      </w:r>
      <w:r>
        <w:rPr>
          <w:rFonts w:hint="eastAsia" w:ascii="仿宋_GB2312" w:eastAsia="仿宋_GB2312"/>
          <w:sz w:val="28"/>
          <w:szCs w:val="28"/>
        </w:rPr>
        <w:t>%。主要原因：</w:t>
      </w:r>
      <w:r>
        <w:rPr>
          <w:rFonts w:hint="eastAsia" w:ascii="仿宋_GB2312" w:eastAsia="仿宋_GB2312"/>
          <w:sz w:val="28"/>
          <w:szCs w:val="28"/>
          <w:lang w:val="en-US" w:eastAsia="zh-CN"/>
        </w:rPr>
        <w:t>发放</w:t>
      </w:r>
      <w:r>
        <w:rPr>
          <w:rFonts w:hint="eastAsia" w:ascii="仿宋_GB2312" w:eastAsia="仿宋_GB2312"/>
          <w:sz w:val="28"/>
          <w:szCs w:val="28"/>
        </w:rPr>
        <w:t>在编人员住房补贴。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w:t>
      </w:r>
      <w:r>
        <w:rPr>
          <w:rFonts w:hint="eastAsia" w:ascii="仿宋_GB2312" w:eastAsia="仿宋_GB2312"/>
          <w:sz w:val="28"/>
          <w:szCs w:val="28"/>
          <w:lang w:val="en-US" w:eastAsia="zh-CN"/>
        </w:rPr>
        <w:t>4</w:t>
      </w:r>
      <w:r>
        <w:rPr>
          <w:rFonts w:hint="eastAsia" w:ascii="仿宋_GB2312" w:eastAsia="仿宋_GB2312"/>
          <w:sz w:val="28"/>
          <w:szCs w:val="28"/>
        </w:rPr>
        <w:t>年度决算2006.42万元，比202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379.33</w:t>
      </w:r>
      <w:r>
        <w:rPr>
          <w:rFonts w:hint="eastAsia" w:ascii="仿宋_GB2312" w:eastAsia="仿宋_GB2312"/>
          <w:sz w:val="28"/>
          <w:szCs w:val="28"/>
        </w:rPr>
        <w:t>万元，增长</w:t>
      </w:r>
      <w:r>
        <w:rPr>
          <w:rFonts w:hint="eastAsia" w:ascii="仿宋_GB2312" w:eastAsia="仿宋_GB2312"/>
          <w:sz w:val="28"/>
          <w:szCs w:val="28"/>
          <w:lang w:val="en-US" w:eastAsia="zh-CN"/>
        </w:rPr>
        <w:t>23.31</w:t>
      </w:r>
      <w:r>
        <w:rPr>
          <w:rFonts w:hint="eastAsia" w:ascii="仿宋_GB2312" w:eastAsia="仿宋_GB2312"/>
          <w:sz w:val="28"/>
          <w:szCs w:val="28"/>
        </w:rPr>
        <w:t>%，主要原因：上级转移支付项目增多。</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年度决算488.05万元，比202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101.7</w:t>
      </w:r>
      <w:r>
        <w:rPr>
          <w:rFonts w:hint="eastAsia" w:ascii="仿宋_GB2312" w:eastAsia="仿宋_GB2312"/>
          <w:sz w:val="28"/>
          <w:szCs w:val="28"/>
        </w:rPr>
        <w:t>万元，增长</w:t>
      </w:r>
      <w:r>
        <w:rPr>
          <w:rFonts w:hint="eastAsia" w:ascii="仿宋_GB2312" w:eastAsia="仿宋_GB2312"/>
          <w:sz w:val="28"/>
          <w:szCs w:val="28"/>
          <w:lang w:val="en-US" w:eastAsia="zh-CN"/>
        </w:rPr>
        <w:t>26.32</w:t>
      </w:r>
      <w:r>
        <w:rPr>
          <w:rFonts w:hint="eastAsia" w:ascii="仿宋_GB2312" w:eastAsia="仿宋_GB2312"/>
          <w:sz w:val="28"/>
          <w:szCs w:val="28"/>
        </w:rPr>
        <w:t>%，主要原因：医疗保险缴费基数调整。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w:t>
      </w:r>
      <w:r>
        <w:rPr>
          <w:rFonts w:hint="eastAsia" w:ascii="仿宋_GB2312" w:eastAsia="仿宋_GB2312"/>
          <w:sz w:val="28"/>
          <w:szCs w:val="28"/>
          <w:lang w:val="en-US" w:eastAsia="zh-CN"/>
        </w:rPr>
        <w:t>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9.62</w:t>
      </w:r>
      <w:r>
        <w:rPr>
          <w:rFonts w:hint="eastAsia" w:ascii="仿宋_GB2312" w:eastAsia="仿宋_GB2312"/>
          <w:sz w:val="28"/>
          <w:szCs w:val="28"/>
        </w:rPr>
        <w:t>万元，增长100%。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“其他卫生健康支出”（款）202</w:t>
      </w:r>
      <w:r>
        <w:rPr>
          <w:rFonts w:hint="eastAsia" w:ascii="仿宋_GB2312" w:eastAsia="仿宋_GB2312"/>
          <w:sz w:val="28"/>
          <w:szCs w:val="28"/>
          <w:lang w:val="en-US" w:eastAsia="zh-CN"/>
        </w:rPr>
        <w:t>4</w:t>
      </w:r>
      <w:r>
        <w:rPr>
          <w:rFonts w:hint="eastAsia" w:ascii="仿宋_GB2312" w:eastAsia="仿宋_GB2312"/>
          <w:sz w:val="28"/>
          <w:szCs w:val="28"/>
        </w:rPr>
        <w:t>年度决算24</w:t>
      </w:r>
      <w:r>
        <w:rPr>
          <w:rFonts w:hint="eastAsia" w:ascii="仿宋_GB2312" w:eastAsia="仿宋_GB2312"/>
          <w:sz w:val="28"/>
          <w:szCs w:val="28"/>
          <w:lang w:val="en-US" w:eastAsia="zh-CN"/>
        </w:rPr>
        <w:t>6.52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年年初预算增加24</w:t>
      </w:r>
      <w:r>
        <w:rPr>
          <w:rFonts w:hint="eastAsia" w:ascii="仿宋_GB2312" w:eastAsia="仿宋_GB2312"/>
          <w:sz w:val="28"/>
          <w:szCs w:val="28"/>
          <w:lang w:val="en-US" w:eastAsia="zh-CN"/>
        </w:rPr>
        <w:t>6.52</w:t>
      </w:r>
      <w:r>
        <w:rPr>
          <w:rFonts w:hint="eastAsia" w:ascii="仿宋_GB2312" w:eastAsia="仿宋_GB2312"/>
          <w:sz w:val="28"/>
          <w:szCs w:val="28"/>
        </w:rPr>
        <w:t>万元，增长100%，主要原因：上级转移支付增加。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“住房保障支出”（款）202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410.19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410.19</w:t>
      </w:r>
      <w:r>
        <w:rPr>
          <w:rFonts w:hint="eastAsia" w:ascii="仿宋_GB2312" w:eastAsia="仿宋_GB2312"/>
          <w:sz w:val="28"/>
          <w:szCs w:val="28"/>
        </w:rPr>
        <w:t>万元，增长100%，主要原因：</w:t>
      </w:r>
      <w:r>
        <w:rPr>
          <w:rFonts w:hint="eastAsia" w:ascii="仿宋_GB2312" w:eastAsia="仿宋_GB2312"/>
          <w:sz w:val="28"/>
          <w:szCs w:val="28"/>
          <w:lang w:val="en-US" w:eastAsia="zh-CN"/>
        </w:rPr>
        <w:t>发放</w:t>
      </w:r>
      <w:r>
        <w:rPr>
          <w:rFonts w:hint="eastAsia" w:ascii="仿宋_GB2312" w:eastAsia="仿宋_GB2312"/>
          <w:sz w:val="28"/>
          <w:szCs w:val="28"/>
        </w:rPr>
        <w:t>在编人员住房补贴。</w:t>
      </w:r>
    </w:p>
    <w:p>
      <w:pPr>
        <w:numPr>
          <w:ilvl w:val="0"/>
          <w:numId w:val="1"/>
        </w:numPr>
        <w:spacing w:line="560" w:lineRule="exact"/>
        <w:ind w:firstLine="420" w:firstLineChars="150"/>
        <w:rPr>
          <w:rFonts w:hint="eastAsia" w:ascii="黑体" w:eastAsia="黑体"/>
          <w:sz w:val="28"/>
          <w:szCs w:val="28"/>
        </w:rPr>
      </w:pPr>
      <w:r>
        <w:rPr>
          <w:rFonts w:hint="eastAsia" w:ascii="黑体" w:eastAsia="黑体"/>
          <w:sz w:val="28"/>
          <w:szCs w:val="28"/>
        </w:rPr>
        <w:t>政府性基金预算财政拨款支出决算情况说明</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numPr>
          <w:ilvl w:val="0"/>
          <w:numId w:val="1"/>
        </w:numPr>
        <w:tabs>
          <w:tab w:val="center" w:pos="6979"/>
        </w:tabs>
        <w:spacing w:line="580" w:lineRule="exact"/>
        <w:ind w:left="0" w:leftChars="0" w:firstLine="420" w:firstLineChars="150"/>
        <w:rPr>
          <w:rFonts w:hint="eastAsia" w:ascii="黑体" w:eastAsia="黑体"/>
          <w:sz w:val="28"/>
          <w:szCs w:val="28"/>
        </w:rPr>
      </w:pPr>
      <w:r>
        <w:rPr>
          <w:rFonts w:hint="eastAsia" w:ascii="黑体" w:eastAsia="黑体"/>
          <w:sz w:val="28"/>
          <w:szCs w:val="28"/>
        </w:rPr>
        <w:t>国有资本经营预算财政拨款收支情况说明</w:t>
      </w:r>
    </w:p>
    <w:p>
      <w:pPr>
        <w:numPr>
          <w:ilvl w:val="0"/>
          <w:numId w:val="0"/>
        </w:numPr>
        <w:tabs>
          <w:tab w:val="center" w:pos="6979"/>
        </w:tabs>
        <w:spacing w:line="580" w:lineRule="exact"/>
        <w:ind w:leftChars="150"/>
        <w:rPr>
          <w:rFonts w:hint="eastAsia" w:ascii="仿宋_GB2312" w:eastAsia="仿宋_GB2312"/>
          <w:sz w:val="28"/>
          <w:szCs w:val="28"/>
        </w:rPr>
      </w:pPr>
      <w:r>
        <w:rPr>
          <w:rFonts w:hint="eastAsia" w:ascii="仿宋_GB2312" w:eastAsia="仿宋_GB2312"/>
          <w:sz w:val="28"/>
          <w:szCs w:val="28"/>
          <w:lang w:val="en-US" w:eastAsia="zh-CN"/>
        </w:rPr>
        <w:t xml:space="preserve">  本单位2024年度无国有资本经营预算财政拨款安排的支出</w:t>
      </w:r>
      <w:r>
        <w:rPr>
          <w:rFonts w:hint="eastAsia" w:ascii="黑体" w:eastAsia="黑体"/>
          <w:sz w:val="28"/>
          <w:szCs w:val="28"/>
          <w:lang w:val="en-US" w:eastAsia="zh-CN"/>
        </w:rPr>
        <w:t>。</w:t>
      </w:r>
    </w:p>
    <w:p>
      <w:pPr>
        <w:numPr>
          <w:ilvl w:val="0"/>
          <w:numId w:val="1"/>
        </w:numPr>
        <w:ind w:left="0" w:leftChars="0" w:firstLine="420" w:firstLineChars="150"/>
        <w:rPr>
          <w:rFonts w:hint="eastAsia" w:ascii="黑体" w:eastAsia="黑体"/>
          <w:sz w:val="28"/>
          <w:szCs w:val="28"/>
        </w:rPr>
      </w:pPr>
      <w:r>
        <w:rPr>
          <w:rFonts w:hint="eastAsia" w:ascii="黑体" w:eastAsia="黑体"/>
          <w:sz w:val="28"/>
          <w:szCs w:val="28"/>
        </w:rPr>
        <w:t>财政拨款基本支出决算情况说明</w:t>
      </w:r>
    </w:p>
    <w:p>
      <w:pPr>
        <w:numPr>
          <w:ilvl w:val="0"/>
          <w:numId w:val="0"/>
        </w:numPr>
        <w:ind w:firstLine="560" w:firstLineChars="200"/>
        <w:rPr>
          <w:rFonts w:hint="eastAsia" w:ascii="宋体" w:hAnsi="宋体" w:cs="宋体"/>
          <w:b/>
          <w:bCs/>
          <w:spacing w:val="40"/>
          <w:kern w:val="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24年度使用一般公共预算财政拨款安排基本支出4126.0</w:t>
      </w:r>
      <w:r>
        <w:rPr>
          <w:rFonts w:hint="eastAsia" w:ascii="仿宋_GB2312" w:eastAsia="仿宋_GB2312"/>
          <w:sz w:val="28"/>
          <w:szCs w:val="28"/>
          <w:lang w:val="en-US" w:eastAsia="zh-CN"/>
        </w:rPr>
        <w:t>4</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我单位公务接待费及公务用车运行维护费不属于此经费统计范围。与上年相比无变化</w:t>
      </w:r>
      <w:r>
        <w:rPr>
          <w:rFonts w:hint="eastAsia" w:ascii="仿宋_GB2312" w:eastAsia="仿宋_GB2312"/>
          <w:sz w:val="28"/>
          <w:szCs w:val="28"/>
          <w:lang w:eastAsia="zh-CN"/>
        </w:rPr>
        <w:t>，与年初预算数</w:t>
      </w:r>
      <w:r>
        <w:rPr>
          <w:rFonts w:hint="eastAsia" w:ascii="仿宋_GB2312" w:eastAsia="仿宋_GB2312"/>
          <w:sz w:val="28"/>
          <w:szCs w:val="28"/>
          <w:lang w:val="en-US" w:eastAsia="zh-CN"/>
        </w:rPr>
        <w:t>相比无变化</w:t>
      </w:r>
      <w:r>
        <w:rPr>
          <w:rFonts w:hint="eastAsia" w:ascii="仿宋_GB2312" w:eastAsia="仿宋_GB2312"/>
          <w:sz w:val="28"/>
          <w:szCs w:val="28"/>
        </w:rPr>
        <w:t>。</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2024年度政府采购支出总额133.2万元，其中：政府采购货物支出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万元，政府采购服务支出133.2万元。授予中小企业合同金额133.2万元，占政府采购支出总额的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133.2</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万元；新购置单位价值100万元以上的设</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万元。截至2024年底，本单位固定资产总额6770</w:t>
      </w:r>
      <w:r>
        <w:rPr>
          <w:rFonts w:hint="eastAsia" w:ascii="仿宋_GB2312" w:eastAsia="仿宋_GB2312"/>
          <w:sz w:val="28"/>
          <w:szCs w:val="28"/>
          <w:lang w:val="en-US" w:eastAsia="zh-CN"/>
        </w:rPr>
        <w:t>.</w:t>
      </w:r>
      <w:r>
        <w:rPr>
          <w:rFonts w:hint="eastAsia" w:ascii="仿宋_GB2312" w:eastAsia="仿宋_GB2312"/>
          <w:sz w:val="28"/>
          <w:szCs w:val="28"/>
        </w:rPr>
        <w:t>91万元，其中车辆</w:t>
      </w:r>
      <w:r>
        <w:rPr>
          <w:rFonts w:hint="eastAsia" w:ascii="仿宋_GB2312" w:eastAsia="仿宋_GB2312"/>
          <w:sz w:val="28"/>
          <w:szCs w:val="28"/>
          <w:lang w:val="en-US" w:eastAsia="zh-CN"/>
        </w:rPr>
        <w:t>6</w:t>
      </w:r>
      <w:r>
        <w:rPr>
          <w:rFonts w:hint="eastAsia" w:ascii="仿宋_GB2312" w:eastAsia="仿宋_GB2312"/>
          <w:sz w:val="28"/>
          <w:szCs w:val="28"/>
        </w:rPr>
        <w:t>台，共计</w:t>
      </w:r>
      <w:r>
        <w:rPr>
          <w:rFonts w:hint="eastAsia" w:ascii="仿宋_GB2312" w:eastAsia="仿宋_GB2312"/>
          <w:sz w:val="28"/>
          <w:szCs w:val="28"/>
          <w:lang w:val="en-US" w:eastAsia="zh-CN"/>
        </w:rPr>
        <w:t>168.95</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4</w:t>
      </w:r>
      <w:r>
        <w:rPr>
          <w:rFonts w:hint="eastAsia" w:ascii="仿宋_GB2312" w:eastAsia="仿宋_GB2312"/>
          <w:sz w:val="28"/>
          <w:szCs w:val="28"/>
        </w:rPr>
        <w:t>台（套），共计</w:t>
      </w:r>
      <w:r>
        <w:rPr>
          <w:rFonts w:ascii="仿宋_GB2312" w:eastAsia="仿宋_GB2312"/>
          <w:sz w:val="28"/>
          <w:szCs w:val="28"/>
        </w:rPr>
        <w:t>959.26</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31</w:t>
      </w:r>
      <w:r>
        <w:rPr>
          <w:rFonts w:ascii="仿宋_GB2312" w:eastAsia="仿宋_GB2312"/>
          <w:sz w:val="28"/>
          <w:szCs w:val="28"/>
        </w:rPr>
        <w:t>个，占单位项目总数的</w:t>
      </w:r>
      <w:r>
        <w:rPr>
          <w:rFonts w:hint="eastAsia" w:ascii="仿宋_GB2312" w:eastAsia="仿宋_GB2312"/>
          <w:sz w:val="28"/>
          <w:szCs w:val="28"/>
          <w:lang w:val="en-US" w:eastAsia="zh-CN"/>
        </w:rPr>
        <w:t>100</w:t>
      </w:r>
      <w:r>
        <w:rPr>
          <w:rFonts w:ascii="仿宋_GB2312" w:eastAsia="仿宋_GB2312"/>
          <w:sz w:val="28"/>
          <w:szCs w:val="28"/>
        </w:rPr>
        <w:t>%，涉及金额</w:t>
      </w:r>
      <w:r>
        <w:rPr>
          <w:rFonts w:hint="eastAsia" w:ascii="仿宋_GB2312" w:eastAsia="仿宋_GB2312"/>
          <w:sz w:val="28"/>
          <w:szCs w:val="28"/>
        </w:rPr>
        <w:t>2722</w:t>
      </w:r>
      <w:r>
        <w:rPr>
          <w:rFonts w:hint="eastAsia" w:ascii="仿宋_GB2312" w:eastAsia="仿宋_GB2312"/>
          <w:sz w:val="28"/>
          <w:szCs w:val="28"/>
          <w:lang w:val="en-US" w:eastAsia="zh-CN"/>
        </w:rPr>
        <w:t>.</w:t>
      </w:r>
      <w:r>
        <w:rPr>
          <w:rFonts w:hint="eastAsia" w:ascii="仿宋_GB2312" w:eastAsia="仿宋_GB2312"/>
          <w:sz w:val="28"/>
          <w:szCs w:val="28"/>
        </w:rPr>
        <w:t>38</w:t>
      </w:r>
      <w:r>
        <w:rPr>
          <w:rFonts w:ascii="仿宋_GB2312" w:eastAsia="仿宋_GB2312"/>
          <w:sz w:val="28"/>
          <w:szCs w:val="28"/>
        </w:rPr>
        <w:t>万元。评价得分在90分（含90分）以上的</w:t>
      </w:r>
      <w:r>
        <w:rPr>
          <w:rFonts w:hint="eastAsia" w:ascii="仿宋_GB2312" w:eastAsia="仿宋_GB2312"/>
          <w:sz w:val="28"/>
          <w:szCs w:val="28"/>
          <w:lang w:val="en-US" w:eastAsia="zh-CN"/>
        </w:rPr>
        <w:t>31</w:t>
      </w:r>
      <w:r>
        <w:rPr>
          <w:rFonts w:ascii="仿宋_GB2312" w:eastAsia="仿宋_GB2312"/>
          <w:sz w:val="28"/>
          <w:szCs w:val="28"/>
        </w:rPr>
        <w:t>个、评价得分在80-90分（含80分）的</w:t>
      </w:r>
      <w:r>
        <w:rPr>
          <w:rFonts w:hint="eastAsia" w:ascii="仿宋_GB2312" w:eastAsia="仿宋_GB2312"/>
          <w:sz w:val="28"/>
          <w:szCs w:val="28"/>
          <w:lang w:val="en-US" w:eastAsia="zh-CN"/>
        </w:rPr>
        <w:t>0</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ind w:firstLine="537" w:firstLineChars="192"/>
        <w:rPr>
          <w:rFonts w:ascii="仿宋_GB2312" w:eastAsia="仿宋_GB2312"/>
          <w:sz w:val="28"/>
          <w:szCs w:val="28"/>
        </w:rPr>
      </w:pPr>
      <w:r>
        <w:rPr>
          <w:rFonts w:hint="eastAsia" w:ascii="仿宋_GB2312" w:eastAsia="仿宋_GB2312"/>
          <w:sz w:val="28"/>
          <w:szCs w:val="28"/>
        </w:rPr>
        <w:t>2024年度本单位无重点行政事业性收费。</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2024年度本单位无此项支出。</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hint="eastAsia" w:ascii="黑体" w:eastAsia="黑体"/>
          <w:sz w:val="28"/>
          <w:szCs w:val="28"/>
        </w:rPr>
      </w:pPr>
    </w:p>
    <w:p>
      <w:pPr>
        <w:numPr>
          <w:ilvl w:val="0"/>
          <w:numId w:val="2"/>
        </w:numPr>
        <w:ind w:firstLine="560" w:firstLineChars="200"/>
        <w:rPr>
          <w:rFonts w:hint="eastAsia" w:ascii="黑体" w:eastAsia="黑体"/>
          <w:sz w:val="28"/>
          <w:szCs w:val="28"/>
        </w:rPr>
      </w:pPr>
      <w:r>
        <w:rPr>
          <w:rFonts w:hint="eastAsia" w:ascii="黑体" w:eastAsia="黑体"/>
          <w:sz w:val="28"/>
          <w:szCs w:val="28"/>
        </w:rPr>
        <w:t>部门整体绩效评价报告</w:t>
      </w:r>
    </w:p>
    <w:p>
      <w:pPr>
        <w:numPr>
          <w:ilvl w:val="0"/>
          <w:numId w:val="0"/>
        </w:numPr>
        <w:ind w:firstLine="560" w:firstLineChars="200"/>
        <w:rPr>
          <w:rFonts w:hint="eastAsia" w:ascii="黑体" w:eastAsia="黑体"/>
          <w:sz w:val="28"/>
          <w:szCs w:val="28"/>
        </w:rPr>
      </w:pPr>
      <w:r>
        <w:rPr>
          <w:rFonts w:hint="eastAsia" w:ascii="仿宋_GB2312" w:eastAsia="仿宋_GB2312"/>
          <w:sz w:val="28"/>
          <w:szCs w:val="28"/>
        </w:rPr>
        <w:t>二级预算单位不涉及。</w:t>
      </w:r>
    </w:p>
    <w:p>
      <w:pPr>
        <w:numPr>
          <w:ilvl w:val="0"/>
          <w:numId w:val="2"/>
        </w:numPr>
        <w:ind w:left="0" w:leftChars="0" w:firstLine="560" w:firstLineChars="200"/>
        <w:rPr>
          <w:rFonts w:hint="eastAsia" w:ascii="黑体" w:eastAsia="黑体"/>
          <w:sz w:val="28"/>
          <w:szCs w:val="28"/>
        </w:rPr>
      </w:pPr>
      <w:r>
        <w:rPr>
          <w:rFonts w:hint="eastAsia" w:ascii="黑体" w:eastAsia="黑体"/>
          <w:sz w:val="28"/>
          <w:szCs w:val="28"/>
        </w:rPr>
        <w:t>项目支出部门绩效评价报告</w:t>
      </w:r>
    </w:p>
    <w:p>
      <w:pPr>
        <w:numPr>
          <w:ilvl w:val="0"/>
          <w:numId w:val="0"/>
        </w:numPr>
        <w:ind w:firstLine="560" w:firstLineChars="200"/>
        <w:rPr>
          <w:rFonts w:hint="eastAsia" w:ascii="黑体" w:eastAsia="黑体"/>
          <w:sz w:val="28"/>
          <w:szCs w:val="28"/>
        </w:rPr>
      </w:pPr>
      <w:r>
        <w:rPr>
          <w:rFonts w:hint="eastAsia" w:ascii="仿宋_GB2312" w:eastAsia="仿宋_GB2312"/>
          <w:sz w:val="28"/>
          <w:szCs w:val="28"/>
        </w:rPr>
        <w:t>二级预算单位不涉及。</w:t>
      </w:r>
    </w:p>
    <w:p>
      <w:pPr>
        <w:ind w:firstLine="560" w:firstLineChars="200"/>
        <w:rPr>
          <w:rFonts w:hint="eastAsia" w:ascii="仿宋_GB2312" w:eastAsia="仿宋_GB2312"/>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560" w:lineRule="exact"/>
        <w:jc w:val="left"/>
        <w:rPr>
          <w:rFonts w:hint="eastAsia" w:ascii="方正黑体_GBK" w:hAnsi="方正黑体_GBK" w:eastAsia="方正黑体_GBK" w:cs="方正黑体_GBK"/>
          <w:sz w:val="32"/>
          <w:szCs w:val="32"/>
        </w:rPr>
      </w:pPr>
    </w:p>
    <w:p>
      <w:pPr>
        <w:spacing w:line="560"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p>
      <w:pPr>
        <w:spacing w:line="520" w:lineRule="exact"/>
        <w:ind w:firstLine="640" w:firstLineChars="200"/>
        <w:rPr>
          <w:rFonts w:hint="eastAsia" w:ascii="黑体" w:hAnsi="黑体" w:eastAsia="黑体" w:cs="黑体"/>
          <w:bCs/>
          <w:color w:val="000000"/>
          <w:kern w:val="0"/>
          <w:sz w:val="32"/>
          <w:szCs w:val="32"/>
        </w:rPr>
      </w:pPr>
    </w:p>
    <w:tbl>
      <w:tblPr>
        <w:tblStyle w:val="13"/>
        <w:tblW w:w="9627" w:type="dxa"/>
        <w:jc w:val="center"/>
        <w:tblInd w:w="0" w:type="dxa"/>
        <w:tblLayout w:type="fixed"/>
        <w:tblCellMar>
          <w:top w:w="0" w:type="dxa"/>
          <w:left w:w="108" w:type="dxa"/>
          <w:bottom w:w="0" w:type="dxa"/>
          <w:right w:w="108" w:type="dxa"/>
        </w:tblCellMar>
      </w:tblPr>
      <w:tblGrid>
        <w:gridCol w:w="537"/>
        <w:gridCol w:w="679"/>
        <w:gridCol w:w="989"/>
        <w:gridCol w:w="679"/>
        <w:gridCol w:w="678"/>
        <w:gridCol w:w="444"/>
        <w:gridCol w:w="745"/>
        <w:gridCol w:w="895"/>
        <w:gridCol w:w="500"/>
        <w:gridCol w:w="443"/>
        <w:gridCol w:w="528"/>
        <w:gridCol w:w="452"/>
        <w:gridCol w:w="679"/>
        <w:gridCol w:w="1379"/>
      </w:tblGrid>
      <w:tr>
        <w:tblPrEx>
          <w:tblLayout w:type="fixed"/>
          <w:tblCellMar>
            <w:top w:w="0" w:type="dxa"/>
            <w:left w:w="108" w:type="dxa"/>
            <w:bottom w:w="0" w:type="dxa"/>
            <w:right w:w="108" w:type="dxa"/>
          </w:tblCellMar>
        </w:tblPrEx>
        <w:trPr>
          <w:trHeight w:val="440" w:hRule="exact"/>
          <w:jc w:val="center"/>
        </w:trPr>
        <w:tc>
          <w:tcPr>
            <w:tcW w:w="9627"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27"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11"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在编人员经费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481"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481"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3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1189"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1270</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3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1189"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1270</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76"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通过每年度财政资金的投入，保障镇域内基本公共卫生工作正常开展，提高居民健康水平。</w:t>
            </w:r>
          </w:p>
        </w:tc>
        <w:tc>
          <w:tcPr>
            <w:tcW w:w="4876"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已完成经费使用，基本公共卫生工作有所提高。</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74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5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1270万元</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1270</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补助资金发放合规率</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补助资金发放完成率</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基本公共卫生项目镇域人员知晓率</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疾病预防控制体系</w:t>
            </w:r>
          </w:p>
        </w:tc>
        <w:tc>
          <w:tcPr>
            <w:tcW w:w="74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防控体系进一步完善</w:t>
            </w:r>
          </w:p>
        </w:tc>
        <w:tc>
          <w:tcPr>
            <w:tcW w:w="89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防控体系进一步完善</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基本公共卫生均等化水平</w:t>
            </w:r>
          </w:p>
        </w:tc>
        <w:tc>
          <w:tcPr>
            <w:tcW w:w="74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9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职工满意度</w:t>
            </w:r>
          </w:p>
        </w:tc>
        <w:tc>
          <w:tcPr>
            <w:tcW w:w="7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943"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7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943"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58"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3"/>
        <w:tblW w:w="9649" w:type="dxa"/>
        <w:jc w:val="center"/>
        <w:tblInd w:w="0" w:type="dxa"/>
        <w:tblLayout w:type="fixed"/>
        <w:tblCellMar>
          <w:top w:w="0" w:type="dxa"/>
          <w:left w:w="108" w:type="dxa"/>
          <w:bottom w:w="0" w:type="dxa"/>
          <w:right w:w="108" w:type="dxa"/>
        </w:tblCellMar>
      </w:tblPr>
      <w:tblGrid>
        <w:gridCol w:w="537"/>
        <w:gridCol w:w="679"/>
        <w:gridCol w:w="989"/>
        <w:gridCol w:w="679"/>
        <w:gridCol w:w="886"/>
        <w:gridCol w:w="981"/>
        <w:gridCol w:w="1014"/>
        <w:gridCol w:w="381"/>
        <w:gridCol w:w="443"/>
        <w:gridCol w:w="528"/>
        <w:gridCol w:w="452"/>
        <w:gridCol w:w="679"/>
        <w:gridCol w:w="1401"/>
      </w:tblGrid>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返聘退休医务人员补助经费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3.4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根据《大兴区分级诊疗制度建设2016-2017年度重任务》等相关办法，通过发放补助资金，有效提高退休返聘医务人员、外聘专家基本待遇，提高医院诊疗服务能力。</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有效提高退休返聘医务人员、外聘专家基本待遇，提高医院诊疗服务能力。</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退休返聘医务人员数量</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w:t>
            </w:r>
            <w:r>
              <w:rPr>
                <w:rFonts w:hint="eastAsia" w:ascii="宋体" w:hAnsi="宋体" w:cs="宋体"/>
                <w:color w:val="000000"/>
                <w:kern w:val="0"/>
                <w:sz w:val="18"/>
                <w:szCs w:val="18"/>
              </w:rPr>
              <w:t>人</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w:t>
            </w:r>
            <w:r>
              <w:rPr>
                <w:rFonts w:hint="eastAsia" w:ascii="宋体" w:hAnsi="宋体" w:cs="宋体"/>
                <w:color w:val="000000"/>
                <w:kern w:val="0"/>
                <w:sz w:val="18"/>
                <w:szCs w:val="18"/>
              </w:rPr>
              <w:t>人</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返聘退休医务人员补助标准</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≤3250元/人*月</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3250</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补助资金兑现合规率</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补助足额发放完成率</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w:t>
            </w:r>
          </w:p>
        </w:tc>
        <w:tc>
          <w:tcPr>
            <w:tcW w:w="98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诊疗能力得到提升</w:t>
            </w:r>
          </w:p>
        </w:tc>
        <w:tc>
          <w:tcPr>
            <w:tcW w:w="101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诊疗能力得到提升</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患者满意度</w:t>
            </w:r>
          </w:p>
        </w:tc>
        <w:tc>
          <w:tcPr>
            <w:tcW w:w="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98%</w:t>
            </w:r>
          </w:p>
        </w:tc>
        <w:tc>
          <w:tcPr>
            <w:tcW w:w="82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卫生健康-2024乡村医生岗位人员补助（专项）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4.62</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4.62</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根据《关于加强村级医疗卫生机构和乡村医生队伍建设的实施方案》通过向在岗乡村医生发放补助资金，有效提高被补助对象的工作积极性，促进乡村医疗服务发展。</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已完成</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在岗乡村医生待遇补助</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≤4620元/年</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辖区居民诊疗需求满足率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公共服务能力</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补助机制</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乡村医生满意度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both"/>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促进基层中医药传承创新发展经费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4.64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4.64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任务完成情况</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97%</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为开展高层次中医药人才培养</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提高人民群众中医药服务获得感</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就医患者满意度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离退休遗属</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0.76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0.76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严格执行相关政策，保障工资及时、足额发放，预算编制科学合理，减少结余资金。</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保障工资及时、足额发放。</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发放覆盖率</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标准执行率</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足额保障率</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遗属满意率</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乡村医生医责险及运维补助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通过向在岗乡村医生发放补助资金，有效提高被补助对象的工作积极性，促进乡村医疗服务发展</w:t>
            </w:r>
            <w:r>
              <w:rPr>
                <w:rFonts w:hint="eastAsia" w:ascii="宋体" w:hAnsi="宋体" w:cs="宋体"/>
                <w:kern w:val="0"/>
                <w:sz w:val="18"/>
                <w:szCs w:val="18"/>
                <w:lang w:eastAsia="zh-CN"/>
              </w:rPr>
              <w:t>。</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已完成发放。</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乡医卫生室运行经费</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≤3000元/年</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在岗乡村医生医责险</w:t>
            </w: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辖区居民诊疗需求</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公共服务能力</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乡村医生满意率</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历史遗留问题整治安全和消防评估</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27.54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27.54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历史遗留问题整治安全和消防评估。</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已完成安全消防评估。</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还款日期</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项目金额</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275402.78</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已完成使用</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提高医院运行安全</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医护人员满意度</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严重精神患者村（居）看护补助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21.93</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21.93</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严重精神患者看护补助的发放，更好的管理严重精神患者。</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已全部发放，更好的管理严重精神患者。</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发放人数（2022年）</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发放人数（2023年）</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发放金额</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219320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219320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发放月数</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减少发生肇事肇祸事件</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减少</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减少</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看护人员满意度</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老年人体检补助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4.49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4.49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发放老年人体检补助，提高老年人体检率。</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已全部发放，提高了老年人体检率。</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发放人数</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发放金额</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提高体检率</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补助人员满意率</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卫生健康-过渡期前一线医务人员临时性工作补助（专项）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1.45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1.45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通过资金投入，提高医务人员待遇。</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通过资金投入，提高医务人员待遇。</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发放过渡期临时性工作补贴人数</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按时发放临时性工作补助</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按时发放</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按时发放</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医务人员待遇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增加</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增加</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医务人员满意度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卫生健康-重大传染病防控经费（第二批）（专项）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2.19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2.19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通过财政资金的投入，更好的完成慢病、精神疾病及城市污水监测工作。</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通过财政资金的投入，更好的完成慢病、精神疾病及城市污水监测工作。</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城市污水监测情况</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有所改善</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有所改善</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慢病及精神疾病防治</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有所提高</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疾病防控能力</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有所提升</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有所提升</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服务对象满意度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卫生健康-促进基层中医药传承创新发展经费（第二批）（专项）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81"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1</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81"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1</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通过资金投入，完成1家中医阁建设，提升基层中医药服务能力，为居民提供简、便、验、廉的中医药服务。</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已完成一家中医阁建设，为居民提供中医药服务。</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建立中医阁数量</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提供中医医疗技术数量</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中医阁建设标准</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符合标准</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符合标准</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建设成本</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基层中医药能力</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提高</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提高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患者满意度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≥96%</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卫生健康-促进基层中医药传承创新发展经费（专项）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3.99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3.99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任务完成情况</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97%</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为开展高层次中医药人才培养</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提高人民群众中医药服务获得感</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就医患者满意度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保安服务项目经费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通过购买安保服务，保障平安医院建设。</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通过购买安保服务，保障平安医院建设。</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保障医院安全</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保障医院安全</w:t>
            </w: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保障医院安全</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保障医院秩序</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保障医院秩序</w:t>
            </w: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保障医院秩序</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医务人员满意度</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两癌筛查体检经费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10.16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10.16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通过两癌筛查体检保障生命全周期健康，深化医药卫生体制改革,推行妇幼健康便民措施,提高广大妇女生殖键康水平。</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深化医药卫生体制改革,推行妇幼健康便民措施,提高广大妇女生殖键康水平。</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两癌筛查管理率</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两癌筛查人数</w:t>
            </w:r>
          </w:p>
        </w:tc>
        <w:tc>
          <w:tcPr>
            <w:tcW w:w="98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w:t>
            </w:r>
          </w:p>
        </w:tc>
        <w:tc>
          <w:tcPr>
            <w:tcW w:w="1014"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疾病防控能力</w:t>
            </w:r>
          </w:p>
        </w:tc>
        <w:tc>
          <w:tcPr>
            <w:tcW w:w="981"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有所提高</w:t>
            </w:r>
          </w:p>
          <w:p>
            <w:pPr>
              <w:jc w:val="center"/>
              <w:rPr>
                <w:rFonts w:hint="eastAsia" w:ascii="宋体" w:hAnsi="宋体" w:cs="宋体"/>
                <w:kern w:val="0"/>
                <w:sz w:val="18"/>
                <w:szCs w:val="18"/>
                <w:lang w:val="en-US" w:eastAsia="zh-CN"/>
              </w:rPr>
            </w:pP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居民健康意识及两癌检查知晓率</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被筛查人员满意度</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PACS系统</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9.58</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9.58</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通过PACS系统改变传统图像保存和传递方式，完善医疗质量检查要求，改善患者就医超声检查。</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完善医疗质量检查要求，改善患者就医超声检查。</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改善超声检查</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完善超声管理系统</w:t>
            </w:r>
          </w:p>
        </w:tc>
        <w:tc>
          <w:tcPr>
            <w:tcW w:w="981"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患者超声满意度</w:t>
            </w:r>
          </w:p>
        </w:tc>
        <w:tc>
          <w:tcPr>
            <w:tcW w:w="981"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退出乡医养老补助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38.55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38.55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通过向退休乡村医生发放补助资金，有效提高被补助对象的生活质量。</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有效提高被补助对象的生活质量。</w:t>
            </w:r>
          </w:p>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退休乡村医生生活补助标准</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≤800元/月</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800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退休乡村医生生活补助人数</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58人</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58</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补贴覆盖率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退休乡村医生生活补助发放频次</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4次/年</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指标1：乡村医生生活水平</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退休乡村医生生活水平得到改善</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退休乡村医生生活水平得到改善</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指标1：乡村医生满意度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卫生室建设</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38.93</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38.93</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通过村卫生室建设，加快提升农村地区医疗卫生服务能力。</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加快提升农村地区医疗卫生服务能力。</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医保网络安装</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村卫生室设备配置</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发挥村卫生室基础作用</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有所改善</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有所改善</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居民满意度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≥91%</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卫生健康-市级基本公共卫生服务补助项目（专项）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167.07</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167.07</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儿童体检及新生儿免费听力筛查率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老年人健康体检率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严重精神疾病患者免费健康体检率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支付卫生专干补助及时率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疾病控制能力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卫生健康-市级基本公共卫生服务资金（专项）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9.07</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9.07</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儿童体检及新生儿免费听力筛查率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老年人健康体检率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严重精神疾病患者免费健康体检率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支付卫生专干补助及时率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疾病控制能力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卫生健康-2024年中央转移支付基本公共卫生服务补助资金（专项）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11.25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11.25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卫生健康-中央基本公共卫生服务资金（专项）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45.6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45.6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卫生健康-中央转移支付基本公共卫生服务补助资金（专项）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15.05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15.05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卫生健康-2024年院前急救保障经费（专项）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127.39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127.39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通过资金投入，保障院前医疗急救工作顺利开展，提高院前医疗急救服务水平。</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院前医疗急救工作顺利开展，院前医疗急救服务水平有所提高。</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2023年全年院前急救任务完成量</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≥1500次</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1700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支付第三方人员经费及时率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院前急救呼叫满足率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院前急救能力得到提升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高中低</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患者及家属满意度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卫生健康-新冠肺炎患者救治费用补助（专项）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0.26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0.26</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新冠肺炎患者救治费用补助</w:t>
            </w:r>
            <w:r>
              <w:rPr>
                <w:rFonts w:hint="eastAsia" w:ascii="宋体" w:hAnsi="宋体" w:cs="宋体"/>
                <w:kern w:val="0"/>
                <w:sz w:val="18"/>
                <w:szCs w:val="18"/>
                <w:lang w:val="en-US" w:eastAsia="zh-CN"/>
              </w:rPr>
              <w:t>.</w:t>
            </w:r>
          </w:p>
        </w:tc>
        <w:tc>
          <w:tcPr>
            <w:tcW w:w="4898" w:type="dxa"/>
            <w:gridSpan w:val="7"/>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已完成使用。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救治新冠肺炎患者</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救治效果良好</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救治效果良好</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60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新冠肺炎患者就诊满意度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基本公共卫生经费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357.09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357.09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39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通过财政补助资金的投入，提高公共卫生服务水平，为65岁以上老年人、0-6岁儿童、精神疾病患者等各类人群提高基本公共卫生服务。</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1.电子健康档案建档率保持在80%以上，稳步提高使用率；</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2.适龄儿童国家免疫规划疫苗接种率保持在100%；</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3.新生儿访视率100%、儿童健康管理率达到98.5%；；</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4.早孕建册率96.%、产后访视率达到100%；</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5.65岁以上老年人健康管理率达到65%；</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6.高血压、糖尿病管理人数稳步提高，规范管理率达到65%以上，全镇管理高血压患者人数达到2800以上，管理糖尿病患者人数达到1300以上；</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7.严重精神障碍患者管理人数稳步提高，规范管理率达到98%；</w:t>
            </w:r>
          </w:p>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8.肺结核患者管理率达到100%以上；</w:t>
            </w:r>
          </w:p>
          <w:p>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9.老年人、儿童中医药健康管理率分别达到80%；</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财政补助基本公共卫生覆盖类型</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制作健康教育宣传栏</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6期</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6期</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报告发现的结核病患者（包括耐多药结核病患者）管理率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 xml:space="preserve">儿童中医药健康管理率 </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≥77%</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老年人中医药健康管理率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肺结核患者管理率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居民健康档案规范化电子建档率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85%</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适龄人群国家免疫规划疫苗接种率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新生儿访视率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0-6岁儿童健康管理率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早孕建册率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产后访视率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 xml:space="preserve">65岁及以上老年人健康管理率 </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≥62%</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高血压、糖尿病患者规范管理率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在册严重精神障碍患者规范管理率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防控体系进 一步完善， 防控能力进 一步提高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基本公共卫生均等化水平</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基本公共卫生项目规范化管理水平</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逐步完善</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有所完善</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辖区内常住居民满意度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临时用工补助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192.75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192.75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大兴区卫生计生系统临时辅助用工管理办法（试行）》（京兴政卫计发[2018]221号》相关办法，通过发放临时辅助用工人员社会保险及公积金补助资金，有效提高医院临时辅助用工人员工资待遇，减少人员流动，保障医院各项工作正常运转。</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已按要求完成使用。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社会保险及公积金缴费基数标准（专技））</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4520元/人*月</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4520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社会保险及公积金缴费基数标准</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2320元/人*月</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2320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岗位津贴补贴标准</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≤440元/人*月</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440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工龄津贴补助标准</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≤300元/人*月</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补助资金兑现流程合规率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临时辅助人员生活水平</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临时辅助人员生活水平得到改善</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临时辅助人员生活水平得到改善</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诊疗服务能力</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诊疗服务能力得到提升</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诊疗服务能力得到提升</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临时辅助用工人员满意度</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卫生健康-2024年农村地区社区卫生机构人员岗位补助项目资金（专项）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17.28</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17.28</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通过资金投入，按月发放农村地区社区卫生机构人员岗位补助，提高医务人员工资待遇。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按月发放农村地区社区卫生机构人员岗位补助，提高医务人员工资待遇。</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发放农村地区社区卫生机构人员补助数</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≥1800元每月</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1800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发放农村地区社区卫生机构人员</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8人</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8</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更好服务辖区群众</w:t>
            </w:r>
          </w:p>
        </w:tc>
        <w:tc>
          <w:tcPr>
            <w:tcW w:w="981"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提高服务质量</w:t>
            </w:r>
          </w:p>
        </w:tc>
        <w:tc>
          <w:tcPr>
            <w:tcW w:w="101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提高服务质量</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职工满意度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卫生健康-基本药物制度补助经费（专项）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8.41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8.41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通过资金投入，保障基本药物制度执行，降低患者就医成本。</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完成基本药物采购量，销售达到预期完成比例。</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基药补助使用完成率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基药补助使用</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基药使用率</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≥91%</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600" w:hRule="exact"/>
          <w:jc w:val="center"/>
        </w:trPr>
        <w:tc>
          <w:tcPr>
            <w:tcW w:w="9649" w:type="dxa"/>
            <w:gridSpan w:val="13"/>
            <w:tcBorders>
              <w:top w:val="nil"/>
              <w:left w:val="nil"/>
              <w:bottom w:val="nil"/>
              <w:right w:val="nil"/>
            </w:tcBorders>
            <w:vAlign w:val="center"/>
          </w:tcPr>
          <w:p>
            <w:pPr>
              <w:widowControl/>
              <w:jc w:val="center"/>
              <w:textAlignment w:val="center"/>
              <w:rPr>
                <w:rFonts w:hint="eastAsia" w:ascii="宋体" w:hAnsi="宋体" w:cs="宋体"/>
                <w:b/>
                <w:bCs/>
                <w:color w:val="000000"/>
                <w:kern w:val="0"/>
                <w:sz w:val="32"/>
                <w:szCs w:val="32"/>
                <w:lang w:bidi="ar"/>
              </w:rPr>
            </w:pPr>
          </w:p>
        </w:tc>
      </w:tr>
      <w:tr>
        <w:tblPrEx>
          <w:tblLayout w:type="fixed"/>
          <w:tblCellMar>
            <w:top w:w="0" w:type="dxa"/>
            <w:left w:w="108" w:type="dxa"/>
            <w:bottom w:w="0" w:type="dxa"/>
            <w:right w:w="108" w:type="dxa"/>
          </w:tblCellMar>
        </w:tblPrEx>
        <w:trPr>
          <w:trHeight w:val="60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卫生健康-2024年大兴区从业人员免费健康检查工作经费（专项）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43.91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43.91</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通过财政资金投入，更好的完成从业人员免费健康体检工作。</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已按要求完成使用。</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从业人员免费健康体检完成情况</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50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50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从业人员免费健康体检持续性</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有所加强</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有所加强</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体检人员满意度</w:t>
            </w:r>
          </w:p>
        </w:tc>
        <w:tc>
          <w:tcPr>
            <w:tcW w:w="9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single" w:color="auto" w:sz="4" w:space="0"/>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3"/>
        <w:tblW w:w="9649" w:type="dxa"/>
        <w:jc w:val="center"/>
        <w:tblInd w:w="0" w:type="dxa"/>
        <w:tblLayout w:type="fixed"/>
        <w:tblCellMar>
          <w:top w:w="0" w:type="dxa"/>
          <w:left w:w="108" w:type="dxa"/>
          <w:bottom w:w="0" w:type="dxa"/>
          <w:right w:w="108" w:type="dxa"/>
        </w:tblCellMar>
      </w:tblPr>
      <w:tblGrid>
        <w:gridCol w:w="537"/>
        <w:gridCol w:w="679"/>
        <w:gridCol w:w="989"/>
        <w:gridCol w:w="679"/>
        <w:gridCol w:w="886"/>
        <w:gridCol w:w="981"/>
        <w:gridCol w:w="1014"/>
        <w:gridCol w:w="381"/>
        <w:gridCol w:w="443"/>
        <w:gridCol w:w="528"/>
        <w:gridCol w:w="452"/>
        <w:gridCol w:w="679"/>
        <w:gridCol w:w="1401"/>
      </w:tblGrid>
      <w:tr>
        <w:tblPrEx>
          <w:tblLayout w:type="fixed"/>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卫生健康-乡村医生岗位人员补助（专项）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197.99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81"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197.99</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pPr>
              <w:jc w:val="center"/>
            </w:pP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通过财政资金投入，保障村卫生室正常运转，发挥基层网底作用，为辖区内居民提供便捷的医疗服务。</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通过财政资金投入，保障村卫生室正常运转，发挥基层网底作用，为辖区内居民提供便捷的医疗服务。</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在岗乡村医生待遇补助</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≤4620元/年</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派驻村卫生室医务人员每月补助标准</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≤7232元/月</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7232</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派驻医务人员保障新建村卫生室数量</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14所</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14</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辖区居民诊疗需求满足率</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公共服务能力</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补助机制</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医生满意度</w:t>
            </w:r>
          </w:p>
        </w:tc>
        <w:tc>
          <w:tcPr>
            <w:tcW w:w="9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5</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患者满意度</w:t>
            </w:r>
          </w:p>
        </w:tc>
        <w:tc>
          <w:tcPr>
            <w:tcW w:w="98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91%</w:t>
            </w:r>
          </w:p>
        </w:tc>
        <w:tc>
          <w:tcPr>
            <w:tcW w:w="82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5</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480" w:lineRule="exact"/>
        <w:rPr>
          <w:rFonts w:hint="eastAsia" w:ascii="仿宋_GB2312" w:hAnsi="宋体" w:eastAsia="仿宋_GB2312" w:cs="宋体"/>
          <w:color w:val="000000"/>
          <w:kern w:val="0"/>
          <w:sz w:val="24"/>
        </w:rPr>
      </w:pPr>
    </w:p>
    <w:p>
      <w:pPr>
        <w:spacing w:line="480" w:lineRule="exac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rPr>
      </w:pPr>
      <w:r>
        <w:rPr>
          <w:rFonts w:hint="eastAsia" w:ascii="仿宋_GB2312" w:hAnsi="宋体" w:eastAsia="仿宋_GB2312" w:cs="宋体"/>
          <w:color w:val="000000"/>
          <w:kern w:val="0"/>
          <w:sz w:val="24"/>
        </w:rPr>
        <w:t>4.使用中央直达资金的项目务必将中央直达资金金额填报清楚。</w:t>
      </w: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LhwZ9QEAALsDAAAOAAAAAAAAAAEAIAAAAB8BAABkcnMvZTJvRG9jLnhtbFBLBQYAAAAA&#10;BgAGAFkBAACG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7"/>
                            <w:rPr>
                              <w:rStyle w:val="12"/>
                            </w:rPr>
                          </w:pPr>
                          <w:r>
                            <w:fldChar w:fldCharType="begin"/>
                          </w:r>
                          <w:r>
                            <w:rPr>
                              <w:rStyle w:val="12"/>
                            </w:rPr>
                            <w:instrText xml:space="preserve">PAGE  </w:instrText>
                          </w:r>
                          <w:r>
                            <w:fldChar w:fldCharType="separate"/>
                          </w:r>
                          <w:r>
                            <w:rPr>
                              <w:rStyle w:val="12"/>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OVf09QEAALoDAAAOAAAAAAAAAAEAIAAAAB8BAABkcnMvZTJvRG9jLnhtbFBLBQYAAAAA&#10;BgAGAFkBAACGBQAAAAA=&#10;">
              <v:fill on="f" focussize="0,0"/>
              <v:stroke on="f"/>
              <v:imagedata o:title=""/>
              <o:lock v:ext="edit" aspectratio="f"/>
              <v:textbox inset="0mm,0mm,0mm,0mm" style="mso-fit-shape-to-text:t;">
                <w:txbxContent>
                  <w:p>
                    <w:pPr>
                      <w:pStyle w:val="7"/>
                      <w:rPr>
                        <w:rStyle w:val="12"/>
                      </w:rPr>
                    </w:pPr>
                    <w:r>
                      <w:fldChar w:fldCharType="begin"/>
                    </w:r>
                    <w:r>
                      <w:rPr>
                        <w:rStyle w:val="12"/>
                      </w:rPr>
                      <w:instrText xml:space="preserve">PAGE  </w:instrText>
                    </w:r>
                    <w:r>
                      <w:fldChar w:fldCharType="separate"/>
                    </w:r>
                    <w:r>
                      <w:rPr>
                        <w:rStyle w:val="12"/>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19766"/>
    <w:multiLevelType w:val="singleLevel"/>
    <w:tmpl w:val="3E519766"/>
    <w:lvl w:ilvl="0" w:tentative="0">
      <w:start w:val="6"/>
      <w:numFmt w:val="chineseCounting"/>
      <w:suff w:val="nothing"/>
      <w:lvlText w:val="%1、"/>
      <w:lvlJc w:val="left"/>
      <w:rPr>
        <w:rFonts w:hint="eastAsia"/>
      </w:rPr>
    </w:lvl>
  </w:abstractNum>
  <w:abstractNum w:abstractNumId="1">
    <w:nsid w:val="73F5E4F4"/>
    <w:multiLevelType w:val="singleLevel"/>
    <w:tmpl w:val="73F5E4F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NmNjc4OTA2MmUyN2YyNTRkZTlmOTk2MGJmNTFmYT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38E6E7A"/>
    <w:rsid w:val="04592C5D"/>
    <w:rsid w:val="079004AC"/>
    <w:rsid w:val="0AFD09DD"/>
    <w:rsid w:val="0C7B7F86"/>
    <w:rsid w:val="0F8E2C57"/>
    <w:rsid w:val="1059665E"/>
    <w:rsid w:val="10AC13BA"/>
    <w:rsid w:val="11404DC8"/>
    <w:rsid w:val="115F369E"/>
    <w:rsid w:val="124610E1"/>
    <w:rsid w:val="135572DF"/>
    <w:rsid w:val="156971D1"/>
    <w:rsid w:val="15C404EB"/>
    <w:rsid w:val="163F4A7E"/>
    <w:rsid w:val="18A22B4C"/>
    <w:rsid w:val="1AEC0734"/>
    <w:rsid w:val="1B323594"/>
    <w:rsid w:val="1B43291B"/>
    <w:rsid w:val="1C7254ED"/>
    <w:rsid w:val="1DEF20B0"/>
    <w:rsid w:val="1F401DDF"/>
    <w:rsid w:val="1F664E2A"/>
    <w:rsid w:val="1F7E06F6"/>
    <w:rsid w:val="20D81678"/>
    <w:rsid w:val="21422A39"/>
    <w:rsid w:val="214243FA"/>
    <w:rsid w:val="214741A1"/>
    <w:rsid w:val="232235C5"/>
    <w:rsid w:val="257A14F5"/>
    <w:rsid w:val="26AF10CD"/>
    <w:rsid w:val="27196C26"/>
    <w:rsid w:val="29EF086F"/>
    <w:rsid w:val="2A8415D0"/>
    <w:rsid w:val="2BF13CCD"/>
    <w:rsid w:val="2D1F06AF"/>
    <w:rsid w:val="2E7A700E"/>
    <w:rsid w:val="2EFFE297"/>
    <w:rsid w:val="2F1A4776"/>
    <w:rsid w:val="301437CA"/>
    <w:rsid w:val="32785148"/>
    <w:rsid w:val="32A47A78"/>
    <w:rsid w:val="353C75FB"/>
    <w:rsid w:val="36614EA7"/>
    <w:rsid w:val="386D6DD1"/>
    <w:rsid w:val="38A5656B"/>
    <w:rsid w:val="3DE04810"/>
    <w:rsid w:val="3DFD6097"/>
    <w:rsid w:val="3F143319"/>
    <w:rsid w:val="3F3B19D7"/>
    <w:rsid w:val="402104EE"/>
    <w:rsid w:val="4208288A"/>
    <w:rsid w:val="42F27DD4"/>
    <w:rsid w:val="433E495C"/>
    <w:rsid w:val="44617DEC"/>
    <w:rsid w:val="45404BDC"/>
    <w:rsid w:val="45A90126"/>
    <w:rsid w:val="4616442F"/>
    <w:rsid w:val="46B753D0"/>
    <w:rsid w:val="485B04E8"/>
    <w:rsid w:val="48804E0D"/>
    <w:rsid w:val="49090450"/>
    <w:rsid w:val="4AC27CB3"/>
    <w:rsid w:val="4B35377F"/>
    <w:rsid w:val="4B6D146C"/>
    <w:rsid w:val="4BF72BEF"/>
    <w:rsid w:val="4CD80866"/>
    <w:rsid w:val="4DEB2135"/>
    <w:rsid w:val="50502C65"/>
    <w:rsid w:val="51DB3C59"/>
    <w:rsid w:val="522B18E5"/>
    <w:rsid w:val="540F55CE"/>
    <w:rsid w:val="550A17D8"/>
    <w:rsid w:val="55762E42"/>
    <w:rsid w:val="568B6949"/>
    <w:rsid w:val="570065CB"/>
    <w:rsid w:val="57A7B272"/>
    <w:rsid w:val="58470068"/>
    <w:rsid w:val="58886F75"/>
    <w:rsid w:val="58C146D8"/>
    <w:rsid w:val="5A1720F9"/>
    <w:rsid w:val="5B9C37C2"/>
    <w:rsid w:val="5BA7C654"/>
    <w:rsid w:val="5CF74D38"/>
    <w:rsid w:val="5E017471"/>
    <w:rsid w:val="5F2D3D9B"/>
    <w:rsid w:val="5F610B8F"/>
    <w:rsid w:val="5F8A0474"/>
    <w:rsid w:val="60FF240D"/>
    <w:rsid w:val="630934A6"/>
    <w:rsid w:val="638A7560"/>
    <w:rsid w:val="63DD650A"/>
    <w:rsid w:val="641F04E5"/>
    <w:rsid w:val="64C0607C"/>
    <w:rsid w:val="65AC6CC3"/>
    <w:rsid w:val="672D1356"/>
    <w:rsid w:val="676F09E1"/>
    <w:rsid w:val="696173A6"/>
    <w:rsid w:val="6A9B1DCA"/>
    <w:rsid w:val="6C2C6080"/>
    <w:rsid w:val="6C8617B8"/>
    <w:rsid w:val="6F375468"/>
    <w:rsid w:val="6FE55BEA"/>
    <w:rsid w:val="721821DB"/>
    <w:rsid w:val="752F7F08"/>
    <w:rsid w:val="756172B0"/>
    <w:rsid w:val="757200C8"/>
    <w:rsid w:val="75A44ED9"/>
    <w:rsid w:val="75E74A0A"/>
    <w:rsid w:val="76750DA6"/>
    <w:rsid w:val="76833D05"/>
    <w:rsid w:val="768F7680"/>
    <w:rsid w:val="77512F0B"/>
    <w:rsid w:val="77F80C6B"/>
    <w:rsid w:val="794414AA"/>
    <w:rsid w:val="7A7F1C49"/>
    <w:rsid w:val="7B5B7AE6"/>
    <w:rsid w:val="7BA7071E"/>
    <w:rsid w:val="7BDF6DA8"/>
    <w:rsid w:val="7C7EDC1A"/>
    <w:rsid w:val="7CCED98D"/>
    <w:rsid w:val="7D08410F"/>
    <w:rsid w:val="7D521580"/>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0"/>
    <w:qFormat/>
    <w:uiPriority w:val="0"/>
    <w:rPr>
      <w:rFonts w:hint="eastAsia" w:ascii="宋体" w:hAnsi="宋体" w:eastAsia="宋体" w:cs="宋体"/>
      <w:color w:val="000000"/>
      <w:sz w:val="18"/>
      <w:szCs w:val="18"/>
      <w:u w:val="none"/>
    </w:rPr>
  </w:style>
  <w:style w:type="character" w:customStyle="1" w:styleId="21">
    <w:name w:val="font01"/>
    <w:basedOn w:val="10"/>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19008</Words>
  <Characters>21416</Characters>
  <Lines>588</Lines>
  <Paragraphs>343</Paragraphs>
  <TotalTime>0</TotalTime>
  <ScaleCrop>false</ScaleCrop>
  <LinksUpToDate>false</LinksUpToDate>
  <CharactersWithSpaces>23248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yf</cp:lastModifiedBy>
  <cp:lastPrinted>2020-08-07T11:39:00Z</cp:lastPrinted>
  <dcterms:modified xsi:type="dcterms:W3CDTF">2025-07-28T01:54:17Z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