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4"/>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从预算单位构成看，</w:t>
      </w:r>
      <w:r>
        <w:rPr>
          <w:rFonts w:hint="eastAsia" w:ascii="仿宋_GB2312" w:hAnsi="Times New Roman" w:eastAsia="仿宋_GB2312" w:cs="Times New Roman"/>
          <w:sz w:val="28"/>
          <w:szCs w:val="28"/>
          <w:lang w:val="en-US" w:eastAsia="zh-CN"/>
        </w:rPr>
        <w:t>长子营镇</w:t>
      </w:r>
      <w:r>
        <w:rPr>
          <w:rFonts w:hint="eastAsia" w:ascii="仿宋_GB2312" w:hAnsi="Times New Roman" w:eastAsia="仿宋_GB2312" w:cs="Times New Roman"/>
          <w:sz w:val="28"/>
          <w:szCs w:val="28"/>
        </w:rPr>
        <w:t>部门预算包括：</w:t>
      </w:r>
      <w:r>
        <w:rPr>
          <w:rFonts w:hint="eastAsia" w:ascii="仿宋_GB2312" w:hAnsi="Times New Roman" w:eastAsia="仿宋_GB2312" w:cs="Times New Roman"/>
          <w:sz w:val="28"/>
          <w:szCs w:val="28"/>
          <w:lang w:val="en-US" w:eastAsia="zh-CN"/>
        </w:rPr>
        <w:t>大兴区长子营镇人民政府（本级）、大兴区长子营镇中心卫生院。</w:t>
      </w:r>
    </w:p>
    <w:p>
      <w:pPr>
        <w:tabs>
          <w:tab w:val="center" w:pos="6979"/>
        </w:tabs>
        <w:spacing w:line="580" w:lineRule="exact"/>
        <w:ind w:firstLine="548" w:firstLineChars="196"/>
        <w:rPr>
          <w:rFonts w:hint="eastAsia" w:ascii="黑体" w:eastAsia="黑体"/>
          <w:sz w:val="28"/>
          <w:szCs w:val="28"/>
          <w:lang w:val="en-US" w:eastAsia="zh-CN"/>
        </w:rPr>
      </w:pPr>
      <w:r>
        <w:rPr>
          <w:rFonts w:hint="eastAsia" w:ascii="黑体" w:eastAsia="黑体"/>
          <w:sz w:val="28"/>
          <w:szCs w:val="28"/>
        </w:rPr>
        <w:t>主要</w:t>
      </w:r>
      <w:r>
        <w:rPr>
          <w:rFonts w:hint="eastAsia" w:ascii="黑体" w:eastAsia="黑体"/>
          <w:sz w:val="28"/>
          <w:szCs w:val="28"/>
          <w:lang w:val="en-US" w:eastAsia="zh-CN"/>
        </w:rPr>
        <w:t>职责</w:t>
      </w:r>
      <w:r>
        <w:rPr>
          <w:rFonts w:hint="eastAsia" w:ascii="黑体" w:eastAsia="黑体"/>
          <w:sz w:val="28"/>
          <w:szCs w:val="28"/>
          <w:lang w:eastAsia="zh-CN"/>
        </w:rPr>
        <w:t>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ahoma"/>
          <w:color w:val="000000"/>
          <w:sz w:val="28"/>
          <w:szCs w:val="28"/>
          <w:lang w:eastAsia="zh-CN"/>
        </w:rPr>
      </w:pPr>
      <w:r>
        <w:rPr>
          <w:rFonts w:hint="eastAsia" w:ascii="仿宋" w:hAnsi="仿宋" w:eastAsia="仿宋" w:cs="Tahoma"/>
          <w:color w:val="000000"/>
          <w:sz w:val="28"/>
          <w:szCs w:val="28"/>
          <w:lang w:eastAsia="zh-CN"/>
        </w:rPr>
        <w:t>(一)贯彻执行</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"http://www.so.com/s?q=%E4%B8%8A%E7%BA%A7&amp;ie=utf-8&amp;src=internal_wenda_recommend_textn"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上级</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的各项方针政策，保障公民享有宪法规定的</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"http://www.so.com/s?q=%E7%BB%8F%E6%B5%8E&amp;ie=utf-8&amp;src=internal_wenda_recommend_textn"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经济</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"http://www.so.com/s?q=%E6%94%BF%E6%B2%BB&amp;ie=utf-8&amp;src=internal_wenda_recommend_textn"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政治</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和文化权利；制定和组织实施经济、科技和社会发展计划，组织指导好各业生产，抓好招商引资，不断培育市场体系，组织经济运行，促进经济发展。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ahoma"/>
          <w:color w:val="000000"/>
          <w:sz w:val="28"/>
          <w:szCs w:val="28"/>
          <w:lang w:eastAsia="zh-CN"/>
        </w:rPr>
      </w:pPr>
      <w:r>
        <w:rPr>
          <w:rFonts w:hint="eastAsia" w:ascii="仿宋" w:hAnsi="仿宋" w:eastAsia="仿宋" w:cs="Tahoma"/>
          <w:color w:val="000000"/>
          <w:sz w:val="28"/>
          <w:szCs w:val="28"/>
          <w:lang w:eastAsia="zh-CN"/>
        </w:rPr>
        <w:t>(二)负责本行政区域内的民政、计划生育、文化教育、卫生、体育等社会公益事业的综合性工作，维护一切经济单位和个人的正当经济权益，取缔非法经济活动，调解和处理民事纠纷，打击刑事犯罪维护社会稳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ahoma"/>
          <w:color w:val="000000"/>
          <w:sz w:val="28"/>
          <w:szCs w:val="28"/>
          <w:lang w:eastAsia="zh-CN"/>
        </w:rPr>
      </w:pPr>
      <w:r>
        <w:rPr>
          <w:rFonts w:hint="eastAsia" w:ascii="仿宋" w:hAnsi="仿宋" w:eastAsia="仿宋" w:cs="Tahoma"/>
          <w:color w:val="000000"/>
          <w:sz w:val="28"/>
          <w:szCs w:val="28"/>
          <w:lang w:eastAsia="zh-CN"/>
        </w:rPr>
        <w:t>(三)按计划组织本级财政收入和地方税的征收，完成国家财政计划，不断培植税源，管好财政资金，增强财政实力。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Tahoma"/>
          <w:color w:val="000000"/>
          <w:sz w:val="28"/>
          <w:szCs w:val="28"/>
          <w:lang w:eastAsia="zh-CN"/>
        </w:rPr>
      </w:pPr>
      <w:r>
        <w:rPr>
          <w:rFonts w:hint="eastAsia" w:ascii="仿宋" w:hAnsi="仿宋" w:eastAsia="仿宋" w:cs="Tahoma"/>
          <w:color w:val="000000"/>
          <w:sz w:val="28"/>
          <w:szCs w:val="28"/>
          <w:lang w:eastAsia="zh-CN"/>
        </w:rPr>
        <w:t>(四)抓好精神文明建设，丰富群众文化生活，提倡移风易俗，反对封建迷信，破除陈规陋习，树立社会主义新风尚。</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 w:hAnsi="仿宋" w:eastAsia="仿宋" w:cs="Tahoma"/>
          <w:color w:val="000000"/>
          <w:sz w:val="28"/>
          <w:szCs w:val="28"/>
          <w:lang w:eastAsia="zh-CN"/>
        </w:rPr>
        <w:t>(五)加强综合治理，维护社会稳定，妥善处理突发性、</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"http://www.so.com/s?q=%E7%BE%A4%E4%BD%93%E6%80%A7%E4%BA%8B%E4%BB%B6&amp;ie=utf-8&amp;src=internal_wenda_recommend_textn"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群体性事件</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，调节和处理好各种</w:t>
      </w:r>
      <w:r>
        <w:rPr>
          <w:rFonts w:hint="eastAsia" w:ascii="仿宋" w:hAnsi="仿宋" w:eastAsia="仿宋" w:cs="Tahoma"/>
          <w:color w:val="000000"/>
          <w:sz w:val="28"/>
          <w:szCs w:val="28"/>
          <w:lang w:eastAsia="zh-CN"/>
        </w:rPr>
        <w:fldChar w:fldCharType="begin"/>
      </w:r>
      <w:r>
        <w:rPr>
          <w:rFonts w:hint="eastAsia" w:ascii="仿宋" w:hAnsi="仿宋" w:eastAsia="仿宋" w:cs="Tahoma"/>
          <w:color w:val="000000"/>
          <w:sz w:val="28"/>
          <w:szCs w:val="28"/>
          <w:lang w:eastAsia="zh-CN"/>
        </w:rPr>
        <w:instrText xml:space="preserve"> HYPERLINK "http://www.so.com/s?q=%E5%88%A9%E7%9B%8A&amp;ie=utf-8&amp;src=internal_wenda_recommend_textn" \t "_blank" </w:instrText>
      </w:r>
      <w:r>
        <w:rPr>
          <w:rFonts w:hint="eastAsia" w:ascii="仿宋" w:hAnsi="仿宋" w:eastAsia="仿宋" w:cs="Tahoma"/>
          <w:color w:val="000000"/>
          <w:sz w:val="28"/>
          <w:szCs w:val="28"/>
          <w:lang w:eastAsia="zh-CN"/>
        </w:rPr>
        <w:fldChar w:fldCharType="separate"/>
      </w:r>
      <w:r>
        <w:rPr>
          <w:rFonts w:hint="eastAsia" w:ascii="仿宋" w:hAnsi="仿宋" w:eastAsia="仿宋" w:cs="Tahoma"/>
          <w:color w:val="000000"/>
          <w:sz w:val="28"/>
          <w:szCs w:val="28"/>
          <w:lang w:eastAsia="zh-CN"/>
        </w:rPr>
        <w:t>利益</w:t>
      </w:r>
      <w:r>
        <w:rPr>
          <w:rFonts w:hint="eastAsia" w:ascii="仿宋" w:hAnsi="仿宋" w:eastAsia="仿宋" w:cs="Tahoma"/>
          <w:color w:val="000000"/>
          <w:sz w:val="28"/>
          <w:szCs w:val="28"/>
          <w:lang w:eastAsia="zh-CN"/>
        </w:rPr>
        <w:fldChar w:fldCharType="end"/>
      </w:r>
      <w:r>
        <w:rPr>
          <w:rFonts w:hint="eastAsia" w:ascii="仿宋" w:hAnsi="仿宋" w:eastAsia="仿宋" w:cs="Tahoma"/>
          <w:color w:val="000000"/>
          <w:sz w:val="28"/>
          <w:szCs w:val="28"/>
          <w:lang w:eastAsia="zh-CN"/>
        </w:rPr>
        <w:t>矛盾和纠纷。</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69375.64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减少9583.19 万元，下降</w:t>
      </w:r>
      <w:r>
        <w:rPr>
          <w:rFonts w:hint="eastAsia" w:ascii="仿宋_GB2312" w:eastAsia="仿宋_GB2312"/>
          <w:sz w:val="28"/>
          <w:szCs w:val="28"/>
          <w:lang w:val="en-US" w:eastAsia="zh-CN"/>
        </w:rPr>
        <w:t>12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61005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12600.53</w:t>
      </w:r>
      <w:r>
        <w:rPr>
          <w:rFonts w:hint="eastAsia" w:ascii="仿宋_GB2312" w:eastAsia="仿宋_GB2312"/>
          <w:sz w:val="28"/>
          <w:szCs w:val="28"/>
        </w:rPr>
        <w:t>万元，下降</w:t>
      </w:r>
      <w:r>
        <w:rPr>
          <w:rFonts w:hint="eastAsia" w:ascii="仿宋_GB2312" w:eastAsia="仿宋_GB2312"/>
          <w:sz w:val="28"/>
          <w:szCs w:val="28"/>
          <w:lang w:val="en-US" w:eastAsia="zh-CN"/>
        </w:rPr>
        <w:t>17.12</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53911.13</w:t>
      </w:r>
      <w:r>
        <w:rPr>
          <w:rFonts w:hint="eastAsia" w:ascii="仿宋_GB2312" w:eastAsia="仿宋_GB2312"/>
          <w:sz w:val="28"/>
          <w:szCs w:val="28"/>
        </w:rPr>
        <w:t>万元，占收入合计的</w:t>
      </w:r>
      <w:r>
        <w:rPr>
          <w:rFonts w:hint="eastAsia" w:ascii="仿宋_GB2312" w:eastAsia="仿宋_GB2312"/>
          <w:sz w:val="28"/>
          <w:szCs w:val="28"/>
          <w:lang w:eastAsia="zh-CN"/>
        </w:rPr>
        <w:t>88.37%。</w:t>
      </w:r>
      <w:r>
        <w:rPr>
          <w:rFonts w:hint="eastAsia" w:ascii="仿宋_GB2312" w:eastAsia="仿宋_GB2312"/>
          <w:sz w:val="28"/>
          <w:szCs w:val="28"/>
        </w:rPr>
        <w:t>其中：一般公共预算财政拨款收入42858.33万元，占收入合计的</w:t>
      </w:r>
      <w:r>
        <w:rPr>
          <w:rFonts w:hint="eastAsia" w:ascii="仿宋_GB2312" w:eastAsia="仿宋_GB2312"/>
          <w:sz w:val="28"/>
          <w:szCs w:val="28"/>
          <w:lang w:val="en-US" w:eastAsia="zh-CN"/>
        </w:rPr>
        <w:t>70.25</w:t>
      </w:r>
      <w:r>
        <w:rPr>
          <w:rFonts w:hint="eastAsia" w:ascii="仿宋_GB2312" w:eastAsia="仿宋_GB2312"/>
          <w:sz w:val="28"/>
          <w:szCs w:val="28"/>
        </w:rPr>
        <w:t>%；政府性基金预算财政拨款收入11052.</w:t>
      </w:r>
      <w:r>
        <w:rPr>
          <w:rFonts w:hint="eastAsia" w:ascii="仿宋_GB2312" w:eastAsia="仿宋_GB2312"/>
          <w:sz w:val="28"/>
          <w:szCs w:val="28"/>
          <w:lang w:val="en-US" w:eastAsia="zh-CN"/>
        </w:rPr>
        <w:t>80</w:t>
      </w:r>
      <w:r>
        <w:rPr>
          <w:rFonts w:hint="eastAsia" w:ascii="仿宋_GB2312" w:eastAsia="仿宋_GB2312"/>
          <w:sz w:val="28"/>
          <w:szCs w:val="28"/>
        </w:rPr>
        <w:t>万元，占收入合计的</w:t>
      </w:r>
      <w:r>
        <w:rPr>
          <w:rFonts w:hint="eastAsia" w:ascii="仿宋_GB2312" w:eastAsia="仿宋_GB2312"/>
          <w:sz w:val="28"/>
          <w:szCs w:val="28"/>
          <w:lang w:val="en-US" w:eastAsia="zh-CN"/>
        </w:rPr>
        <w:t>18.12</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4564.09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7.48</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2529.78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4.15</w:t>
      </w:r>
      <w:r>
        <w:rPr>
          <w:rFonts w:hint="eastAsia" w:ascii="仿宋_GB2312" w:eastAsia="仿宋_GB2312"/>
          <w:sz w:val="28"/>
          <w:szCs w:val="28"/>
          <w:highlight w:val="none"/>
        </w:rPr>
        <w:t>%。</w:t>
      </w:r>
    </w:p>
    <w:p>
      <w:pPr>
        <w:pStyle w:val="4"/>
        <w:ind w:firstLine="0"/>
        <w:jc w:val="center"/>
      </w:pPr>
      <w:r>
        <w:rPr>
          <w:rFonts w:hint="eastAsia" w:ascii="仿宋_GB2312" w:eastAsia="仿宋_GB2312"/>
          <w:color w:val="000000"/>
          <w:sz w:val="32"/>
          <w:szCs w:val="32"/>
          <w:highlight w:val="none"/>
          <w:lang w:val="en-US" w:eastAsia="zh-CN"/>
        </w:rPr>
        <w:t>图1：收入决算</w:t>
      </w:r>
    </w:p>
    <w:p>
      <w:pPr>
        <w:pStyle w:val="5"/>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62717.36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减少8201.4</w:t>
      </w:r>
      <w:r>
        <w:rPr>
          <w:rFonts w:hint="eastAsia" w:ascii="仿宋_GB2312" w:eastAsia="仿宋_GB2312"/>
          <w:sz w:val="28"/>
          <w:szCs w:val="28"/>
          <w:lang w:val="en-US" w:eastAsia="zh-CN"/>
        </w:rPr>
        <w:t>6</w:t>
      </w:r>
      <w:r>
        <w:rPr>
          <w:rFonts w:hint="eastAsia" w:ascii="仿宋_GB2312" w:eastAsia="仿宋_GB2312"/>
          <w:sz w:val="28"/>
          <w:szCs w:val="28"/>
        </w:rPr>
        <w:t>万元，下降</w:t>
      </w:r>
      <w:r>
        <w:rPr>
          <w:rFonts w:hint="eastAsia" w:ascii="仿宋_GB2312" w:eastAsia="仿宋_GB2312"/>
          <w:sz w:val="28"/>
          <w:szCs w:val="28"/>
          <w:lang w:val="en-US" w:eastAsia="zh-CN"/>
        </w:rPr>
        <w:t>11.56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11751.</w:t>
      </w:r>
      <w:r>
        <w:rPr>
          <w:rFonts w:hint="eastAsia" w:ascii="仿宋_GB2312" w:eastAsia="仿宋_GB2312"/>
          <w:sz w:val="28"/>
          <w:szCs w:val="28"/>
          <w:highlight w:val="none"/>
          <w:lang w:val="en-US" w:eastAsia="zh-CN"/>
        </w:rPr>
        <w:t>39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18.74</w:t>
      </w:r>
      <w:r>
        <w:rPr>
          <w:rFonts w:hint="eastAsia" w:ascii="仿宋_GB2312" w:eastAsia="仿宋_GB2312"/>
          <w:sz w:val="28"/>
          <w:szCs w:val="28"/>
          <w:highlight w:val="none"/>
        </w:rPr>
        <w:t>%；项目支出</w:t>
      </w:r>
      <w:r>
        <w:rPr>
          <w:rFonts w:ascii="仿宋_GB2312" w:eastAsia="仿宋_GB2312"/>
          <w:sz w:val="28"/>
          <w:szCs w:val="28"/>
          <w:highlight w:val="none"/>
        </w:rPr>
        <w:t>50965.97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81.26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4"/>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54583.46</w:t>
      </w:r>
      <w:r>
        <w:rPr>
          <w:rFonts w:hint="eastAsia" w:ascii="仿宋_GB2312" w:eastAsia="仿宋_GB2312"/>
          <w:sz w:val="28"/>
          <w:szCs w:val="28"/>
        </w:rPr>
        <w:t>万元，比上年减少6971.3</w:t>
      </w:r>
      <w:r>
        <w:rPr>
          <w:rFonts w:hint="eastAsia" w:ascii="仿宋_GB2312" w:eastAsia="仿宋_GB2312"/>
          <w:sz w:val="28"/>
          <w:szCs w:val="28"/>
          <w:lang w:val="en-US" w:eastAsia="zh-CN"/>
        </w:rPr>
        <w:t>4</w:t>
      </w:r>
      <w:r>
        <w:rPr>
          <w:rFonts w:hint="eastAsia" w:ascii="仿宋_GB2312" w:eastAsia="仿宋_GB2312"/>
          <w:sz w:val="28"/>
          <w:szCs w:val="28"/>
        </w:rPr>
        <w:t xml:space="preserve"> 万元，下降</w:t>
      </w:r>
      <w:r>
        <w:rPr>
          <w:rFonts w:hint="eastAsia" w:ascii="仿宋_GB2312" w:eastAsia="仿宋_GB2312"/>
          <w:sz w:val="28"/>
          <w:szCs w:val="28"/>
          <w:lang w:val="en-US" w:eastAsia="zh-CN"/>
        </w:rPr>
        <w:t>11.33</w:t>
      </w:r>
      <w:r>
        <w:rPr>
          <w:rFonts w:hint="eastAsia" w:ascii="仿宋_GB2312" w:eastAsia="仿宋_GB2312"/>
          <w:sz w:val="28"/>
          <w:szCs w:val="28"/>
        </w:rPr>
        <w:t>%。</w:t>
      </w:r>
      <w:r>
        <w:rPr>
          <w:rFonts w:hint="eastAsia" w:ascii="仿宋_GB2312" w:eastAsia="仿宋_GB2312"/>
          <w:sz w:val="28"/>
          <w:szCs w:val="28"/>
          <w:highlight w:val="none"/>
          <w:lang w:val="en-US" w:eastAsia="zh-CN"/>
        </w:rPr>
        <w:t>主要原因：</w:t>
      </w:r>
      <w:r>
        <w:rPr>
          <w:rFonts w:hint="eastAsia" w:ascii="仿宋_GB2312" w:eastAsia="仿宋_GB2312"/>
          <w:sz w:val="28"/>
          <w:szCs w:val="28"/>
          <w:lang w:val="en-US" w:eastAsia="zh-CN"/>
        </w:rPr>
        <w:t>政府性基金预算财政拨款收入比上年减少10411.52万元，其中2023年国道230（国道104-九德路）道路工程项目4,281.42万元，大兴区农村集中供水工程户表安装项目525.10万元，大兴区青云店镇、安定镇、采育镇、长子营镇20个村村内污水管线建设项目1074万元，农村地区公厕改造补助资金780万元，平原造林工程1963.42万元。</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43515.01</w:t>
      </w:r>
      <w:r>
        <w:rPr>
          <w:rFonts w:hint="eastAsia" w:ascii="仿宋_GB2312" w:eastAsia="仿宋_GB2312"/>
          <w:sz w:val="28"/>
          <w:szCs w:val="28"/>
        </w:rPr>
        <w:t>万元，主要用于以下方面（按大类）：一般公共服务支出9621.6</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17.63</w:t>
      </w:r>
      <w:r>
        <w:rPr>
          <w:rFonts w:hint="eastAsia" w:ascii="仿宋_GB2312" w:eastAsia="仿宋_GB2312"/>
          <w:sz w:val="28"/>
          <w:szCs w:val="28"/>
        </w:rPr>
        <w:t>%</w:t>
      </w:r>
      <w:r>
        <w:rPr>
          <w:rFonts w:hint="eastAsia" w:ascii="仿宋_GB2312" w:eastAsia="仿宋_GB2312"/>
          <w:sz w:val="28"/>
          <w:szCs w:val="28"/>
          <w:lang w:eastAsia="zh-CN"/>
        </w:rPr>
        <w:t>；公共安全支出21.14</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0.04%；文化旅游体育与传媒支出318.62万元，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0.58%；社会保障和就业支出1443.61万元，占本年财政拨款支出2.64%；卫生健康支出3798.65万元，占本年财政拨款支出6.96%；节能环保支出3463.1万元，占本年财政拨款支出6.34%；城乡社区支出4427.84万元，占本年财政拨款支出8.11%；农林水支出19152.01万元，占本年财政拨款支出35.09%；自然资源海洋气象等支出257.12万元，占本年财政拨款支出0.47%；住房保障支出612.52万元，占本年财政拨款支出1.12%；灾害防治及应急管理支出398.8万元，占本年财政拨款支出0.73%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1,一般公共服务支出(类)2024年度年初预算8374.89万元，2024年度决算9621.6</w:t>
      </w:r>
      <w:r>
        <w:rPr>
          <w:rFonts w:hint="eastAsia" w:ascii="仿宋_GB2312" w:eastAsia="仿宋_GB2312" w:cs="Times New Roman"/>
          <w:sz w:val="28"/>
          <w:szCs w:val="28"/>
          <w:lang w:val="en-US" w:eastAsia="zh-CN"/>
        </w:rPr>
        <w:t>0</w:t>
      </w:r>
      <w:r>
        <w:rPr>
          <w:rFonts w:hint="eastAsia" w:ascii="仿宋_GB2312" w:hAnsi="Times New Roman" w:eastAsia="仿宋_GB2312" w:cs="Times New Roman"/>
          <w:sz w:val="28"/>
          <w:szCs w:val="28"/>
        </w:rPr>
        <w:t>万元，完成年初预算的114.89%。</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人大事务（款）2024年度年初预算20万元，2024年度决算115.7</w:t>
      </w:r>
      <w:r>
        <w:rPr>
          <w:rFonts w:hint="eastAsia" w:ascii="仿宋_GB2312" w:eastAsia="仿宋_GB2312" w:cs="Times New Roman"/>
          <w:sz w:val="28"/>
          <w:szCs w:val="28"/>
          <w:lang w:val="en-US" w:eastAsia="zh-CN"/>
        </w:rPr>
        <w:t>2</w:t>
      </w:r>
      <w:r>
        <w:rPr>
          <w:rFonts w:hint="eastAsia" w:ascii="仿宋_GB2312" w:hAnsi="Times New Roman" w:eastAsia="仿宋_GB2312" w:cs="Times New Roman"/>
          <w:sz w:val="28"/>
          <w:szCs w:val="28"/>
        </w:rPr>
        <w:t>万元，完成年初预算的578.65%。</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政府办公厅（室）及相关机构事务（款）2024年度年初预算6847.19万元，2024年度决算6803.89万元，完成年初预算的99.37%。</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统计信息事务（款）2024年度年初预算15.12万元，2024年度决算74.11万元，完成年初预算的490.15%。</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审计事务（款）2024年度年初预算40万元，2024年度决算40万元，完成年初预算的100%。</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民族事务（款）2024年度年初预算2万元，2024年度决算2万元，完成年初预算的100%。</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群众团体事务（款）2024年度年初预算18.94万元，2024年度决算14.01万元，完成年初预算的73.97%。</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组织事务（款）2024年度年初预算1289.25万元，2024年度决算2029.46万元，完成年初预算的157.41%。</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宣传事务（款）2024年度年初预算133.4万元，2024年度决算108.66万元，完成年初预算的81.45%。</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其他共产党事务支出（款）2024年度年初预算4万元，2024年度决算400.98万元，完成年初预算的10024.5%。</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市场监督管理事务（款）2024年度年初预算5万元，2024年度决算14.77万元，完成年初预算的295.4%。</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社会工作事务（款）2024年度年初预算0万元，2024年度决算18万元。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2,公共安全支出(类)2024年度年初预算53万元，2024年度决算21.14万元，完成年初预算的39.89%。</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司法（款）2024年度年初预算53万元，2024年度决算21.14万元，完成年初预算的39.89%。</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3,文化旅游体育与传媒支出(类)2024年度年初预算318.61万元，2024年度决算318.6</w:t>
      </w:r>
      <w:r>
        <w:rPr>
          <w:rFonts w:hint="eastAsia" w:ascii="仿宋_GB2312" w:eastAsia="仿宋_GB2312" w:cs="Times New Roman"/>
          <w:sz w:val="28"/>
          <w:szCs w:val="28"/>
          <w:lang w:val="en-US" w:eastAsia="zh-CN"/>
        </w:rPr>
        <w:t>2</w:t>
      </w:r>
      <w:r>
        <w:rPr>
          <w:rFonts w:hint="eastAsia" w:ascii="仿宋_GB2312" w:hAnsi="Times New Roman" w:eastAsia="仿宋_GB2312" w:cs="Times New Roman"/>
          <w:sz w:val="28"/>
          <w:szCs w:val="28"/>
        </w:rPr>
        <w:t>万元，完成年初预算的100.01%。</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文化和旅游（款）2024年度年初预算247万元，2024年度决算243.6万元，完成年初预算的98.62%。</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体育（款）2024年度年初预算30万元，2024年度决算30万元，完成年初预算的100%。</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其他文化旅游体育与传媒支出（款）2024年度年初预算41.61万元，2024年度决算45.02万元，完成年初预算的108.2%。</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4,社会保障和就业支出(类)2024年度年初预算1274.82万元，2024年度决算1443.61万元，完成年初预算的113.24%。</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民政管理事务（款）2024年度年初预算65万元，2024年度决算58.83万元，完成年初预算的90.51%。</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行政事业单位养老支出（款）2024年度年初预算730.1万元，2024年度决算826.55万元，完成年初预算的113.21%。</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就业补助（款）2024年度年初预算68万元，2024年度决算178.66万元，完成年初预算的262.74%。</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抚恤（款）2024年度年初预算144.5万元，2024年度决算103.34万元，完成年初预算的71.52%。</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退役安置（款）2024年度年初预算1万元，2024年度决算0.35万元，完成年初预算的35%。</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社会福利（款）2024年度年初预算2万元，2024年度决算46.4万元，完成年初预算的2320%。</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残疾人事业（款）2024年度年初预算147.7万元，2024年度决算126.71万元，完成年初预算的85.79%。</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最低生活保障（款）2024年度年初预算5万元，2024年度决算4.25万元，完成年初预算的85%。</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临时救助（款）2024年度年初预算8.12万元，2024年度决算0.96万元，完成年初预算的11.82%。</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特困人员救助供养（款）2024年度年初预算27.8万元，2024年度决算23.49万元，完成年初预算的84.5%。</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其他生活救助（款）2024年度年初预算0万元，2024年度决算2.4万元。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退役军人管理事务（款）2024年度年初预算10万元，2024年度决算3.53万元，完成年初预算的35.3%。</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其他社会保障和就业支出（款）2024年度年初预算65.6万元，2024年度决算68.14万元，完成年初预算的103.87%。</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5,卫生健康支出(类)2024年度年初预算2927.36万元，2024年度决算3798.65万元，完成年初预算的129.76%。</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基层医疗卫生机构（款）2024年度年初预算1603.9万元，2024年度决算1691.67万元，完成年初预算的105.47%。</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公共卫生（款）2024年度年初预算750万元，2024年度决算966.18万元，完成年初预算的128.82%。</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计划生育事务（款）2024年度年初预算67.06万元，2024年度决算297.85万元，完成年初预算的444.15%。</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行政事业单位医疗（款）2024年度年初预算506.4万元，2024年度决算580.23万元，完成年初预算的114.58%。</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优抚对象医疗（款）2024年度年初预算0万元，2024年度决算15万元。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中医药事务（款）2024年度年初预算0万元，2024年度决算9.2万元。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其他卫生健康支出（款）2024年度年初预算0万元，2024年度决算238.51万元。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6,节能环保支出(类)2024年度年初预算10万元，2024年度决算3463.1万元，完成年初预算的34631%。</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污染防治（款）2024年度年初预算10万元，2024年度决算3463.1万元，完成年初预算的34631%。</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7,城乡社区支出(类)2024年度年初预算1275.96万元，2024年度决算4427.84万元，完成年初预算的347.02%。</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城乡社区管理事务（款）2024年度年初预算668.96万元，2024年度决算2011.77万元，完成年初预算的300.73%。</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城乡社区规划与管理（款）2024年度年初预算0万元，2024年度决算259万元。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城乡社区公共设施（款）2024年度年初预算73.5万元，2024年度决算1207.34万元，完成年初预算的1642.64%。</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城乡社区环境卫生（款）2024年度年初预算533.5万元，2024年度决算949.73万元，完成年初预算的178.02%。</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8,农林水支出(类)2024年度年初预算3846.9万元，2024年度决算19152.01万元，完成年初预算的497.86%。</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农业农村（款）2024年度年初预算1460.98万元，2024年度决算3925.32万元，完成年初预算的268.68%。</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林业和草原（款）2024年度年初预算76.5万元，2024年度决算12583.73万元，完成年初预算的16449.32%。</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水利（款）2024年度年初预算494.8万元，2024年度决算384.67万元，完成年初预算的77.74%。</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巩固脱贫攻坚成果衔接乡村振兴（款）2024年度年初预算0万元，2024年度决算60万元。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农村综合改革（款）2024年度年初预算1814.62万元，2024年度决算2192.29万元，完成年初预算的120.81%。</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普惠金融发展支出（款）2024年度年初预算0万元，2024年度决算6万元。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9,自然资源海洋气象等支出(类)2024年度年初预算0万元，2024年度决算257.12万元。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自然资源事务（款）2024年度年初预算0万元，2024年度决算257.12万元。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10,住房保障支出(类)2024年度年初预算0万元，2024年度决算612.52万元。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住房改革支出（款）2024年度年初预算0万元，2024年度决算612.52万元。</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11,灾害防治及应急管理支出(类)2024年度年初预算446.26万元，2024年度决算398.8万元，完成年初预算的89.36%。</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应急管理事务（款）2024年度年初预算321万元，2024年度决算286.75万元，完成年初预算的89.33%。</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消防救援事务（款）2024年度年初预算125.26万元，2024年度决算102.04万元，完成年初预算的81.46%。</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自然灾害救灾及恢复重建支出（款）2024年度年初预算0万元，2024年度决算10万元</w:t>
      </w:r>
      <w:bookmarkStart w:id="1" w:name="_GoBack"/>
      <w:bookmarkEnd w:id="1"/>
      <w:r>
        <w:rPr>
          <w:rFonts w:hint="eastAsia" w:ascii="仿宋_GB2312" w:hAnsi="Times New Roman" w:eastAsia="仿宋_GB2312" w:cs="Times New Roman"/>
          <w:sz w:val="28"/>
          <w:szCs w:val="28"/>
        </w:rPr>
        <w:t>。</w:t>
      </w:r>
    </w:p>
    <w:p>
      <w:pPr>
        <w:tabs>
          <w:tab w:val="center" w:pos="6979"/>
        </w:tabs>
        <w:spacing w:line="580" w:lineRule="exact"/>
        <w:ind w:firstLine="57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11052.8</w:t>
      </w:r>
      <w:r>
        <w:rPr>
          <w:rFonts w:hint="eastAsia" w:ascii="仿宋_GB2312" w:eastAsia="仿宋_GB2312"/>
          <w:sz w:val="28"/>
          <w:szCs w:val="28"/>
        </w:rPr>
        <w:t>万元，主要用于以下方面（按大类）：城乡社区支出11008.02 万元，占本年财政拨款支出</w:t>
      </w:r>
      <w:r>
        <w:rPr>
          <w:rFonts w:hint="eastAsia" w:ascii="仿宋_GB2312" w:eastAsia="仿宋_GB2312"/>
          <w:sz w:val="28"/>
          <w:szCs w:val="28"/>
          <w:lang w:val="en-US" w:eastAsia="zh-CN"/>
        </w:rPr>
        <w:t>20.17</w:t>
      </w:r>
      <w:r>
        <w:rPr>
          <w:rFonts w:hint="eastAsia" w:ascii="仿宋_GB2312" w:eastAsia="仿宋_GB2312"/>
          <w:sz w:val="28"/>
          <w:szCs w:val="28"/>
        </w:rPr>
        <w:t>%；资源勘探工业信息等支出</w:t>
      </w:r>
      <w:r>
        <w:rPr>
          <w:rFonts w:hint="eastAsia" w:ascii="仿宋_GB2312" w:eastAsia="仿宋_GB2312"/>
          <w:sz w:val="28"/>
          <w:szCs w:val="28"/>
          <w:lang w:val="en-US" w:eastAsia="zh-CN"/>
        </w:rPr>
        <w:t>0.47万元，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0%；其他支出44.31万元，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2344.5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11008.02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469.53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2344.5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11008.02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469.53</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2、“资源勘探工业信息等支出”（类）202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0.47</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“超长期特别国债安排的支出”（款）202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0.47</w:t>
      </w:r>
      <w:r>
        <w:rPr>
          <w:rFonts w:hint="eastAsia" w:ascii="仿宋_GB2312" w:eastAsia="仿宋_GB2312"/>
          <w:sz w:val="28"/>
          <w:szCs w:val="28"/>
        </w:rPr>
        <w:t>万元。</w:t>
      </w:r>
    </w:p>
    <w:p>
      <w:pPr>
        <w:pStyle w:val="2"/>
        <w:numPr>
          <w:ilvl w:val="0"/>
          <w:numId w:val="1"/>
        </w:numPr>
        <w:ind w:left="560" w:leftChars="0" w:firstLine="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“其他支出”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2024年度年初预算数0万元，2024年度决算44.31万元。</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“彩票公益金安排的支出”（款）2024年度年初预算0万元，2024年度决算44.31万元。</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7269.6</w:t>
      </w:r>
      <w:r>
        <w:rPr>
          <w:rFonts w:hint="eastAsia" w:ascii="仿宋_GB2312" w:eastAsia="仿宋_GB2312"/>
          <w:sz w:val="28"/>
          <w:szCs w:val="28"/>
          <w:lang w:val="en-US" w:eastAsia="zh-CN"/>
        </w:rPr>
        <w:t>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w:t>
      </w:r>
      <w:r>
        <w:rPr>
          <w:rFonts w:hint="eastAsia" w:ascii="仿宋_GB2312" w:eastAsia="仿宋_GB2312"/>
          <w:sz w:val="28"/>
          <w:szCs w:val="28"/>
          <w:lang w:val="en-US" w:eastAsia="zh-CN"/>
        </w:rPr>
        <w:t>6587万元：</w:t>
      </w:r>
      <w:r>
        <w:rPr>
          <w:rFonts w:hint="eastAsia" w:ascii="仿宋_GB2312" w:eastAsia="仿宋_GB2312"/>
          <w:sz w:val="28"/>
          <w:szCs w:val="28"/>
        </w:rPr>
        <w:t>包括包括基本工资778.98</w:t>
      </w:r>
      <w:r>
        <w:rPr>
          <w:rFonts w:hint="eastAsia" w:ascii="仿宋_GB2312" w:eastAsia="仿宋_GB2312"/>
          <w:sz w:val="28"/>
          <w:szCs w:val="28"/>
          <w:lang w:val="en-US" w:eastAsia="zh-CN"/>
        </w:rPr>
        <w:t>万元</w:t>
      </w:r>
      <w:r>
        <w:rPr>
          <w:rFonts w:ascii="仿宋_GB2312" w:eastAsia="仿宋_GB2312"/>
          <w:sz w:val="28"/>
          <w:szCs w:val="28"/>
        </w:rPr>
        <w:t>、津贴补贴</w:t>
      </w:r>
      <w:r>
        <w:rPr>
          <w:rFonts w:hint="eastAsia" w:ascii="仿宋_GB2312" w:eastAsia="仿宋_GB2312"/>
          <w:sz w:val="28"/>
          <w:szCs w:val="28"/>
        </w:rPr>
        <w:t>2003.50</w:t>
      </w:r>
      <w:r>
        <w:rPr>
          <w:rFonts w:hint="eastAsia" w:ascii="仿宋_GB2312" w:eastAsia="仿宋_GB2312"/>
          <w:sz w:val="28"/>
          <w:szCs w:val="28"/>
          <w:lang w:val="en-US" w:eastAsia="zh-CN"/>
        </w:rPr>
        <w:t>万元</w:t>
      </w:r>
      <w:r>
        <w:rPr>
          <w:rFonts w:ascii="仿宋_GB2312" w:eastAsia="仿宋_GB2312"/>
          <w:sz w:val="28"/>
          <w:szCs w:val="28"/>
        </w:rPr>
        <w:t>、奖金</w:t>
      </w:r>
      <w:r>
        <w:rPr>
          <w:rFonts w:hint="eastAsia" w:ascii="仿宋_GB2312" w:eastAsia="仿宋_GB2312"/>
          <w:sz w:val="28"/>
          <w:szCs w:val="28"/>
        </w:rPr>
        <w:t>501.1</w:t>
      </w:r>
      <w:r>
        <w:rPr>
          <w:rFonts w:hint="eastAsia" w:ascii="仿宋_GB2312" w:eastAsia="仿宋_GB2312"/>
          <w:sz w:val="28"/>
          <w:szCs w:val="28"/>
          <w:lang w:val="en-US" w:eastAsia="zh-CN"/>
        </w:rPr>
        <w:t>2万元</w:t>
      </w:r>
      <w:r>
        <w:rPr>
          <w:rFonts w:ascii="仿宋_GB2312" w:eastAsia="仿宋_GB2312"/>
          <w:sz w:val="28"/>
          <w:szCs w:val="28"/>
        </w:rPr>
        <w:t>、伙食补助费</w:t>
      </w:r>
      <w:r>
        <w:rPr>
          <w:rFonts w:hint="eastAsia" w:ascii="仿宋_GB2312" w:eastAsia="仿宋_GB2312"/>
          <w:sz w:val="28"/>
          <w:szCs w:val="28"/>
          <w:lang w:val="en-US" w:eastAsia="zh-CN"/>
        </w:rPr>
        <w:t>0万元</w:t>
      </w:r>
      <w:r>
        <w:rPr>
          <w:rFonts w:ascii="仿宋_GB2312" w:eastAsia="仿宋_GB2312"/>
          <w:sz w:val="28"/>
          <w:szCs w:val="28"/>
        </w:rPr>
        <w:t>、绩效工资</w:t>
      </w:r>
      <w:r>
        <w:rPr>
          <w:rFonts w:hint="eastAsia" w:ascii="仿宋_GB2312" w:eastAsia="仿宋_GB2312"/>
          <w:sz w:val="28"/>
          <w:szCs w:val="28"/>
        </w:rPr>
        <w:t>1354.8</w:t>
      </w:r>
      <w:r>
        <w:rPr>
          <w:rFonts w:hint="eastAsia" w:ascii="仿宋_GB2312" w:eastAsia="仿宋_GB2312"/>
          <w:sz w:val="28"/>
          <w:szCs w:val="28"/>
          <w:lang w:val="en-US" w:eastAsia="zh-CN"/>
        </w:rPr>
        <w:t>6万元</w:t>
      </w:r>
      <w:r>
        <w:rPr>
          <w:rFonts w:ascii="仿宋_GB2312" w:eastAsia="仿宋_GB2312"/>
          <w:sz w:val="28"/>
          <w:szCs w:val="28"/>
        </w:rPr>
        <w:t>、</w:t>
      </w:r>
      <w:r>
        <w:rPr>
          <w:rFonts w:hint="eastAsia" w:ascii="仿宋_GB2312" w:eastAsia="仿宋_GB2312"/>
          <w:sz w:val="28"/>
          <w:szCs w:val="28"/>
          <w:lang w:val="en-US" w:eastAsia="zh-CN"/>
        </w:rPr>
        <w:t>机关事业单位基本养老保险缴费506.54万元</w:t>
      </w:r>
      <w:r>
        <w:rPr>
          <w:rFonts w:ascii="仿宋_GB2312" w:eastAsia="仿宋_GB2312"/>
          <w:sz w:val="28"/>
          <w:szCs w:val="28"/>
        </w:rPr>
        <w:t>、</w:t>
      </w:r>
      <w:r>
        <w:rPr>
          <w:rFonts w:hint="eastAsia" w:ascii="仿宋_GB2312" w:eastAsia="仿宋_GB2312"/>
          <w:sz w:val="28"/>
          <w:szCs w:val="28"/>
          <w:lang w:val="en-US" w:eastAsia="zh-CN"/>
        </w:rPr>
        <w:t>职业年金缴费253.01万元</w:t>
      </w:r>
      <w:r>
        <w:rPr>
          <w:rFonts w:ascii="仿宋_GB2312" w:eastAsia="仿宋_GB2312"/>
          <w:sz w:val="28"/>
          <w:szCs w:val="28"/>
        </w:rPr>
        <w:t>、</w:t>
      </w:r>
      <w:r>
        <w:rPr>
          <w:rFonts w:hint="eastAsia" w:ascii="仿宋_GB2312" w:eastAsia="仿宋_GB2312"/>
          <w:sz w:val="28"/>
          <w:szCs w:val="28"/>
        </w:rPr>
        <w:t>职工基本医疗保险缴费444.24</w:t>
      </w:r>
      <w:r>
        <w:rPr>
          <w:rFonts w:hint="eastAsia" w:ascii="仿宋_GB2312" w:eastAsia="仿宋_GB2312"/>
          <w:sz w:val="28"/>
          <w:szCs w:val="28"/>
          <w:lang w:val="en-US" w:eastAsia="zh-CN"/>
        </w:rPr>
        <w:t>万元</w:t>
      </w:r>
      <w:r>
        <w:rPr>
          <w:rFonts w:ascii="仿宋_GB2312" w:eastAsia="仿宋_GB2312"/>
          <w:sz w:val="28"/>
          <w:szCs w:val="28"/>
        </w:rPr>
        <w:t>、</w:t>
      </w:r>
      <w:r>
        <w:rPr>
          <w:rFonts w:hint="eastAsia" w:ascii="仿宋_GB2312" w:eastAsia="仿宋_GB2312"/>
          <w:sz w:val="28"/>
          <w:szCs w:val="28"/>
        </w:rPr>
        <w:t>公务员医疗补助缴费135.99</w:t>
      </w:r>
      <w:r>
        <w:rPr>
          <w:rFonts w:hint="eastAsia" w:ascii="仿宋_GB2312" w:eastAsia="仿宋_GB2312"/>
          <w:sz w:val="28"/>
          <w:szCs w:val="28"/>
          <w:lang w:val="en-US" w:eastAsia="zh-CN"/>
        </w:rPr>
        <w:t>万元、</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51.14万元</w:t>
      </w:r>
      <w:r>
        <w:rPr>
          <w:rFonts w:ascii="仿宋_GB2312" w:eastAsia="仿宋_GB2312"/>
          <w:sz w:val="28"/>
          <w:szCs w:val="28"/>
        </w:rPr>
        <w:t>、</w:t>
      </w:r>
      <w:r>
        <w:rPr>
          <w:rFonts w:hint="eastAsia" w:ascii="仿宋_GB2312" w:eastAsia="仿宋_GB2312"/>
          <w:sz w:val="28"/>
          <w:szCs w:val="28"/>
          <w:lang w:val="en-US" w:eastAsia="zh-CN"/>
        </w:rPr>
        <w:t>住房公积金557.62万元、医疗费0万元、其他工资福利支出0万元</w:t>
      </w:r>
      <w:r>
        <w:rPr>
          <w:rFonts w:hint="eastAsia" w:ascii="仿宋_GB2312" w:eastAsia="仿宋_GB2312"/>
          <w:sz w:val="28"/>
          <w:szCs w:val="28"/>
        </w:rPr>
        <w:t>；（2）商品和服务支出547.80</w:t>
      </w:r>
      <w:r>
        <w:rPr>
          <w:rFonts w:hint="eastAsia" w:ascii="仿宋_GB2312" w:eastAsia="仿宋_GB2312"/>
          <w:sz w:val="28"/>
          <w:szCs w:val="28"/>
          <w:lang w:val="en-US" w:eastAsia="zh-CN"/>
        </w:rPr>
        <w:t>万元：</w:t>
      </w:r>
      <w:r>
        <w:rPr>
          <w:rFonts w:hint="eastAsia" w:ascii="仿宋_GB2312" w:eastAsia="仿宋_GB2312"/>
          <w:sz w:val="28"/>
          <w:szCs w:val="28"/>
        </w:rPr>
        <w:t>包括</w:t>
      </w:r>
      <w:r>
        <w:rPr>
          <w:rFonts w:ascii="仿宋_GB2312" w:eastAsia="仿宋_GB2312"/>
          <w:sz w:val="28"/>
          <w:szCs w:val="28"/>
        </w:rPr>
        <w:t>办公费</w:t>
      </w:r>
      <w:r>
        <w:rPr>
          <w:rFonts w:hint="eastAsia" w:ascii="仿宋_GB2312" w:eastAsia="仿宋_GB2312"/>
          <w:sz w:val="28"/>
          <w:szCs w:val="28"/>
        </w:rPr>
        <w:t>38.5</w:t>
      </w:r>
      <w:r>
        <w:rPr>
          <w:rFonts w:hint="eastAsia" w:ascii="仿宋_GB2312" w:eastAsia="仿宋_GB2312"/>
          <w:sz w:val="28"/>
          <w:szCs w:val="28"/>
          <w:lang w:val="en-US" w:eastAsia="zh-CN"/>
        </w:rPr>
        <w:t>6万元</w:t>
      </w:r>
      <w:r>
        <w:rPr>
          <w:rFonts w:ascii="仿宋_GB2312" w:eastAsia="仿宋_GB2312"/>
          <w:sz w:val="28"/>
          <w:szCs w:val="28"/>
        </w:rPr>
        <w:t>、印刷费</w:t>
      </w:r>
      <w:r>
        <w:rPr>
          <w:rFonts w:hint="eastAsia" w:ascii="仿宋_GB2312" w:eastAsia="仿宋_GB2312"/>
          <w:sz w:val="28"/>
          <w:szCs w:val="28"/>
          <w:lang w:val="en-US" w:eastAsia="zh-CN"/>
        </w:rPr>
        <w:t>0万元</w:t>
      </w:r>
      <w:r>
        <w:rPr>
          <w:rFonts w:ascii="仿宋_GB2312" w:eastAsia="仿宋_GB2312"/>
          <w:sz w:val="28"/>
          <w:szCs w:val="28"/>
        </w:rPr>
        <w:t>、咨询费</w:t>
      </w:r>
      <w:r>
        <w:rPr>
          <w:rFonts w:hint="eastAsia" w:ascii="仿宋_GB2312" w:eastAsia="仿宋_GB2312"/>
          <w:sz w:val="28"/>
          <w:szCs w:val="28"/>
          <w:lang w:val="en-US" w:eastAsia="zh-CN"/>
        </w:rPr>
        <w:t>0万元</w:t>
      </w:r>
      <w:r>
        <w:rPr>
          <w:rFonts w:ascii="仿宋_GB2312" w:eastAsia="仿宋_GB2312"/>
          <w:sz w:val="28"/>
          <w:szCs w:val="28"/>
        </w:rPr>
        <w:t>、手续费</w:t>
      </w:r>
      <w:r>
        <w:rPr>
          <w:rFonts w:hint="eastAsia" w:ascii="仿宋_GB2312" w:eastAsia="仿宋_GB2312"/>
          <w:sz w:val="28"/>
          <w:szCs w:val="28"/>
          <w:lang w:val="en-US" w:eastAsia="zh-CN"/>
        </w:rPr>
        <w:t>0万元</w:t>
      </w:r>
      <w:r>
        <w:rPr>
          <w:rFonts w:ascii="仿宋_GB2312" w:eastAsia="仿宋_GB2312"/>
          <w:sz w:val="28"/>
          <w:szCs w:val="28"/>
        </w:rPr>
        <w:t>、水费</w:t>
      </w:r>
      <w:r>
        <w:rPr>
          <w:rFonts w:hint="eastAsia" w:ascii="仿宋_GB2312" w:eastAsia="仿宋_GB2312"/>
          <w:sz w:val="28"/>
          <w:szCs w:val="28"/>
          <w:lang w:val="en-US" w:eastAsia="zh-CN"/>
        </w:rPr>
        <w:t>0万元</w:t>
      </w:r>
      <w:r>
        <w:rPr>
          <w:rFonts w:ascii="仿宋_GB2312" w:eastAsia="仿宋_GB2312"/>
          <w:sz w:val="28"/>
          <w:szCs w:val="28"/>
        </w:rPr>
        <w:t>、电费</w:t>
      </w:r>
      <w:r>
        <w:rPr>
          <w:rFonts w:hint="eastAsia" w:ascii="仿宋_GB2312" w:eastAsia="仿宋_GB2312"/>
          <w:sz w:val="28"/>
          <w:szCs w:val="28"/>
        </w:rPr>
        <w:t>75.</w:t>
      </w:r>
      <w:r>
        <w:rPr>
          <w:rFonts w:hint="eastAsia" w:ascii="仿宋_GB2312" w:eastAsia="仿宋_GB2312"/>
          <w:sz w:val="28"/>
          <w:szCs w:val="28"/>
          <w:lang w:val="en-US" w:eastAsia="zh-CN"/>
        </w:rPr>
        <w:t>20万元</w:t>
      </w:r>
      <w:r>
        <w:rPr>
          <w:rFonts w:ascii="仿宋_GB2312" w:eastAsia="仿宋_GB2312"/>
          <w:sz w:val="28"/>
          <w:szCs w:val="28"/>
        </w:rPr>
        <w:t>、邮电费</w:t>
      </w:r>
      <w:r>
        <w:rPr>
          <w:rFonts w:hint="eastAsia" w:ascii="仿宋_GB2312" w:eastAsia="仿宋_GB2312"/>
          <w:sz w:val="28"/>
          <w:szCs w:val="28"/>
        </w:rPr>
        <w:t>19.01</w:t>
      </w:r>
      <w:r>
        <w:rPr>
          <w:rFonts w:hint="eastAsia" w:ascii="仿宋_GB2312" w:eastAsia="仿宋_GB2312"/>
          <w:sz w:val="28"/>
          <w:szCs w:val="28"/>
          <w:lang w:val="en-US" w:eastAsia="zh-CN"/>
        </w:rPr>
        <w:t>万元</w:t>
      </w:r>
      <w:r>
        <w:rPr>
          <w:rFonts w:ascii="仿宋_GB2312" w:eastAsia="仿宋_GB2312"/>
          <w:sz w:val="28"/>
          <w:szCs w:val="28"/>
        </w:rPr>
        <w:t>、取暖费</w:t>
      </w:r>
      <w:r>
        <w:rPr>
          <w:rFonts w:hint="eastAsia" w:ascii="仿宋_GB2312" w:eastAsia="仿宋_GB2312"/>
          <w:sz w:val="28"/>
          <w:szCs w:val="28"/>
        </w:rPr>
        <w:t>190.81</w:t>
      </w:r>
      <w:r>
        <w:rPr>
          <w:rFonts w:hint="eastAsia" w:ascii="仿宋_GB2312" w:eastAsia="仿宋_GB2312"/>
          <w:sz w:val="28"/>
          <w:szCs w:val="28"/>
          <w:lang w:val="en-US" w:eastAsia="zh-CN"/>
        </w:rPr>
        <w:t>万元</w:t>
      </w:r>
      <w:r>
        <w:rPr>
          <w:rFonts w:ascii="仿宋_GB2312" w:eastAsia="仿宋_GB2312"/>
          <w:sz w:val="28"/>
          <w:szCs w:val="28"/>
        </w:rPr>
        <w:t>、物业管理费</w:t>
      </w:r>
      <w:r>
        <w:rPr>
          <w:rFonts w:hint="eastAsia" w:ascii="仿宋_GB2312" w:eastAsia="仿宋_GB2312"/>
          <w:sz w:val="28"/>
          <w:szCs w:val="28"/>
          <w:lang w:val="en-US" w:eastAsia="zh-CN"/>
        </w:rPr>
        <w:t>0万元</w:t>
      </w:r>
      <w:r>
        <w:rPr>
          <w:rFonts w:ascii="仿宋_GB2312" w:eastAsia="仿宋_GB2312"/>
          <w:sz w:val="28"/>
          <w:szCs w:val="28"/>
        </w:rPr>
        <w:t>、差旅费</w:t>
      </w:r>
      <w:r>
        <w:rPr>
          <w:rFonts w:hint="eastAsia" w:ascii="仿宋_GB2312" w:eastAsia="仿宋_GB2312"/>
          <w:sz w:val="28"/>
          <w:szCs w:val="28"/>
        </w:rPr>
        <w:t>12.69</w:t>
      </w:r>
      <w:r>
        <w:rPr>
          <w:rFonts w:hint="eastAsia" w:ascii="仿宋_GB2312" w:eastAsia="仿宋_GB2312"/>
          <w:sz w:val="28"/>
          <w:szCs w:val="28"/>
          <w:lang w:val="en-US" w:eastAsia="zh-CN"/>
        </w:rPr>
        <w:t>万元</w:t>
      </w:r>
      <w:r>
        <w:rPr>
          <w:rFonts w:ascii="仿宋_GB2312" w:eastAsia="仿宋_GB2312"/>
          <w:sz w:val="28"/>
          <w:szCs w:val="28"/>
        </w:rPr>
        <w:t>、因公出国（境）费</w:t>
      </w:r>
      <w:r>
        <w:rPr>
          <w:rFonts w:hint="eastAsia" w:ascii="仿宋_GB2312" w:eastAsia="仿宋_GB2312"/>
          <w:sz w:val="28"/>
          <w:szCs w:val="28"/>
          <w:lang w:val="en-US" w:eastAsia="zh-CN"/>
        </w:rPr>
        <w:t>0万元</w:t>
      </w:r>
      <w:r>
        <w:rPr>
          <w:rFonts w:ascii="仿宋_GB2312" w:eastAsia="仿宋_GB2312"/>
          <w:sz w:val="28"/>
          <w:szCs w:val="28"/>
        </w:rPr>
        <w:t>、维修（护）费</w:t>
      </w:r>
      <w:r>
        <w:rPr>
          <w:rFonts w:hint="eastAsia" w:ascii="仿宋_GB2312" w:eastAsia="仿宋_GB2312"/>
          <w:sz w:val="28"/>
          <w:szCs w:val="28"/>
          <w:lang w:val="en-US" w:eastAsia="zh-CN"/>
        </w:rPr>
        <w:t>15万元</w:t>
      </w:r>
      <w:r>
        <w:rPr>
          <w:rFonts w:ascii="仿宋_GB2312" w:eastAsia="仿宋_GB2312"/>
          <w:sz w:val="28"/>
          <w:szCs w:val="28"/>
        </w:rPr>
        <w:t>、租赁费</w:t>
      </w:r>
      <w:r>
        <w:rPr>
          <w:rFonts w:hint="eastAsia" w:ascii="仿宋_GB2312" w:eastAsia="仿宋_GB2312"/>
          <w:sz w:val="28"/>
          <w:szCs w:val="28"/>
          <w:lang w:val="en-US" w:eastAsia="zh-CN"/>
        </w:rPr>
        <w:t>0万元</w:t>
      </w:r>
      <w:r>
        <w:rPr>
          <w:rFonts w:ascii="仿宋_GB2312" w:eastAsia="仿宋_GB2312"/>
          <w:sz w:val="28"/>
          <w:szCs w:val="28"/>
        </w:rPr>
        <w:t>、会议费</w:t>
      </w:r>
      <w:r>
        <w:rPr>
          <w:rFonts w:hint="eastAsia" w:ascii="仿宋_GB2312" w:eastAsia="仿宋_GB2312"/>
          <w:sz w:val="28"/>
          <w:szCs w:val="28"/>
          <w:lang w:val="en-US" w:eastAsia="zh-CN"/>
        </w:rPr>
        <w:t>0万元</w:t>
      </w:r>
      <w:r>
        <w:rPr>
          <w:rFonts w:ascii="仿宋_GB2312" w:eastAsia="仿宋_GB2312"/>
          <w:sz w:val="28"/>
          <w:szCs w:val="28"/>
        </w:rPr>
        <w:t>、培训费</w:t>
      </w:r>
      <w:r>
        <w:rPr>
          <w:rFonts w:hint="eastAsia" w:ascii="仿宋_GB2312" w:eastAsia="仿宋_GB2312"/>
          <w:sz w:val="28"/>
          <w:szCs w:val="28"/>
          <w:lang w:val="en-US" w:eastAsia="zh-CN"/>
        </w:rPr>
        <w:t>0万元</w:t>
      </w:r>
      <w:r>
        <w:rPr>
          <w:rFonts w:ascii="仿宋_GB2312" w:eastAsia="仿宋_GB2312"/>
          <w:sz w:val="28"/>
          <w:szCs w:val="28"/>
        </w:rPr>
        <w:t>、公务接待费</w:t>
      </w:r>
      <w:r>
        <w:rPr>
          <w:rFonts w:hint="eastAsia" w:ascii="仿宋_GB2312" w:eastAsia="仿宋_GB2312"/>
          <w:sz w:val="28"/>
          <w:szCs w:val="28"/>
          <w:lang w:val="en-US" w:eastAsia="zh-CN"/>
        </w:rPr>
        <w:t>0万元</w:t>
      </w:r>
      <w:r>
        <w:rPr>
          <w:rFonts w:ascii="仿宋_GB2312" w:eastAsia="仿宋_GB2312"/>
          <w:sz w:val="28"/>
          <w:szCs w:val="28"/>
        </w:rPr>
        <w:t>、专用材料费</w:t>
      </w:r>
      <w:r>
        <w:rPr>
          <w:rFonts w:hint="eastAsia" w:ascii="仿宋_GB2312" w:eastAsia="仿宋_GB2312"/>
          <w:sz w:val="28"/>
          <w:szCs w:val="28"/>
          <w:lang w:val="en-US" w:eastAsia="zh-CN"/>
        </w:rPr>
        <w:t>0万元</w:t>
      </w:r>
      <w:r>
        <w:rPr>
          <w:rFonts w:ascii="仿宋_GB2312" w:eastAsia="仿宋_GB2312"/>
          <w:sz w:val="28"/>
          <w:szCs w:val="28"/>
        </w:rPr>
        <w:t>、劳务费</w:t>
      </w:r>
      <w:r>
        <w:rPr>
          <w:rFonts w:hint="eastAsia" w:ascii="仿宋_GB2312" w:eastAsia="仿宋_GB2312"/>
          <w:sz w:val="28"/>
          <w:szCs w:val="28"/>
          <w:lang w:val="en-US" w:eastAsia="zh-CN"/>
        </w:rPr>
        <w:t>0万元</w:t>
      </w:r>
      <w:r>
        <w:rPr>
          <w:rFonts w:ascii="仿宋_GB2312" w:eastAsia="仿宋_GB2312"/>
          <w:sz w:val="28"/>
          <w:szCs w:val="28"/>
        </w:rPr>
        <w:t>、委托业务费</w:t>
      </w:r>
      <w:r>
        <w:rPr>
          <w:rFonts w:hint="eastAsia" w:ascii="仿宋_GB2312" w:eastAsia="仿宋_GB2312"/>
          <w:sz w:val="28"/>
          <w:szCs w:val="28"/>
        </w:rPr>
        <w:t>1.13</w:t>
      </w:r>
      <w:r>
        <w:rPr>
          <w:rFonts w:hint="eastAsia" w:ascii="仿宋_GB2312" w:eastAsia="仿宋_GB2312"/>
          <w:sz w:val="28"/>
          <w:szCs w:val="28"/>
          <w:lang w:val="en-US" w:eastAsia="zh-CN"/>
        </w:rPr>
        <w:t>万元</w:t>
      </w:r>
      <w:r>
        <w:rPr>
          <w:rFonts w:ascii="仿宋_GB2312" w:eastAsia="仿宋_GB2312"/>
          <w:sz w:val="28"/>
          <w:szCs w:val="28"/>
        </w:rPr>
        <w:t>、工会经费</w:t>
      </w:r>
      <w:r>
        <w:rPr>
          <w:rFonts w:hint="eastAsia" w:ascii="仿宋_GB2312" w:eastAsia="仿宋_GB2312"/>
          <w:sz w:val="28"/>
          <w:szCs w:val="28"/>
        </w:rPr>
        <w:t>65.39</w:t>
      </w:r>
      <w:r>
        <w:rPr>
          <w:rFonts w:hint="eastAsia" w:ascii="仿宋_GB2312" w:eastAsia="仿宋_GB2312"/>
          <w:sz w:val="28"/>
          <w:szCs w:val="28"/>
          <w:lang w:val="en-US" w:eastAsia="zh-CN"/>
        </w:rPr>
        <w:t>万元</w:t>
      </w:r>
      <w:r>
        <w:rPr>
          <w:rFonts w:ascii="仿宋_GB2312" w:eastAsia="仿宋_GB2312"/>
          <w:sz w:val="28"/>
          <w:szCs w:val="28"/>
        </w:rPr>
        <w:t>、福利费</w:t>
      </w:r>
      <w:r>
        <w:rPr>
          <w:rFonts w:hint="eastAsia" w:ascii="仿宋_GB2312" w:eastAsia="仿宋_GB2312"/>
          <w:sz w:val="28"/>
          <w:szCs w:val="28"/>
        </w:rPr>
        <w:t>41.45</w:t>
      </w:r>
      <w:r>
        <w:rPr>
          <w:rFonts w:hint="eastAsia" w:ascii="仿宋_GB2312" w:eastAsia="仿宋_GB2312"/>
          <w:sz w:val="28"/>
          <w:szCs w:val="28"/>
          <w:lang w:val="en-US" w:eastAsia="zh-CN"/>
        </w:rPr>
        <w:t>万元</w:t>
      </w:r>
      <w:r>
        <w:rPr>
          <w:rFonts w:ascii="仿宋_GB2312" w:eastAsia="仿宋_GB2312"/>
          <w:sz w:val="28"/>
          <w:szCs w:val="28"/>
        </w:rPr>
        <w:t>、公务用车运行维护费</w:t>
      </w:r>
      <w:r>
        <w:rPr>
          <w:rFonts w:hint="eastAsia" w:ascii="仿宋_GB2312" w:eastAsia="仿宋_GB2312"/>
          <w:sz w:val="28"/>
          <w:szCs w:val="28"/>
        </w:rPr>
        <w:t>24.</w:t>
      </w:r>
      <w:r>
        <w:rPr>
          <w:rFonts w:hint="eastAsia" w:ascii="仿宋_GB2312" w:eastAsia="仿宋_GB2312"/>
          <w:sz w:val="28"/>
          <w:szCs w:val="28"/>
          <w:lang w:val="en-US" w:eastAsia="zh-CN"/>
        </w:rPr>
        <w:t>70万元</w:t>
      </w:r>
      <w:r>
        <w:rPr>
          <w:rFonts w:ascii="仿宋_GB2312" w:eastAsia="仿宋_GB2312"/>
          <w:sz w:val="28"/>
          <w:szCs w:val="28"/>
        </w:rPr>
        <w:t>、其他交通费</w:t>
      </w:r>
      <w:r>
        <w:rPr>
          <w:rFonts w:hint="eastAsia" w:ascii="仿宋_GB2312" w:eastAsia="仿宋_GB2312"/>
          <w:sz w:val="28"/>
          <w:szCs w:val="28"/>
        </w:rPr>
        <w:t>63.8</w:t>
      </w:r>
      <w:r>
        <w:rPr>
          <w:rFonts w:hint="eastAsia" w:ascii="仿宋_GB2312" w:eastAsia="仿宋_GB2312"/>
          <w:sz w:val="28"/>
          <w:szCs w:val="28"/>
          <w:lang w:val="en-US" w:eastAsia="zh-CN"/>
        </w:rPr>
        <w:t>6万元</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134.84万元：</w:t>
      </w:r>
      <w:r>
        <w:rPr>
          <w:rFonts w:hint="eastAsia" w:ascii="仿宋_GB2312" w:eastAsia="仿宋_GB2312"/>
          <w:sz w:val="28"/>
          <w:szCs w:val="28"/>
        </w:rPr>
        <w:t>包括</w:t>
      </w:r>
      <w:r>
        <w:rPr>
          <w:rFonts w:ascii="仿宋_GB2312" w:eastAsia="仿宋_GB2312"/>
          <w:sz w:val="28"/>
          <w:szCs w:val="28"/>
        </w:rPr>
        <w:t>离休费</w:t>
      </w:r>
      <w:r>
        <w:rPr>
          <w:rFonts w:hint="eastAsia" w:ascii="仿宋_GB2312" w:eastAsia="仿宋_GB2312"/>
          <w:sz w:val="28"/>
          <w:szCs w:val="28"/>
          <w:lang w:val="en-US" w:eastAsia="zh-CN"/>
        </w:rPr>
        <w:t>0万元</w:t>
      </w:r>
      <w:r>
        <w:rPr>
          <w:rFonts w:ascii="仿宋_GB2312" w:eastAsia="仿宋_GB2312"/>
          <w:sz w:val="28"/>
          <w:szCs w:val="28"/>
        </w:rPr>
        <w:t>、退休费</w:t>
      </w:r>
      <w:r>
        <w:rPr>
          <w:rFonts w:hint="eastAsia" w:ascii="仿宋_GB2312" w:eastAsia="仿宋_GB2312"/>
          <w:sz w:val="28"/>
          <w:szCs w:val="28"/>
        </w:rPr>
        <w:t>134.16</w:t>
      </w:r>
      <w:r>
        <w:rPr>
          <w:rFonts w:hint="eastAsia" w:ascii="仿宋_GB2312" w:eastAsia="仿宋_GB2312"/>
          <w:sz w:val="28"/>
          <w:szCs w:val="28"/>
          <w:lang w:val="en-US" w:eastAsia="zh-CN"/>
        </w:rPr>
        <w:t>万元</w:t>
      </w:r>
      <w:r>
        <w:rPr>
          <w:rFonts w:ascii="仿宋_GB2312" w:eastAsia="仿宋_GB2312"/>
          <w:sz w:val="28"/>
          <w:szCs w:val="28"/>
        </w:rPr>
        <w:t>、抚恤金</w:t>
      </w:r>
      <w:r>
        <w:rPr>
          <w:rFonts w:hint="eastAsia" w:ascii="仿宋_GB2312" w:eastAsia="仿宋_GB2312"/>
          <w:sz w:val="28"/>
          <w:szCs w:val="28"/>
          <w:lang w:val="en-US" w:eastAsia="zh-CN"/>
        </w:rPr>
        <w:t>0万元</w:t>
      </w:r>
      <w:r>
        <w:rPr>
          <w:rFonts w:ascii="仿宋_GB2312" w:eastAsia="仿宋_GB2312"/>
          <w:sz w:val="28"/>
          <w:szCs w:val="28"/>
        </w:rPr>
        <w:t>、生活补助</w:t>
      </w:r>
      <w:r>
        <w:rPr>
          <w:rFonts w:hint="eastAsia" w:ascii="仿宋_GB2312" w:eastAsia="仿宋_GB2312"/>
          <w:sz w:val="28"/>
          <w:szCs w:val="28"/>
        </w:rPr>
        <w:t>0.5</w:t>
      </w:r>
      <w:r>
        <w:rPr>
          <w:rFonts w:hint="eastAsia" w:ascii="仿宋_GB2312" w:eastAsia="仿宋_GB2312"/>
          <w:sz w:val="28"/>
          <w:szCs w:val="28"/>
          <w:lang w:val="en-US" w:eastAsia="zh-CN"/>
        </w:rPr>
        <w:t>3万元</w:t>
      </w:r>
      <w:r>
        <w:rPr>
          <w:rFonts w:ascii="仿宋_GB2312" w:eastAsia="仿宋_GB2312"/>
          <w:sz w:val="28"/>
          <w:szCs w:val="28"/>
        </w:rPr>
        <w:t>、</w:t>
      </w:r>
      <w:r>
        <w:rPr>
          <w:rFonts w:hint="eastAsia" w:ascii="仿宋_GB2312" w:eastAsia="仿宋_GB2312"/>
          <w:sz w:val="28"/>
          <w:szCs w:val="28"/>
        </w:rPr>
        <w:t>救济费</w:t>
      </w:r>
      <w:r>
        <w:rPr>
          <w:rFonts w:hint="eastAsia" w:ascii="仿宋_GB2312" w:eastAsia="仿宋_GB2312"/>
          <w:sz w:val="28"/>
          <w:szCs w:val="28"/>
          <w:lang w:val="en-US" w:eastAsia="zh-CN"/>
        </w:rPr>
        <w:t>0万元</w:t>
      </w:r>
      <w:r>
        <w:rPr>
          <w:rFonts w:ascii="仿宋_GB2312" w:eastAsia="仿宋_GB2312"/>
          <w:sz w:val="28"/>
          <w:szCs w:val="28"/>
        </w:rPr>
        <w:t>、医疗费</w:t>
      </w:r>
      <w:r>
        <w:rPr>
          <w:rFonts w:hint="eastAsia" w:ascii="仿宋_GB2312" w:eastAsia="仿宋_GB2312"/>
          <w:sz w:val="28"/>
          <w:szCs w:val="28"/>
        </w:rPr>
        <w:t>补助</w:t>
      </w:r>
      <w:r>
        <w:rPr>
          <w:rFonts w:hint="eastAsia" w:ascii="仿宋_GB2312" w:eastAsia="仿宋_GB2312"/>
          <w:sz w:val="28"/>
          <w:szCs w:val="28"/>
          <w:lang w:val="en-US" w:eastAsia="zh-CN"/>
        </w:rPr>
        <w:t>0万元</w:t>
      </w:r>
      <w:r>
        <w:rPr>
          <w:rFonts w:ascii="仿宋_GB2312" w:eastAsia="仿宋_GB2312"/>
          <w:sz w:val="28"/>
          <w:szCs w:val="28"/>
        </w:rPr>
        <w:t>、助学金</w:t>
      </w:r>
      <w:r>
        <w:rPr>
          <w:rFonts w:hint="eastAsia" w:ascii="仿宋_GB2312" w:eastAsia="仿宋_GB2312"/>
          <w:sz w:val="28"/>
          <w:szCs w:val="28"/>
          <w:lang w:val="en-US" w:eastAsia="zh-CN"/>
        </w:rPr>
        <w:t>0万元</w:t>
      </w:r>
      <w:r>
        <w:rPr>
          <w:rFonts w:ascii="仿宋_GB2312" w:eastAsia="仿宋_GB2312"/>
          <w:sz w:val="28"/>
          <w:szCs w:val="28"/>
        </w:rPr>
        <w:t>、奖励金</w:t>
      </w:r>
      <w:r>
        <w:rPr>
          <w:rFonts w:hint="eastAsia" w:ascii="仿宋_GB2312" w:eastAsia="仿宋_GB2312"/>
          <w:sz w:val="28"/>
          <w:szCs w:val="28"/>
        </w:rPr>
        <w:t>0.15</w:t>
      </w:r>
      <w:r>
        <w:rPr>
          <w:rFonts w:hint="eastAsia" w:ascii="仿宋_GB2312" w:eastAsia="仿宋_GB2312"/>
          <w:sz w:val="28"/>
          <w:szCs w:val="28"/>
          <w:lang w:val="en-US" w:eastAsia="zh-CN"/>
        </w:rPr>
        <w:t>万元</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lang w:val="en-US" w:eastAsia="zh-CN"/>
        </w:rPr>
        <w:t>0万元</w:t>
      </w:r>
      <w:r>
        <w:rPr>
          <w:rFonts w:hint="eastAsia" w:ascii="仿宋_GB2312" w:eastAsia="仿宋_GB2312"/>
          <w:sz w:val="28"/>
          <w:szCs w:val="28"/>
        </w:rPr>
        <w:t>。（4）其他资本性支出</w:t>
      </w:r>
      <w:r>
        <w:rPr>
          <w:rFonts w:hint="eastAsia" w:ascii="仿宋_GB2312" w:eastAsia="仿宋_GB2312"/>
          <w:sz w:val="28"/>
          <w:szCs w:val="28"/>
          <w:lang w:val="en-US" w:eastAsia="zh-CN"/>
        </w:rPr>
        <w:t>0万元</w:t>
      </w:r>
      <w:r>
        <w:rPr>
          <w:rFonts w:ascii="仿宋_GB2312" w:eastAsia="仿宋_GB2312"/>
          <w:sz w:val="28"/>
          <w:szCs w:val="28"/>
        </w:rPr>
        <w:t>。</w:t>
      </w:r>
      <w:r>
        <w:rPr>
          <w:rFonts w:hint="eastAsia" w:ascii="仿宋_GB2312" w:eastAsia="仿宋_GB2312"/>
          <w:sz w:val="28"/>
          <w:szCs w:val="28"/>
        </w:rPr>
        <w:t>（4）其他资本性支出</w:t>
      </w:r>
      <w:r>
        <w:rPr>
          <w:rFonts w:hint="eastAsia" w:ascii="仿宋_GB2312" w:eastAsia="仿宋_GB2312"/>
          <w:sz w:val="28"/>
          <w:szCs w:val="28"/>
          <w:lang w:val="en-US" w:eastAsia="zh-CN"/>
        </w:rPr>
        <w:t>0万元</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3"/>
        <w:rPr>
          <w:rFonts w:ascii="仿宋_GB2312" w:eastAsia="仿宋_GB2312"/>
          <w:b/>
          <w:sz w:val="32"/>
          <w:szCs w:val="32"/>
        </w:rPr>
      </w:pPr>
    </w:p>
    <w:p>
      <w:pPr>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24.7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30</w:t>
      </w:r>
      <w:r>
        <w:rPr>
          <w:rFonts w:hint="eastAsia" w:ascii="仿宋_GB2312" w:eastAsia="仿宋_GB2312"/>
          <w:sz w:val="28"/>
          <w:szCs w:val="28"/>
        </w:rPr>
        <w:t>万元减少</w:t>
      </w:r>
      <w:r>
        <w:rPr>
          <w:rFonts w:hint="eastAsia" w:ascii="仿宋_GB2312" w:eastAsia="仿宋_GB2312"/>
          <w:sz w:val="28"/>
          <w:szCs w:val="28"/>
          <w:lang w:val="en-US" w:eastAsia="zh-CN"/>
        </w:rPr>
        <w:t>5.3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24.7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30</w:t>
      </w:r>
      <w:r>
        <w:rPr>
          <w:rFonts w:hint="eastAsia" w:ascii="仿宋_GB2312" w:eastAsia="仿宋_GB2312"/>
          <w:sz w:val="28"/>
          <w:szCs w:val="28"/>
        </w:rPr>
        <w:t>万元减少</w:t>
      </w:r>
      <w:r>
        <w:rPr>
          <w:rFonts w:hint="eastAsia" w:ascii="仿宋_GB2312" w:eastAsia="仿宋_GB2312"/>
          <w:sz w:val="28"/>
          <w:szCs w:val="28"/>
          <w:lang w:val="en-US" w:eastAsia="zh-CN"/>
        </w:rPr>
        <w:t>5.3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24.7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主要原因：压减公务用车购置及运行维护费支出。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546.67</w:t>
      </w:r>
      <w:r>
        <w:rPr>
          <w:rFonts w:hint="eastAsia" w:ascii="仿宋_GB2312" w:eastAsia="仿宋_GB2312"/>
          <w:sz w:val="28"/>
          <w:szCs w:val="28"/>
        </w:rPr>
        <w:t>万元，比上年增加</w:t>
      </w:r>
      <w:r>
        <w:rPr>
          <w:rFonts w:hint="eastAsia" w:ascii="仿宋_GB2312" w:eastAsia="仿宋_GB2312"/>
          <w:sz w:val="28"/>
          <w:szCs w:val="28"/>
          <w:lang w:val="en-US" w:eastAsia="zh-CN"/>
        </w:rPr>
        <w:t>194.56</w:t>
      </w:r>
      <w:r>
        <w:rPr>
          <w:rFonts w:hint="eastAsia" w:ascii="仿宋_GB2312" w:eastAsia="仿宋_GB2312"/>
          <w:sz w:val="28"/>
          <w:szCs w:val="28"/>
        </w:rPr>
        <w:t>万元，增加原因：</w:t>
      </w:r>
      <w:r>
        <w:rPr>
          <w:rFonts w:hint="eastAsia" w:ascii="仿宋_GB2312" w:eastAsia="仿宋_GB2312"/>
          <w:sz w:val="28"/>
          <w:szCs w:val="28"/>
          <w:lang w:val="en-US" w:eastAsia="zh-CN"/>
        </w:rPr>
        <w:t>2023年取暖费40万元，2024年取暖费190.81万元</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9937.83</w:t>
      </w:r>
      <w:r>
        <w:rPr>
          <w:rFonts w:hint="eastAsia" w:ascii="仿宋_GB2312" w:eastAsia="仿宋_GB2312"/>
          <w:sz w:val="28"/>
          <w:szCs w:val="28"/>
        </w:rPr>
        <w:t>万元，其中：政府采购货物支出</w:t>
      </w:r>
      <w:r>
        <w:rPr>
          <w:rFonts w:hint="eastAsia" w:ascii="仿宋_GB2312" w:eastAsia="仿宋_GB2312"/>
          <w:sz w:val="28"/>
          <w:szCs w:val="28"/>
          <w:highlight w:val="none"/>
        </w:rPr>
        <w:t>204.7</w:t>
      </w:r>
      <w:r>
        <w:rPr>
          <w:rFonts w:hint="eastAsia" w:ascii="仿宋_GB2312" w:eastAsia="仿宋_GB2312"/>
          <w:sz w:val="28"/>
          <w:szCs w:val="28"/>
          <w:highlight w:val="none"/>
          <w:lang w:val="en-US" w:eastAsia="zh-CN"/>
        </w:rPr>
        <w:t>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rPr>
        <w:t>9733.04</w:t>
      </w:r>
      <w:r>
        <w:rPr>
          <w:rFonts w:hint="eastAsia" w:ascii="仿宋_GB2312" w:eastAsia="仿宋_GB2312"/>
          <w:sz w:val="28"/>
          <w:szCs w:val="28"/>
        </w:rPr>
        <w:t>万元。授予中小企业合同金额</w:t>
      </w:r>
      <w:r>
        <w:rPr>
          <w:rFonts w:ascii="仿宋_GB2312" w:eastAsia="仿宋_GB2312"/>
          <w:sz w:val="28"/>
          <w:szCs w:val="28"/>
        </w:rPr>
        <w:t>9925.83</w:t>
      </w:r>
      <w:r>
        <w:rPr>
          <w:rFonts w:hint="eastAsia" w:ascii="仿宋_GB2312" w:eastAsia="仿宋_GB2312"/>
          <w:sz w:val="28"/>
          <w:szCs w:val="28"/>
        </w:rPr>
        <w:t>万元，占政府采购支出总额的</w:t>
      </w:r>
      <w:r>
        <w:rPr>
          <w:rFonts w:hint="eastAsia" w:ascii="仿宋_GB2312" w:eastAsia="仿宋_GB2312"/>
          <w:sz w:val="28"/>
          <w:szCs w:val="28"/>
          <w:lang w:eastAsia="zh-CN"/>
        </w:rPr>
        <w:t>99.88</w:t>
      </w:r>
      <w:r>
        <w:rPr>
          <w:rFonts w:hint="eastAsia" w:ascii="仿宋_GB2312" w:eastAsia="仿宋_GB2312"/>
          <w:sz w:val="28"/>
          <w:szCs w:val="28"/>
        </w:rPr>
        <w:t>%，其中：授予小微企业合同金额</w:t>
      </w:r>
      <w:r>
        <w:rPr>
          <w:rFonts w:ascii="仿宋_GB2312" w:eastAsia="仿宋_GB2312"/>
          <w:sz w:val="28"/>
          <w:szCs w:val="28"/>
        </w:rPr>
        <w:t>8638.55</w:t>
      </w:r>
      <w:r>
        <w:rPr>
          <w:rFonts w:hint="eastAsia" w:ascii="仿宋_GB2312" w:eastAsia="仿宋_GB2312"/>
          <w:sz w:val="28"/>
          <w:szCs w:val="28"/>
        </w:rPr>
        <w:t>万元，占政府采购支出总额的</w:t>
      </w:r>
      <w:r>
        <w:rPr>
          <w:rFonts w:ascii="仿宋_GB2312" w:eastAsia="仿宋_GB2312"/>
          <w:sz w:val="28"/>
          <w:szCs w:val="28"/>
        </w:rPr>
        <w:t>86.93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12月31日，北京市大兴区长子营镇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政府购买服务决算874.44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w:t>
      </w:r>
      <w:r>
        <w:rPr>
          <w:rFonts w:hint="eastAsia" w:ascii="仿宋_GB2312" w:eastAsia="仿宋_GB2312"/>
          <w:sz w:val="28"/>
          <w:szCs w:val="28"/>
        </w:rPr>
        <w:t>代表工作</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反映人大代表开展各类视察等方面的支出。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w:t>
      </w:r>
      <w:r>
        <w:rPr>
          <w:rFonts w:hint="eastAsia" w:ascii="仿宋_GB2312" w:eastAsia="仿宋_GB2312"/>
          <w:sz w:val="28"/>
          <w:szCs w:val="28"/>
        </w:rPr>
        <w:t>其他人大事务支出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反映除上述项目以外的其他人大事务支出。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一般公共服务支出（类）政府办公厅（室）及相关机构事务（款）行政运行</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反应行政单位（包括实行公务员管理的事业单位）未单独设置项级科目的其他项目支出。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一般公共服务支出（类）政府办公厅（室）及相关机构事务（款）事业运行</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反映事业单位的基本支出，不包括行政单位（包括实行公务员管理的事业单位）后勤服务中心、医务室等附属事业单位。</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一般公共服务支出（类）政府办公厅（室）及相关机构事务（款）其他政府办公厅（室）及相关机构事务支出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反映除上述项目以外的其他政府办公厅（室）及相关机构事务支出。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专项普查活动</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反映统计部门开展人口普查、经济普查、农业普查、投入产出调查等周期性普查工作的支出。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统计抽样调查</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反映统计抽样调查队开展统计调查工作的支出。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其他统计信息事务支出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反映除上述项目以外的其他统计信息事务支出。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一般公共服务支出（类）审计事务（款）审计业务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反映各级审计机构的审计、专项审计调查、聘请社会审计组织人员及技术专家等方面的支出。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一般公共服务支出（类）民族事务（款）</w:t>
      </w:r>
      <w:r>
        <w:rPr>
          <w:rFonts w:hint="eastAsia" w:ascii="仿宋_GB2312" w:eastAsia="仿宋_GB2312"/>
          <w:sz w:val="28"/>
          <w:szCs w:val="28"/>
        </w:rPr>
        <w:t>民族工作专项</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反映用于民族事务管理方面的专项支出。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一般公共服务支出（类）群众团体事务（款）</w:t>
      </w:r>
      <w:r>
        <w:rPr>
          <w:rFonts w:hint="eastAsia" w:ascii="仿宋_GB2312" w:eastAsia="仿宋_GB2312"/>
          <w:sz w:val="28"/>
          <w:szCs w:val="28"/>
        </w:rPr>
        <w:t>其他群众团体事务支出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反映除上述项目以外其他用于群众团体事务方面的支出。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一般公共服务支出（类）其他共产党事务支出（款）</w:t>
      </w:r>
      <w:r>
        <w:rPr>
          <w:rFonts w:hint="eastAsia" w:ascii="仿宋_GB2312" w:eastAsia="仿宋_GB2312"/>
          <w:sz w:val="28"/>
          <w:szCs w:val="28"/>
        </w:rPr>
        <w:t>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一般公共服务支出（类）宣传事务（款）</w:t>
      </w:r>
      <w:r>
        <w:rPr>
          <w:rFonts w:hint="eastAsia" w:ascii="仿宋_GB2312" w:eastAsia="仿宋_GB2312"/>
          <w:sz w:val="28"/>
          <w:szCs w:val="28"/>
        </w:rPr>
        <w:t>其他宣传事务支出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反映除上述项目以外其他用于中国共产党宣传部门的事务支出。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一般公共服务支出（类）其他共产党事务支出（款）</w:t>
      </w:r>
      <w:r>
        <w:rPr>
          <w:rFonts w:hint="eastAsia" w:ascii="仿宋_GB2312" w:eastAsia="仿宋_GB2312"/>
          <w:sz w:val="28"/>
          <w:szCs w:val="28"/>
        </w:rPr>
        <w:t>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一般公共服务支出（类）市场监督管理事务（款）</w:t>
      </w:r>
      <w:r>
        <w:rPr>
          <w:rFonts w:hint="eastAsia" w:ascii="仿宋_GB2312" w:eastAsia="仿宋_GB2312"/>
          <w:sz w:val="28"/>
          <w:szCs w:val="28"/>
        </w:rPr>
        <w:t>食品安全监管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反映食品安全监管等专项工作支出。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一般公共服务支出（类）社会工作事务（款）其他社会工作事务支出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反映除上述项目以外其他用于社会工作事务的支出。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一般公共服务支出（类）社会工作事务（款）其他一般公共服务支出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反映除上述项目以外的其他一般公共服务支出。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公共安全支出（类）司法（款）基层司法业务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反映各级司法行政部门用于基层业务的支出，包括基层工作指导费、调节费、安置帮教费、司法所经费和公共法律服务平台相关支出、人民陪审员选任管理费用、人民监督员选任管理费用等支出。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文化旅游体育与传媒支出（类）文化和旅游（款）</w:t>
      </w:r>
      <w:r>
        <w:rPr>
          <w:rFonts w:hint="eastAsia" w:ascii="仿宋_GB2312" w:eastAsia="仿宋_GB2312"/>
          <w:sz w:val="28"/>
          <w:szCs w:val="28"/>
        </w:rPr>
        <w:t>其他文化和旅游支出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反映除上述项目以外其他用于文化和旅游方面的支出。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文化旅游体育与传媒支出（类）体育（款）</w:t>
      </w:r>
      <w:r>
        <w:rPr>
          <w:rFonts w:hint="eastAsia" w:ascii="仿宋_GB2312" w:eastAsia="仿宋_GB2312"/>
          <w:sz w:val="28"/>
          <w:szCs w:val="28"/>
        </w:rPr>
        <w:t>其他体育支出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反映除上述项目以外其他用于体育方面的支出。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文化旅游体育与传媒支出（类）其他文化旅游体育与传媒支出（款）</w:t>
      </w:r>
      <w:r>
        <w:rPr>
          <w:rFonts w:hint="eastAsia" w:ascii="仿宋_GB2312" w:eastAsia="仿宋_GB2312"/>
          <w:sz w:val="28"/>
          <w:szCs w:val="28"/>
        </w:rPr>
        <w:t>其他文化旅游体育与传媒支出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反映除上述项目以外其他用于文化旅游体育与传媒方面的支出。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社会保障和就业支出（类）民政管理事务（款）</w:t>
      </w:r>
      <w:r>
        <w:rPr>
          <w:rFonts w:hint="eastAsia" w:ascii="仿宋_GB2312" w:eastAsia="仿宋_GB2312"/>
          <w:sz w:val="28"/>
          <w:szCs w:val="28"/>
        </w:rPr>
        <w:t>其他民政管理事务支出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反映除上述项目以外其他用于民政管理事务的支出。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w:t>
      </w:r>
      <w:r>
        <w:rPr>
          <w:rFonts w:hint="eastAsia" w:ascii="仿宋_GB2312" w:eastAsia="仿宋_GB2312"/>
          <w:sz w:val="28"/>
          <w:szCs w:val="28"/>
        </w:rPr>
        <w:t>行政单位离退休</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社会保障和就业支出（类）行政事业单位养老支出（款）事业</w:t>
      </w:r>
      <w:r>
        <w:rPr>
          <w:rFonts w:hint="eastAsia" w:ascii="仿宋_GB2312" w:eastAsia="仿宋_GB2312"/>
          <w:sz w:val="28"/>
          <w:szCs w:val="28"/>
        </w:rPr>
        <w:t>单位离退休</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社会保障和就业支出（类）行政事业单位养老支出（款）离退休人员管理机构</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反映各类离退休人员管理机构的支出。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社会保障和就业支出（类）行政事业单位养老支出（款）机关事业单位基本养老保险缴费支出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反映机关事业单位实施养老保险制度由单位缴纳的基本养老保险费支出。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社会保障和就业支出（类）行政事业单位养老支出（款）机关事业单位职业年金缴费支出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反映机关事业单位实施养老保险制度由单位实际缴纳的职业年金支出（含职业年金补记支出）。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w:t>
      </w:r>
      <w:r>
        <w:rPr>
          <w:rFonts w:hint="eastAsia" w:ascii="仿宋_GB2312" w:eastAsia="仿宋_GB2312"/>
          <w:sz w:val="28"/>
          <w:szCs w:val="28"/>
        </w:rPr>
        <w:t>其他行政事业单位养老支出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社会保障和就业支出（类）就业补助（款）</w:t>
      </w:r>
      <w:r>
        <w:rPr>
          <w:rFonts w:hint="eastAsia" w:ascii="仿宋_GB2312" w:eastAsia="仿宋_GB2312"/>
          <w:sz w:val="28"/>
          <w:szCs w:val="28"/>
        </w:rPr>
        <w:t>公益性岗位补贴</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反映财政对符合条件的就业困难人员在公益性岗位就业给予的补贴支出。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社会保障和就业支出（类）就业补助（款）</w:t>
      </w:r>
      <w:r>
        <w:rPr>
          <w:rFonts w:hint="eastAsia" w:ascii="仿宋_GB2312" w:eastAsia="仿宋_GB2312"/>
          <w:sz w:val="28"/>
          <w:szCs w:val="28"/>
        </w:rPr>
        <w:t>其他就业补助支出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反映除上述项目以外按规定确定的其他用于促进就业的补助支出。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w:t>
      </w:r>
      <w:r>
        <w:rPr>
          <w:rFonts w:hint="eastAsia" w:ascii="仿宋_GB2312" w:eastAsia="仿宋_GB2312"/>
          <w:sz w:val="28"/>
          <w:szCs w:val="28"/>
        </w:rPr>
        <w:t>义务兵优待</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反映用于义务兵优待方面的支出。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社会保障和就业支出（类）抚恤（款）其他优抚支出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反映除上述项目以外其他用于优抚方面的支出，包括向优抚对象发放的价格临时补贴、老烈士子女、老党员定期生活补助等支出。</w:t>
      </w:r>
    </w:p>
    <w:p>
      <w:pPr>
        <w:ind w:firstLine="420" w:firstLineChars="150"/>
        <w:rPr>
          <w:rFonts w:hint="eastAsia" w:ascii="仿宋_GB2312" w:eastAsia="仿宋_GB2312"/>
          <w:sz w:val="28"/>
          <w:szCs w:val="28"/>
          <w:lang w:val="en-US" w:eastAsia="zh-CN"/>
        </w:rPr>
      </w:pP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社会保障和就业支出（类）退役安置（款）</w:t>
      </w:r>
      <w:r>
        <w:rPr>
          <w:rFonts w:hint="eastAsia" w:ascii="仿宋_GB2312" w:eastAsia="仿宋_GB2312"/>
          <w:sz w:val="28"/>
          <w:szCs w:val="28"/>
        </w:rPr>
        <w:t>退役士兵安置</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反映按规定用于伤残义务兵的一次性建房补助，对符合条件的退役士兵、专业士官的安置支出。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社会保障和就业支出（类）社会福利（款）</w:t>
      </w:r>
      <w:r>
        <w:rPr>
          <w:rFonts w:hint="eastAsia" w:ascii="仿宋_GB2312" w:eastAsia="仿宋_GB2312"/>
          <w:sz w:val="28"/>
          <w:szCs w:val="28"/>
        </w:rPr>
        <w:t>养老服务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反映财政在养老服务方面的补助支出，包括支持居家养老服务、社区养老服务和机构养老服务的支出，对养老服务机构的运营、建设补助支出等，不包括对社会福利事业单位内的补助支出。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社会保障和就业支出（类）社会福利（款）</w:t>
      </w:r>
      <w:r>
        <w:rPr>
          <w:rFonts w:hint="eastAsia" w:ascii="仿宋_GB2312" w:eastAsia="仿宋_GB2312"/>
          <w:sz w:val="28"/>
          <w:szCs w:val="28"/>
        </w:rPr>
        <w:t>其他社会福利支出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反映除上述项目以外其他用于社会福利方面的支出。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社会保障和就业支出（类）残疾人事业（款）</w:t>
      </w:r>
      <w:r>
        <w:rPr>
          <w:rFonts w:hint="eastAsia" w:ascii="仿宋_GB2312" w:eastAsia="仿宋_GB2312"/>
          <w:sz w:val="28"/>
          <w:szCs w:val="28"/>
        </w:rPr>
        <w:t>残疾人</w:t>
      </w:r>
      <w:r>
        <w:rPr>
          <w:rFonts w:hint="eastAsia" w:ascii="仿宋_GB2312" w:eastAsia="仿宋_GB2312"/>
          <w:sz w:val="28"/>
          <w:szCs w:val="28"/>
          <w:lang w:val="en-US" w:eastAsia="zh-CN"/>
        </w:rPr>
        <w:t>就业</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反映残疾人联合会用于残疾人就业方面的支出。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社会保障和就业支出（类）残疾人事业（款）</w:t>
      </w:r>
      <w:r>
        <w:rPr>
          <w:rFonts w:hint="eastAsia" w:ascii="仿宋_GB2312" w:eastAsia="仿宋_GB2312"/>
          <w:sz w:val="28"/>
          <w:szCs w:val="28"/>
        </w:rPr>
        <w:t>其他残疾人事业支出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反映除上述项目以外其他用于残疾人事业方面的支出。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社会保障和就业支出（类）最低生活保障（款）</w:t>
      </w:r>
      <w:r>
        <w:rPr>
          <w:rFonts w:hint="eastAsia" w:ascii="仿宋_GB2312" w:eastAsia="仿宋_GB2312"/>
          <w:sz w:val="28"/>
          <w:szCs w:val="28"/>
        </w:rPr>
        <w:t>农村最低生活保障金支出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反映用于农村最低生活保障对象的最低生活保障金支出。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社会保障和就业支出（类）临时救助（款）</w:t>
      </w:r>
      <w:r>
        <w:rPr>
          <w:rFonts w:hint="eastAsia" w:ascii="仿宋_GB2312" w:eastAsia="仿宋_GB2312"/>
          <w:sz w:val="28"/>
          <w:szCs w:val="28"/>
        </w:rPr>
        <w:t>临时救助支出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反映用于城乡生活困难居民的临时救助支出。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社会保障和就业支出（类）特困人员救助供养（款）</w:t>
      </w:r>
      <w:r>
        <w:rPr>
          <w:rFonts w:hint="eastAsia" w:ascii="仿宋_GB2312" w:eastAsia="仿宋_GB2312"/>
          <w:sz w:val="28"/>
          <w:szCs w:val="28"/>
        </w:rPr>
        <w:t>农村特困人员救助供养支出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反映农村特困人员救助供养支出。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社会保障和就业支出（类）其他生活救助（款）</w:t>
      </w:r>
      <w:r>
        <w:rPr>
          <w:rFonts w:hint="eastAsia" w:ascii="仿宋_GB2312" w:eastAsia="仿宋_GB2312"/>
          <w:sz w:val="28"/>
          <w:szCs w:val="28"/>
        </w:rPr>
        <w:t>其他农村生活救助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反映除最低生活保障、临时救助、特困人员救助供养外，用于农村生活困难居民生活救助的其他支出，包括用于除优抚对象、失业人员之外农村生活困难军民的价格临时补贴支出。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社会保障和就业支出（类）退役军人管理事务（款）</w:t>
      </w:r>
      <w:r>
        <w:rPr>
          <w:rFonts w:hint="eastAsia" w:ascii="仿宋_GB2312" w:eastAsia="仿宋_GB2312"/>
          <w:sz w:val="28"/>
          <w:szCs w:val="28"/>
        </w:rPr>
        <w:t>其他退役军人事务管理支出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反映除项目以外其他用于退役军人事务管理方面的支出。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社会保障和就业支出（类）其他社会保障和就业支出（款）</w:t>
      </w:r>
      <w:r>
        <w:rPr>
          <w:rFonts w:hint="eastAsia" w:ascii="仿宋_GB2312" w:eastAsia="仿宋_GB2312"/>
          <w:sz w:val="28"/>
          <w:szCs w:val="28"/>
        </w:rPr>
        <w:t>其他社会保障和就业支出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反映除上述项目以外其他用于社会保障和就业方面的支出。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卫生健康支出（类）基层医疗卫生机构（款）</w:t>
      </w:r>
      <w:r>
        <w:rPr>
          <w:rFonts w:hint="eastAsia" w:ascii="仿宋_GB2312" w:eastAsia="仿宋_GB2312"/>
          <w:sz w:val="28"/>
          <w:szCs w:val="28"/>
        </w:rPr>
        <w:t>乡镇卫生院</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反映用于乡镇卫生院的支出。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卫生健康支出（类）基层医疗卫生机构（款）</w:t>
      </w:r>
      <w:r>
        <w:rPr>
          <w:rFonts w:hint="eastAsia" w:ascii="仿宋_GB2312" w:eastAsia="仿宋_GB2312"/>
          <w:sz w:val="28"/>
          <w:szCs w:val="28"/>
        </w:rPr>
        <w:t>其他基层医疗卫生机构支出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基层医疗卫生机构</w:t>
      </w:r>
      <w:r>
        <w:rPr>
          <w:rFonts w:hint="eastAsia" w:ascii="仿宋_GB2312" w:eastAsia="仿宋_GB2312"/>
          <w:sz w:val="28"/>
          <w:szCs w:val="28"/>
          <w:lang w:val="en-US" w:eastAsia="zh-CN"/>
        </w:rPr>
        <w:t>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基本公共卫生服务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反映基本公共卫生服务的支出。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重大公共卫生服务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反映重大疾病、重大传染病预防控制等重大公共服务项目支出。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突发公共卫生事件应急处理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反映用于突发公共卫生事件应急处置方面的支出。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其他公共卫生支出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公共卫生支出</w:t>
      </w:r>
      <w:r>
        <w:rPr>
          <w:rFonts w:hint="eastAsia" w:ascii="仿宋_GB2312" w:eastAsia="仿宋_GB2312"/>
          <w:sz w:val="28"/>
          <w:szCs w:val="28"/>
          <w:lang w:val="en-US" w:eastAsia="zh-CN"/>
        </w:rPr>
        <w:t>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卫生健康支出（类）计划生育事务（款）</w:t>
      </w:r>
      <w:r>
        <w:rPr>
          <w:rFonts w:hint="eastAsia" w:ascii="仿宋_GB2312" w:eastAsia="仿宋_GB2312"/>
          <w:sz w:val="28"/>
          <w:szCs w:val="28"/>
          <w:highlight w:val="none"/>
        </w:rPr>
        <w:t>计划生育服务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反映计划生育服务支出。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卫生健康支出（类）计划生育事务（款）</w:t>
      </w:r>
      <w:r>
        <w:rPr>
          <w:rFonts w:hint="eastAsia" w:ascii="仿宋_GB2312" w:eastAsia="仿宋_GB2312"/>
          <w:sz w:val="28"/>
          <w:szCs w:val="28"/>
        </w:rPr>
        <w:t>其他计划生育事务支出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反映除上述项目以外的其他用于计划生育管理事务方面的支出。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卫生健康支出（类）行政事业单位医疗（款）行政</w:t>
      </w:r>
      <w:r>
        <w:rPr>
          <w:rFonts w:hint="eastAsia" w:ascii="仿宋_GB2312" w:eastAsia="仿宋_GB2312"/>
          <w:sz w:val="28"/>
          <w:szCs w:val="28"/>
        </w:rPr>
        <w:t>单位医疗</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w:t>
      </w:r>
      <w:r>
        <w:rPr>
          <w:rFonts w:hint="eastAsia" w:ascii="仿宋_GB2312" w:eastAsia="仿宋_GB2312"/>
          <w:sz w:val="28"/>
          <w:szCs w:val="28"/>
        </w:rPr>
        <w:t>事业单位医疗</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w:t>
      </w:r>
      <w:r>
        <w:rPr>
          <w:rFonts w:hint="eastAsia" w:ascii="仿宋_GB2312" w:eastAsia="仿宋_GB2312"/>
          <w:sz w:val="28"/>
          <w:szCs w:val="28"/>
        </w:rPr>
        <w:t>公务员医疗补助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卫生健康支出（类）优抚对象医疗（款）</w:t>
      </w:r>
      <w:r>
        <w:rPr>
          <w:rFonts w:hint="eastAsia" w:ascii="仿宋_GB2312" w:eastAsia="仿宋_GB2312"/>
          <w:sz w:val="28"/>
          <w:szCs w:val="28"/>
        </w:rPr>
        <w:t>优抚对象医疗补助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反映按规定补助优抚对象的医疗经费。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卫生健康支出（类）中医药事务（款）</w:t>
      </w:r>
      <w:r>
        <w:rPr>
          <w:rFonts w:hint="eastAsia" w:ascii="仿宋_GB2312" w:eastAsia="仿宋_GB2312"/>
          <w:sz w:val="28"/>
          <w:szCs w:val="28"/>
        </w:rPr>
        <w:t>中医（民族医）药专项</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反映中医（民族医）药方面的专项支出。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卫生健康支出（类）其他卫生健康支出（款）</w:t>
      </w:r>
      <w:r>
        <w:rPr>
          <w:rFonts w:hint="eastAsia" w:ascii="仿宋_GB2312" w:eastAsia="仿宋_GB2312"/>
          <w:sz w:val="28"/>
          <w:szCs w:val="28"/>
        </w:rPr>
        <w:t>其他卫生健康支出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反映上述项目以外其他用于卫生健康方面的支出。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节能环保支出（类）污染防治（款）</w:t>
      </w:r>
      <w:r>
        <w:rPr>
          <w:rFonts w:hint="eastAsia" w:ascii="仿宋_GB2312" w:eastAsia="仿宋_GB2312"/>
          <w:sz w:val="28"/>
          <w:szCs w:val="28"/>
        </w:rPr>
        <w:t>大气</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反映政府在治理空气污染、汽车尾气、酸雨、二氧化硫、沙尘暴等方面的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城乡社区支出（类）城乡社区管理事务（款）</w:t>
      </w:r>
      <w:r>
        <w:rPr>
          <w:rFonts w:hint="eastAsia" w:ascii="仿宋_GB2312" w:eastAsia="仿宋_GB2312"/>
          <w:sz w:val="28"/>
          <w:szCs w:val="28"/>
        </w:rPr>
        <w:t>城管执法</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反映城市管理综合行政执法、加强城市市容和环境卫生管理等方面的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城乡社区支出（类）城乡社区管理事务（款）</w:t>
      </w:r>
      <w:r>
        <w:rPr>
          <w:rFonts w:hint="eastAsia" w:ascii="仿宋_GB2312" w:eastAsia="仿宋_GB2312"/>
          <w:sz w:val="28"/>
          <w:szCs w:val="28"/>
        </w:rPr>
        <w:t>其他城乡社区管理事务支出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城乡社区管理事务</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城乡社区支出（类）城乡社区规划与管理（款）</w:t>
      </w:r>
      <w:r>
        <w:rPr>
          <w:rFonts w:hint="eastAsia" w:ascii="仿宋_GB2312" w:eastAsia="仿宋_GB2312"/>
          <w:sz w:val="28"/>
          <w:szCs w:val="28"/>
        </w:rPr>
        <w:t>城乡社区规划与管理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反映城乡社区、防灾减灾、历史名城规划制定与管理等方面的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城乡社区支出（类）城乡社区公共设施（款）</w:t>
      </w:r>
      <w:r>
        <w:rPr>
          <w:rFonts w:hint="eastAsia" w:ascii="仿宋_GB2312" w:eastAsia="仿宋_GB2312"/>
          <w:sz w:val="28"/>
          <w:szCs w:val="28"/>
        </w:rPr>
        <w:t>其他城乡社区公共设施支出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城乡社区公共设施</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城乡社区支出（类）城乡社区环境卫生（款）</w:t>
      </w:r>
      <w:r>
        <w:rPr>
          <w:rFonts w:hint="eastAsia" w:ascii="仿宋_GB2312" w:eastAsia="仿宋_GB2312"/>
          <w:sz w:val="28"/>
          <w:szCs w:val="28"/>
        </w:rPr>
        <w:t>城乡社区环境卫生</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反映城乡社区道路清扫、垃圾清运与处理、公厕建设与维护、园林绿化等方面的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城市建设支出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农村基础设施建设支出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农业生产发展支出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反映土地出让收入用于高标准农田建设、农田水利建设、农村土地综合整治、耕地及永久基本农田保护支出、现代</w:t>
      </w:r>
      <w:r>
        <w:rPr>
          <w:rFonts w:hint="eastAsia" w:ascii="仿宋_GB2312" w:eastAsia="仿宋_GB2312"/>
          <w:sz w:val="28"/>
          <w:szCs w:val="28"/>
          <w:highlight w:val="none"/>
          <w:lang w:val="en-US" w:eastAsia="zh-CN"/>
        </w:rPr>
        <w:t>种业提升等方</w:t>
      </w:r>
      <w:r>
        <w:rPr>
          <w:rFonts w:hint="eastAsia" w:ascii="仿宋_GB2312" w:eastAsia="仿宋_GB2312"/>
          <w:sz w:val="28"/>
          <w:szCs w:val="28"/>
          <w:lang w:val="en-US" w:eastAsia="zh-CN"/>
        </w:rPr>
        <w:t>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农业农村生态环境支出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反映土地出让收入用于农村人居环境整治、与农业农村直接相关的山水林田湖草上台保护修复等方面的支出。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城乡社区支出（类）其他城乡社区支出（款）</w:t>
      </w:r>
      <w:r>
        <w:rPr>
          <w:rFonts w:hint="eastAsia" w:ascii="仿宋_GB2312" w:eastAsia="仿宋_GB2312"/>
          <w:sz w:val="28"/>
          <w:szCs w:val="28"/>
        </w:rPr>
        <w:t>其他城乡社区支出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农林水支出（类）农业农村（款）事业运行</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反映用于农业事业单位基本支出，事业单位设施、系统运行与资产维护等方面的支出。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农林水支出（类）农业农村（款）病虫害控制</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病虫鼠害及疫情监测、预报、预防、控制、检疫、防疫所需的仪器、设施、药物、疫苗、种苗，疫畜（禽、鱼、植物）防治、扑杀补偿及劳务补助、菌（毒）种保藏及动植物及其产品检疫、检测等方面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农业生产发展</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反映用于耕地地力保护、适度规模经营、农机购置与应用补贴、优势特色主导产业发展、畜牧水产发展、农村一二三产业融合等方面的支出。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农村社会事业</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反应用于农村社会事业发展的支出。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农业生态资源保护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反映用于草原草场利用，渔业水域资源环境保护，农业品种改良提升，以及农业生物资源调研收集、鉴定评价、保存利用等方面的支出。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耕地建设与利用</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反映用于农田建设和田间水利相关工程建设、盐碱地综合利用、黑土地保护、耕地轮作休耕、耕地质量提升等方面的支出。</w:t>
      </w:r>
    </w:p>
    <w:p>
      <w:pPr>
        <w:ind w:firstLine="420" w:firstLineChars="150"/>
        <w:rPr>
          <w:rFonts w:hint="default" w:ascii="仿宋_GB2312" w:eastAsia="仿宋_GB2312"/>
          <w:sz w:val="28"/>
          <w:szCs w:val="28"/>
          <w:highlight w:val="yellow"/>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其他农业农村支出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反映除上述项目以外其他用于农业农村方面的支出。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森林资源培育</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反映育苗(种)、造林、抚育、退化林修复、义务植树以及生物质能源建设等方面的支出。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林业草原防灾减灾</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反映用于病虫害等有害生物灾害、森林草原防火、野生动物疫病灾害等方面的支出。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其他林业和草原支出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反映除上述项目以外其他用于林业和草原方面的支出。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水资源节约管理与保护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反映水资源节约、监管、配置、调度、保护和基础管理工作的支出。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其他水利支出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w:t>
      </w:r>
      <w:r>
        <w:rPr>
          <w:rFonts w:hint="eastAsia" w:ascii="仿宋_GB2312" w:eastAsia="仿宋_GB2312"/>
          <w:sz w:val="28"/>
          <w:szCs w:val="28"/>
          <w:highlight w:val="none"/>
        </w:rPr>
        <w:t>水利</w:t>
      </w:r>
      <w:r>
        <w:rPr>
          <w:rFonts w:hint="eastAsia" w:ascii="仿宋_GB2312" w:eastAsia="仿宋_GB2312"/>
          <w:sz w:val="28"/>
          <w:szCs w:val="28"/>
          <w:highlight w:val="none"/>
          <w:lang w:val="en-US" w:eastAsia="zh-CN"/>
        </w:rPr>
        <w:t>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农林水支出（类）巩固脱贫攻坚成果衔接乡村振兴（款）生产发展</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反映用于农村欠发达地区发展种植业、养殖业、畜牧业、农副产品加工、林果地建设等生产发展项目以及相关技术推广等方面的项目支出。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农林水支出（类）农村综合改革（款）</w:t>
      </w:r>
      <w:r>
        <w:rPr>
          <w:rFonts w:hint="eastAsia" w:ascii="仿宋_GB2312" w:eastAsia="仿宋_GB2312"/>
          <w:sz w:val="28"/>
          <w:szCs w:val="28"/>
          <w:highlight w:val="none"/>
        </w:rPr>
        <w:t>对村民委员会和村党支部的补助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反映各级财政对村民委员会和村党支部的补助支出，以及支持建立县级基本财力保障机制安排的村级组织运转奖补资金。</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农林水支出（类）普惠金融发展支出（款）</w:t>
      </w:r>
      <w:r>
        <w:rPr>
          <w:rFonts w:hint="eastAsia" w:ascii="仿宋_GB2312" w:eastAsia="仿宋_GB2312"/>
          <w:sz w:val="28"/>
          <w:szCs w:val="28"/>
          <w:highlight w:val="none"/>
        </w:rPr>
        <w:t>农业保险保费补贴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反映对农民或农业生产经营组织投保农业保险给予的补贴。</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自然资源海洋气象等支出（类）自然资源事务（款）</w:t>
      </w:r>
      <w:r>
        <w:rPr>
          <w:rFonts w:hint="eastAsia" w:ascii="仿宋_GB2312" w:eastAsia="仿宋_GB2312"/>
          <w:sz w:val="28"/>
          <w:szCs w:val="28"/>
          <w:highlight w:val="none"/>
        </w:rPr>
        <w:t>自然资源调查与确权登记</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反映自然资源部门用于自然资源调查监测评价，自然资源统一确权方面的支出。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住房保障支出（类）住房改革支出（款）购房补贴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反映按房改政策规定，行政事业单位向符合条件职工（含离退休人员）、军队（含武警）向转役复员离退休人员发放的用于购买住房的补贴。</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灾害防治及应急管理支出（类）应急管理事务（款）</w:t>
      </w:r>
      <w:r>
        <w:rPr>
          <w:rFonts w:hint="eastAsia" w:ascii="仿宋_GB2312" w:eastAsia="仿宋_GB2312"/>
          <w:sz w:val="28"/>
          <w:szCs w:val="28"/>
          <w:highlight w:val="none"/>
        </w:rPr>
        <w:t>安全监管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反映安全生产综合监督管理和工贸行业安全生产监督管理方面的支出。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灾害防治及应急管理支出（类）消防救援事务（款）</w:t>
      </w:r>
      <w:r>
        <w:rPr>
          <w:rFonts w:hint="eastAsia" w:ascii="仿宋_GB2312" w:eastAsia="仿宋_GB2312"/>
          <w:sz w:val="28"/>
          <w:szCs w:val="28"/>
          <w:highlight w:val="none"/>
        </w:rPr>
        <w:t>其他消防救援事务支出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反映除上述项目以外其他用于消防救援方面的支出。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灾害防治及应急管理支出（类）自然灾害救灾及恢复重建支出（款）</w:t>
      </w:r>
      <w:r>
        <w:rPr>
          <w:rFonts w:hint="eastAsia" w:ascii="仿宋_GB2312" w:eastAsia="仿宋_GB2312"/>
          <w:sz w:val="28"/>
          <w:szCs w:val="28"/>
          <w:highlight w:val="none"/>
        </w:rPr>
        <w:t>自然灾害救灾补助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反映用于应对重大自然灾害应急救援和受灾群众救助的支出。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其他支出（类）彩票公益金安排的支出（款）</w:t>
      </w:r>
      <w:r>
        <w:rPr>
          <w:rFonts w:hint="eastAsia" w:ascii="仿宋_GB2312" w:eastAsia="仿宋_GB2312"/>
          <w:sz w:val="28"/>
          <w:szCs w:val="28"/>
          <w:highlight w:val="none"/>
        </w:rPr>
        <w:t>用于体育事业的彩票公益金支出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反映用于体育事业的彩票公益金支出。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ind w:firstLine="640" w:firstLineChars="200"/>
        <w:jc w:val="both"/>
        <w:rPr>
          <w:rFonts w:hint="eastAsia" w:ascii="黑体" w:eastAsia="黑体"/>
          <w:sz w:val="32"/>
          <w:szCs w:val="32"/>
        </w:rPr>
      </w:pPr>
    </w:p>
    <w:p>
      <w:pPr>
        <w:pStyle w:val="2"/>
        <w:rPr>
          <w:rFonts w:hint="eastAsia" w:ascii="黑体" w:eastAsia="黑体"/>
          <w:sz w:val="32"/>
          <w:szCs w:val="32"/>
        </w:rPr>
      </w:pPr>
    </w:p>
    <w:p>
      <w:pPr>
        <w:pStyle w:val="3"/>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pStyle w:val="2"/>
        <w:rPr>
          <w:rFonts w:hint="eastAsia" w:ascii="黑体" w:eastAsia="黑体"/>
          <w:sz w:val="28"/>
          <w:szCs w:val="28"/>
        </w:rPr>
      </w:pPr>
    </w:p>
    <w:p>
      <w:pPr>
        <w:pStyle w:val="3"/>
        <w:rPr>
          <w:rFonts w:hint="eastAsia" w:ascii="黑体" w:eastAsia="黑体"/>
          <w:sz w:val="28"/>
          <w:szCs w:val="28"/>
        </w:rPr>
      </w:pPr>
    </w:p>
    <w:p>
      <w:pPr>
        <w:rPr>
          <w:rFonts w:hint="eastAsia" w:ascii="黑体" w:eastAsia="黑体"/>
          <w:sz w:val="28"/>
          <w:szCs w:val="28"/>
        </w:rPr>
      </w:pPr>
    </w:p>
    <w:p>
      <w:pPr>
        <w:pStyle w:val="2"/>
        <w:rPr>
          <w:rFonts w:hint="eastAsia" w:ascii="黑体" w:eastAsia="黑体"/>
          <w:sz w:val="28"/>
          <w:szCs w:val="28"/>
        </w:rPr>
      </w:pPr>
    </w:p>
    <w:p>
      <w:pPr>
        <w:pStyle w:val="3"/>
        <w:rPr>
          <w:rFonts w:hint="eastAsia" w:ascii="黑体" w:eastAsia="黑体"/>
          <w:sz w:val="28"/>
          <w:szCs w:val="28"/>
        </w:rPr>
      </w:pPr>
    </w:p>
    <w:p>
      <w:pPr>
        <w:rPr>
          <w:rFonts w:hint="eastAsia" w:ascii="黑体" w:eastAsia="黑体"/>
          <w:sz w:val="28"/>
          <w:szCs w:val="28"/>
        </w:rPr>
      </w:pPr>
    </w:p>
    <w:p>
      <w:pPr>
        <w:pStyle w:val="2"/>
        <w:rPr>
          <w:rFonts w:hint="eastAsia" w:ascii="黑体" w:eastAsia="黑体"/>
          <w:sz w:val="28"/>
          <w:szCs w:val="28"/>
        </w:rPr>
      </w:pPr>
    </w:p>
    <w:p>
      <w:pPr>
        <w:rPr>
          <w:rFonts w:hint="eastAsia" w:ascii="黑体" w:eastAsia="黑体"/>
          <w:sz w:val="28"/>
          <w:szCs w:val="28"/>
        </w:rPr>
      </w:pPr>
    </w:p>
    <w:p>
      <w:pPr>
        <w:pStyle w:val="2"/>
        <w:rPr>
          <w:rFonts w:hint="eastAsia"/>
        </w:rPr>
      </w:pPr>
    </w:p>
    <w:p>
      <w:pPr>
        <w:pStyle w:val="3"/>
        <w:rPr>
          <w:rFonts w:hint="eastAsia"/>
        </w:rPr>
      </w:pPr>
    </w:p>
    <w:p>
      <w:pPr>
        <w:spacing w:line="560" w:lineRule="exact"/>
        <w:jc w:val="lef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w:t>
      </w: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部门整体绩效评价报告</w:t>
      </w:r>
    </w:p>
    <w:p>
      <w:pPr>
        <w:spacing w:line="560" w:lineRule="exact"/>
        <w:ind w:firstLine="560" w:firstLineChars="200"/>
        <w:rPr>
          <w:rFonts w:ascii="黑体" w:eastAsia="黑体"/>
          <w:sz w:val="28"/>
          <w:szCs w:val="28"/>
        </w:rPr>
      </w:pPr>
      <w:r>
        <w:rPr>
          <w:rFonts w:hint="eastAsia" w:ascii="黑体" w:eastAsia="黑体"/>
          <w:sz w:val="28"/>
          <w:szCs w:val="28"/>
        </w:rPr>
        <w:t>一、部门概况</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（一）机构设置及职责工作任务情况</w:t>
      </w:r>
    </w:p>
    <w:p>
      <w:pPr>
        <w:tabs>
          <w:tab w:val="center" w:pos="6979"/>
        </w:tabs>
        <w:spacing w:line="580" w:lineRule="exact"/>
        <w:ind w:firstLine="570"/>
        <w:rPr>
          <w:rFonts w:ascii="仿宋_GB2312" w:eastAsia="仿宋_GB2312"/>
          <w:sz w:val="28"/>
          <w:szCs w:val="28"/>
        </w:rPr>
      </w:pPr>
      <w:r>
        <w:rPr>
          <w:rFonts w:hint="eastAsia" w:ascii="仿宋_GB2312" w:hAnsi="Times New Roman" w:eastAsia="仿宋_GB2312" w:cs="Times New Roman"/>
          <w:sz w:val="28"/>
          <w:szCs w:val="28"/>
        </w:rPr>
        <w:t>从预算单位构成看，</w:t>
      </w:r>
      <w:r>
        <w:rPr>
          <w:rFonts w:hint="eastAsia" w:ascii="仿宋_GB2312" w:hAnsi="Times New Roman" w:eastAsia="仿宋_GB2312" w:cs="Times New Roman"/>
          <w:sz w:val="28"/>
          <w:szCs w:val="28"/>
          <w:lang w:val="en-US" w:eastAsia="zh-CN"/>
        </w:rPr>
        <w:t>长子营镇</w:t>
      </w:r>
      <w:r>
        <w:rPr>
          <w:rFonts w:hint="eastAsia" w:ascii="仿宋_GB2312" w:hAnsi="Times New Roman" w:eastAsia="仿宋_GB2312" w:cs="Times New Roman"/>
          <w:sz w:val="28"/>
          <w:szCs w:val="28"/>
        </w:rPr>
        <w:t>部门预算包括：</w:t>
      </w:r>
      <w:r>
        <w:rPr>
          <w:rFonts w:hint="eastAsia" w:ascii="仿宋_GB2312" w:hAnsi="Times New Roman" w:eastAsia="仿宋_GB2312" w:cs="Times New Roman"/>
          <w:sz w:val="28"/>
          <w:szCs w:val="28"/>
          <w:lang w:val="en-US" w:eastAsia="zh-CN"/>
        </w:rPr>
        <w:t>大兴区长子营镇人民政府（本级）、大兴区长子营镇中心卫生院。</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主要职能如下：</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(一)贯彻执行</w:t>
      </w:r>
      <w:r>
        <w:fldChar w:fldCharType="begin"/>
      </w:r>
      <w:r>
        <w:instrText xml:space="preserve"> HYPERLINK "http://www.so.com/s?q=%E4%B8%8A%E7%BA%A7&amp;ie=utf-8&amp;src=internal_wenda_recommend_textn" \t "_blank" </w:instrText>
      </w:r>
      <w:r>
        <w:fldChar w:fldCharType="separate"/>
      </w:r>
      <w:r>
        <w:rPr>
          <w:rFonts w:hint="eastAsia" w:ascii="仿宋_GB2312" w:eastAsia="仿宋_GB2312"/>
          <w:sz w:val="28"/>
          <w:szCs w:val="28"/>
        </w:rPr>
        <w:t>上级</w:t>
      </w:r>
      <w:r>
        <w:rPr>
          <w:rFonts w:hint="eastAsia" w:ascii="仿宋_GB2312" w:eastAsia="仿宋_GB2312"/>
          <w:sz w:val="28"/>
          <w:szCs w:val="28"/>
        </w:rPr>
        <w:fldChar w:fldCharType="end"/>
      </w:r>
      <w:r>
        <w:rPr>
          <w:rFonts w:hint="eastAsia" w:ascii="仿宋_GB2312" w:eastAsia="仿宋_GB2312"/>
          <w:sz w:val="28"/>
          <w:szCs w:val="28"/>
        </w:rPr>
        <w:t>的各项方针政策，保障公民享有宪法规定的</w:t>
      </w:r>
      <w:r>
        <w:fldChar w:fldCharType="begin"/>
      </w:r>
      <w:r>
        <w:instrText xml:space="preserve"> HYPERLINK "http://www.so.com/s?q=%E7%BB%8F%E6%B5%8E&amp;ie=utf-8&amp;src=internal_wenda_recommend_textn" \t "_blank" </w:instrText>
      </w:r>
      <w:r>
        <w:fldChar w:fldCharType="separate"/>
      </w:r>
      <w:r>
        <w:rPr>
          <w:rFonts w:hint="eastAsia" w:ascii="仿宋_GB2312" w:eastAsia="仿宋_GB2312"/>
          <w:sz w:val="28"/>
          <w:szCs w:val="28"/>
        </w:rPr>
        <w:t>经济</w:t>
      </w:r>
      <w:r>
        <w:rPr>
          <w:rFonts w:hint="eastAsia" w:ascii="仿宋_GB2312" w:eastAsia="仿宋_GB2312"/>
          <w:sz w:val="28"/>
          <w:szCs w:val="28"/>
        </w:rPr>
        <w:fldChar w:fldCharType="end"/>
      </w:r>
      <w:r>
        <w:rPr>
          <w:rFonts w:hint="eastAsia" w:ascii="仿宋_GB2312" w:eastAsia="仿宋_GB2312"/>
          <w:sz w:val="28"/>
          <w:szCs w:val="28"/>
        </w:rPr>
        <w:t>、</w:t>
      </w:r>
      <w:r>
        <w:fldChar w:fldCharType="begin"/>
      </w:r>
      <w:r>
        <w:instrText xml:space="preserve"> HYPERLINK "http://www.so.com/s?q=%E6%94%BF%E6%B2%BB&amp;ie=utf-8&amp;src=internal_wenda_recommend_textn" \t "_blank" </w:instrText>
      </w:r>
      <w:r>
        <w:fldChar w:fldCharType="separate"/>
      </w:r>
      <w:r>
        <w:rPr>
          <w:rFonts w:hint="eastAsia" w:ascii="仿宋_GB2312" w:eastAsia="仿宋_GB2312"/>
          <w:sz w:val="28"/>
          <w:szCs w:val="28"/>
        </w:rPr>
        <w:t>政治</w:t>
      </w:r>
      <w:r>
        <w:rPr>
          <w:rFonts w:hint="eastAsia" w:ascii="仿宋_GB2312" w:eastAsia="仿宋_GB2312"/>
          <w:sz w:val="28"/>
          <w:szCs w:val="28"/>
        </w:rPr>
        <w:fldChar w:fldCharType="end"/>
      </w:r>
      <w:r>
        <w:rPr>
          <w:rFonts w:hint="eastAsia" w:ascii="仿宋_GB2312" w:eastAsia="仿宋_GB2312"/>
          <w:sz w:val="28"/>
          <w:szCs w:val="28"/>
        </w:rPr>
        <w:t>和文化权利；制定和组织实施经济、科技和社会发展计划，组织指导好各业生产，抓好招商引资，不断培育市场体系，组织经济运行，促进经济发展。</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二)负责本行政区域内的民政、计划生育、文化教育、卫生、体育等社会公益事业的综合性工作，维护一切经济单位和个人的正当经济权益，取缔非法经济活动，调解和处理民事纠纷，打击刑事犯罪维护社会稳定。</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(三)按计划组织本级财政收入和地方税的征收，完成国家财政计划，不断培植税源，管好财政资金，增强财政实力。</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(四)抓好精神文明建设，丰富群众文化生活，提倡移风易俗，反对封建迷信，破除陈规陋习，树立社会主义新风尚。</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(五)加强综合治理，维护社会稳定，妥善处理突发性、</w:t>
      </w:r>
      <w:r>
        <w:fldChar w:fldCharType="begin"/>
      </w:r>
      <w:r>
        <w:instrText xml:space="preserve"> HYPERLINK "http://www.so.com/s?q=%E7%BE%A4%E4%BD%93%E6%80%A7%E4%BA%8B%E4%BB%B6&amp;ie=utf-8&amp;src=internal_wenda_recommend_textn" \t "_blank" </w:instrText>
      </w:r>
      <w:r>
        <w:fldChar w:fldCharType="separate"/>
      </w:r>
      <w:r>
        <w:rPr>
          <w:rFonts w:hint="eastAsia" w:ascii="仿宋_GB2312" w:eastAsia="仿宋_GB2312"/>
          <w:sz w:val="28"/>
          <w:szCs w:val="28"/>
        </w:rPr>
        <w:t>群体性事件</w:t>
      </w:r>
      <w:r>
        <w:rPr>
          <w:rFonts w:hint="eastAsia" w:ascii="仿宋_GB2312" w:eastAsia="仿宋_GB2312"/>
          <w:sz w:val="28"/>
          <w:szCs w:val="28"/>
        </w:rPr>
        <w:fldChar w:fldCharType="end"/>
      </w:r>
      <w:r>
        <w:rPr>
          <w:rFonts w:hint="eastAsia" w:ascii="仿宋_GB2312" w:eastAsia="仿宋_GB2312"/>
          <w:sz w:val="28"/>
          <w:szCs w:val="28"/>
        </w:rPr>
        <w:t>，调节和处理好各种</w:t>
      </w:r>
      <w:r>
        <w:fldChar w:fldCharType="begin"/>
      </w:r>
      <w:r>
        <w:instrText xml:space="preserve"> HYPERLINK "http://www.so.com/s?q=%E5%88%A9%E7%9B%8A&amp;ie=utf-8&amp;src=internal_wenda_recommend_textn" \t "_blank" </w:instrText>
      </w:r>
      <w:r>
        <w:fldChar w:fldCharType="separate"/>
      </w:r>
      <w:r>
        <w:rPr>
          <w:rFonts w:hint="eastAsia" w:ascii="仿宋_GB2312" w:eastAsia="仿宋_GB2312"/>
          <w:sz w:val="28"/>
          <w:szCs w:val="28"/>
        </w:rPr>
        <w:t>利益</w:t>
      </w:r>
      <w:r>
        <w:rPr>
          <w:rFonts w:hint="eastAsia" w:ascii="仿宋_GB2312" w:eastAsia="仿宋_GB2312"/>
          <w:sz w:val="28"/>
          <w:szCs w:val="28"/>
        </w:rPr>
        <w:fldChar w:fldCharType="end"/>
      </w:r>
      <w:r>
        <w:rPr>
          <w:rFonts w:hint="eastAsia" w:ascii="仿宋_GB2312" w:eastAsia="仿宋_GB2312"/>
          <w:sz w:val="28"/>
          <w:szCs w:val="28"/>
        </w:rPr>
        <w:t>矛盾和纠纷。</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部门整体绩效目标设立情况</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长子营镇坚持以习近平新时代中国特色社会主义思想、党的二十大和二十届二中全会精神为指引，在区委、区政府和镇党委坚强领导下，在镇人大依法监督下，镇政府紧紧团结和依靠全镇人民，用拼争实干顶住了经济压力，用超强应对经受了暴雨考验，用接续奋斗书写了芳华蝶变，用自信荣光踏响了高质量发展的铿锵足音，各项工作实现历史性突破，全年荣获区级以上荣誉24项，展现了开局之年的新气象、新作为。</w:t>
      </w:r>
    </w:p>
    <w:p>
      <w:pPr>
        <w:spacing w:line="560" w:lineRule="exact"/>
        <w:ind w:firstLine="560" w:firstLineChars="200"/>
        <w:rPr>
          <w:rFonts w:ascii="黑体" w:eastAsia="黑体"/>
          <w:sz w:val="28"/>
          <w:szCs w:val="28"/>
        </w:rPr>
      </w:pPr>
      <w:r>
        <w:rPr>
          <w:rFonts w:hint="eastAsia" w:ascii="黑体" w:eastAsia="黑体"/>
          <w:sz w:val="28"/>
          <w:szCs w:val="28"/>
        </w:rPr>
        <w:t>二、当年预算执行情况</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2024年全年预算数69375.64万元，其中，基本支出11946.37万元，项目支出50981.62万元，其他支出0.00万元。资金总体支出69375.64万元，其中，基本支出11946.37万元，项目支出50981.62万元，其他支出0.00万元。预算执行率为100%，预算科学合理。</w:t>
      </w:r>
    </w:p>
    <w:p>
      <w:pPr>
        <w:spacing w:line="560" w:lineRule="exact"/>
        <w:ind w:firstLine="560" w:firstLineChars="200"/>
        <w:rPr>
          <w:rFonts w:ascii="黑体" w:eastAsia="黑体"/>
          <w:sz w:val="28"/>
          <w:szCs w:val="28"/>
        </w:rPr>
      </w:pPr>
      <w:r>
        <w:rPr>
          <w:rFonts w:hint="eastAsia" w:ascii="黑体" w:eastAsia="黑体"/>
          <w:sz w:val="28"/>
          <w:szCs w:val="28"/>
        </w:rPr>
        <w:t>三、整体绩效目标实现情况</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（一）聚焦“高质量”，我们抓机遇、促提升，用“活力”彰显发展成色</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经济运行向新提质。厚植营商服务优势，领导班子包联重点企业，“上门”服务 44 家次。开展活力“营”商惠企活动 7 次，覆盖企业 259 家次，以商招商盘活存量空间 1.76 万平方米。放大“生态 + 产业”优势，“林下会客厅”走进次生林和湿地群，跟踪解决企业诉求 87 项，加速航天航太扩建项目。紧抓综保区协同优势，收集 5 条入区线索，对接 4 家商服配套，推动云豪集团拿地建厂，区位、空间、环境、政策等多重叠加优势不断彰显。</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土地资产向实增效。稳生产，严格落实耕地保护制度，建成高标准农田 1886 亩，恢复耕地 6000 余亩，粮食面积、总产、单产实现“两增一稳”。蔬菜播种面积 2.1 万亩、产量 6.6 万吨，实现双增长。保安全，瓜秧尾菜全面收储，农产品质量安全可追溯面积达 3300 余亩，农产品质量定性检测合格率 100%。增效益，发放菜粮补贴近 1000 万元，惠及 2000 余农户。流转土地340 余亩，村集体增收约 80 万元。车固营二村村集体经济增收帮扶项目有序推进，村企联动新种试种水果甘蓝等特色蔬菜 5 种，实现村集体增收 30%。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旅游发展向质深耕。夯基础，完成旅游资源普查，成功申报旅游公共服务设施项目 2 个，指导绿绮获评乙级（四星级）旅游民宿。优业态，持续释放旅游季系列活动新活力，打造银发游、研学游、赛事游等消费新引擎，“蘑幻森林”正式开园，“跑营长子 湿地公园站”等各类活动吸引游客 5 万余名。塑品牌，呀路古做客北京时间，走进区级文旅推介会，首批游客“浪漫推荐官”为长子营代言。推出“游在长子”旅游品牌，市区镇各平台发布旅游宣传信息约 40 条，上半年接待游客人数 24.7万人，旅游综合收入达 727 万元。</w:t>
      </w:r>
    </w:p>
    <w:p>
      <w:pPr>
        <w:pStyle w:val="11"/>
        <w:spacing w:line="560" w:lineRule="exact"/>
        <w:ind w:firstLine="560" w:firstLineChars="200"/>
        <w:rPr>
          <w:rFonts w:ascii="仿宋_GB2312" w:eastAsia="仿宋_GB2312"/>
          <w:sz w:val="28"/>
          <w:szCs w:val="28"/>
        </w:rPr>
      </w:pPr>
      <w:r>
        <w:rPr>
          <w:rFonts w:hint="eastAsia" w:ascii="仿宋_GB2312" w:eastAsia="仿宋_GB2312"/>
          <w:sz w:val="28"/>
          <w:szCs w:val="28"/>
        </w:rPr>
        <w:t>（二）聚焦“高水平”，我们抓产业、集资源，用“品质”增添乡村亮色</w:t>
      </w:r>
    </w:p>
    <w:p>
      <w:pPr>
        <w:pStyle w:val="11"/>
        <w:spacing w:line="560" w:lineRule="exact"/>
        <w:ind w:firstLine="560" w:firstLineChars="200"/>
        <w:rPr>
          <w:rFonts w:ascii="仿宋_GB2312" w:eastAsia="仿宋_GB2312"/>
          <w:sz w:val="28"/>
          <w:szCs w:val="28"/>
        </w:rPr>
      </w:pPr>
      <w:r>
        <w:rPr>
          <w:rFonts w:hint="eastAsia" w:ascii="仿宋_GB2312" w:eastAsia="仿宋_GB2312"/>
          <w:sz w:val="28"/>
          <w:szCs w:val="28"/>
        </w:rPr>
        <w:t>现代农业持续发力。科技兴农，乡村振兴供需对接会在长子营顺利召开，17 家市级学会、19 家农企共谋科技助农新路径，引育“京麦 189 号”、林下绿豆、优质番茄等优良品种 5 个。产业兴农，现代农业产业园提升、蔬菜智慧种苗建设、以奖代补等 4 个项目顺利通过评审，长子营净菜产业荣登人民日报。质量兴农，开展有机质土壤试验和新品种示范及种子种苗化推广工作，京翊峰挂牌市农林科学院“综合应用场景”。种业兴农，承办第三十二届中国北京种业大会分会场系列活动，全区唯一。京翊峰科技小院等 4 家集约化育苗厂带动作用明显，半年育苗量达 2000 万株。</w:t>
      </w:r>
    </w:p>
    <w:p>
      <w:pPr>
        <w:pStyle w:val="11"/>
        <w:spacing w:line="560" w:lineRule="exact"/>
        <w:ind w:firstLine="560" w:firstLineChars="200"/>
        <w:rPr>
          <w:rFonts w:ascii="仿宋_GB2312" w:eastAsia="仿宋_GB2312"/>
          <w:sz w:val="28"/>
          <w:szCs w:val="28"/>
        </w:rPr>
      </w:pPr>
      <w:r>
        <w:rPr>
          <w:rFonts w:hint="eastAsia" w:ascii="仿宋_GB2312" w:eastAsia="仿宋_GB2312"/>
          <w:sz w:val="28"/>
          <w:szCs w:val="28"/>
        </w:rPr>
        <w:t>项目建设持续推进。储备提质，围绕综保区建设，储备道路综合等基础设施项目 10 个。围绕镇域发展，谋划环境治理等民生项目 6 个。围绕重点领域，争取城市更新、社会民生等固投项目 3 个。保障提效，推进综保区一期范围 18 个项目实施建设，完成市级重点工程 500 千伏变电站项目腾退工作。建设提速，长子营中心幼儿园建设工程完成招标，长子营中学消隐改造项目总进度达 75%，5 个村级组织综合服务用房交付使用。成功串联留民营路与国道 230 关键节点，打通区域路网关键“断点”。</w:t>
      </w:r>
    </w:p>
    <w:p>
      <w:pPr>
        <w:pStyle w:val="11"/>
        <w:spacing w:line="560" w:lineRule="exact"/>
        <w:ind w:firstLine="560" w:firstLineChars="200"/>
      </w:pPr>
      <w:r>
        <w:rPr>
          <w:rFonts w:hint="eastAsia" w:ascii="仿宋_GB2312" w:eastAsia="仿宋_GB2312"/>
          <w:sz w:val="28"/>
          <w:szCs w:val="28"/>
        </w:rPr>
        <w:t>文脉底蕴持续深耕。积极融入“一轴两带三区”文化格局，承办大兴区龙河凤河系列文化活动，举办第三届凤河文化大会、京晋文化沙龙，助力京津冀晋四地文化融合发展。深挖文化资源，建设宫廷木作文化基地，葫芦烙画等实践课程正式开课。推动非遗传承，车固营灯彩走进人民大会堂，白庙村音乐会贾廷信入选国家级非遗传承人。放大文化声量，深化 6 个短视频品牌建设，发布“我的家 我代言”“食在长子”等 130 期。央、市、区媒体持续关注长子营，推发信息 227 条，医疗服务、农林文旅融合等亮点获人民日报、新华网、央广网等媒体点赞报道。</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（三）聚焦“高起点”，我们抓基础、优环境，用“绿色”绘就生态特色</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坚持环境治理系统化。“三源协同”精准治理，PM2.5、TSP浓度分别同比改善16.15%、8.52%，实现“双下降”。降尘量位居全区前二，空气质量优良率达 94%。“三区共管”靶向治理，正式启动生态环境部京津冀重大专项子课题应用试点，开展巡查检查、监管执法 180 余次，道路尘负荷位居全区前三。“三水统筹”融合治理，镇村两级河长巡河达标率保持 100%。实施安大排沟、河津营环岛地下方涵、老旱河清淤等工程，完成农村水系整治 30 余公里，区控以上断面水质优良率保持 100%。坚持生态建设宜居化。筑牢绿美屏障，各级林长巡林 1000余次，完成林分结构调整 1100 亩、林下补植 1.2 万余株、松材线虫病防治 4000 余亩，建设保育小区 1 处。增强绿美效益，发展林下立体复合经济 2000 余亩，建设林菌、林禽等林下种养植基地 3 个，培育新型林业经营主体 1 家。优化绿美环境，保护与造林绿化工程取得新成效，赤鲁村入选花园村庄创建单位，长子营湿地公园开门迎客，国家一级保护动物黄胸鹀首次现身长子营，国家“三有”保护动物豆雁驻足湿地获学习强国关注报道。</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坚持城镇管理精细化。以拆促改，进一步加强“两违”治理，拆除总面积达 15 万平方米，完成违法用地图斑整治 19 宗，高质量提前完成全年拆违任务。以改促治，紧盯“三清一改”落实，动员群众 2.2 万余人次，深入背街小巷、村内主街及卫生死角开展周末大扫除活动。以治促升，农村人居环境整治“再发力”，市级人居环境检查全区排名位居前三，实现乡村环境从“一时美”到“一直美”。</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（四）聚焦“高标准”，我们抓安全、保稳定，用“平安”</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坚守基层底色治理体系不断优化。积案化解工作取得实效，建立“一案一专班”攻坚机制，有效化解朱庄村别墅“骨头案”。“12345”案件承办量同比下降 11.7%，直派案件双是率和分转案件双是率分别同比增长 10.4%、13.5%，实现“一下降两提升”。常态化开展扫黑除恶斗争，严厉打击各类违法犯罪活动。圆满完成重大节点安保维稳任务。安全指数不断提升。深入实施安全生产治本攻坚三年行动，开展各类安全检查 1.2 万家次，排查整改隐患 2500 余处，完成“企安安”动火报备备案 1548 处，检查率、达标率达“双百”。持续完善“135 快速救援圈”，发放消防“四件套”224 套，开展消防安全及应急疏散演练 24 次。扎实做好应急值守、防火防汛等工作，有力筑牢“安全堤”。社会管理不断完善。严格落实食品安全“两个责任”工作，综合满意度连续三年稳步上升。严厉打击“无证无照”经营行为，实现涉食无照经营动态清零。拧紧特种设备“安全阀”，实现特种设备注册登记率、定期检验率、作业人员持证上岗率均达100%。常态化巩固创城创卫成果，累计检查单位 200 余家次，问题整改率 100%。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（五）聚焦“高效率”，我们抓服务、增福祉，用“幸福”</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托起民生本色公共服务更有温度。以“最多跑一次”改革为抓手，深化“去窗口化”试点，上线“兴帮办”智慧服务终端。高效化解劳动争议，欠薪案件和投诉数量实现“双下降”。以丰富文体供给为主线，开展群众性活动 60 余场，举办全民健身季系列赛事，乒乓球赛、篮球赛等活动惠及群众超万人次。以深化文明实践为核心，选树北京榜样、首都劳动模范、新时代好少年 4 名，凝聚向上向善正能量。</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民生保障更有力度。稳就业，举办招聘会 6 场，提供岗位1731 个，促成就业意向 392 人次。兜底线，救助各类困难群众 2.2万人次，发放救助资金 1088 万元。提升助残服务水平，完成 24户居家无障碍改造，建成温馨家园 3 处，惠及 358 人。强保障，投放公共租赁住房补贴 48 户，备案家庭综合保障率达 90%。深化退役军人全程“帮代办”服务，累计保障服务 1600 余人次。社会事业更有品质。优质医疗再扩容，举办第三届大型义诊活动，18 名知名专家到镇坐诊，服务群众超 300 人次。大力发展中医康养、老年医养等特色服务，开展活动 48 场，推动“两病”患者等重点人群家庭医生签约率达 98% 以上。检验和放射项目纳入市级互认范围，家门口的健康服务更加触手可及。优质教育再提质，新增公办学位 80 个，中考上线率、录取率均居全区农村校前列。长子营学校成功承办市级青少年航模锦标赛、</w:t>
      </w:r>
    </w:p>
    <w:p>
      <w:pPr>
        <w:tabs>
          <w:tab w:val="center" w:pos="6979"/>
        </w:tabs>
        <w:spacing w:line="580" w:lineRule="exact"/>
        <w:rPr>
          <w:rFonts w:ascii="仿宋_GB2312" w:eastAsia="仿宋_GB2312"/>
          <w:sz w:val="28"/>
          <w:szCs w:val="28"/>
        </w:rPr>
      </w:pPr>
      <w:r>
        <w:rPr>
          <w:rFonts w:hint="eastAsia" w:ascii="仿宋_GB2312" w:eastAsia="仿宋_GB2312"/>
          <w:sz w:val="28"/>
          <w:szCs w:val="28"/>
        </w:rPr>
        <w:t>区级中小学生空竹比赛，荣获北京市首批家校社协同育人实践基地。支持统计、国防动员、双拥共建等工作取得新成效，长子营镇斩获大兴区第二届全民国防知识技能大赛桂冠。</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（六）聚焦“高站位”，我们抓作风、强作为，政府效能不断提升</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强化政治建设。深入贯彻习近平新时代中国特色社会主义思想，深刻领悟“两个确立”的决定性意义，增强“四个意识”、坚定“四个自信”、做到“两个维护”，把坚持和加强党的全面领导贯穿政府工作全过程和各领域。强化法治建设。纵深推进法治政府建设，不断完善综合执法体制，累计公开政府信息 102 条，受理依申请公开政府信息5件。自觉接受人大监督，主动向人大代表述职 12 次，快办实干成为工作常态。</w:t>
      </w:r>
    </w:p>
    <w:p>
      <w:pPr>
        <w:tabs>
          <w:tab w:val="center" w:pos="6979"/>
        </w:tabs>
        <w:spacing w:line="580" w:lineRule="exact"/>
        <w:ind w:firstLine="570"/>
      </w:pPr>
      <w:r>
        <w:rPr>
          <w:rFonts w:hint="eastAsia" w:ascii="仿宋_GB2312" w:eastAsia="仿宋_GB2312"/>
          <w:sz w:val="28"/>
          <w:szCs w:val="28"/>
        </w:rPr>
        <w:t>强化廉政建设。持续开展深入贯彻中央八项规定精神学习教育，锲而不舍纠“四风”、树清风，坚决把“过紧日子”的要求落到实处。强化内部审计，开展重点项目、镇属企业内审工作，资金使用监管约束更加有力。四、预算管理情况分析。</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（一）财务管理</w:t>
      </w:r>
    </w:p>
    <w:p>
      <w:pPr>
        <w:ind w:firstLine="537" w:firstLineChars="192"/>
        <w:rPr>
          <w:rFonts w:ascii="仿宋_GB2312" w:eastAsia="仿宋_GB2312"/>
          <w:sz w:val="28"/>
          <w:szCs w:val="28"/>
        </w:rPr>
      </w:pPr>
      <w:r>
        <w:rPr>
          <w:rFonts w:hint="eastAsia" w:ascii="仿宋_GB2312" w:eastAsia="仿宋_GB2312"/>
          <w:sz w:val="28"/>
          <w:szCs w:val="28"/>
        </w:rPr>
        <w:t>1.财务管理制度健全性</w:t>
      </w:r>
    </w:p>
    <w:p>
      <w:pPr>
        <w:ind w:firstLine="537" w:firstLineChars="192"/>
        <w:rPr>
          <w:rFonts w:ascii="仿宋_GB2312" w:eastAsia="仿宋_GB2312"/>
          <w:sz w:val="28"/>
          <w:szCs w:val="28"/>
        </w:rPr>
      </w:pPr>
      <w:r>
        <w:rPr>
          <w:rFonts w:hint="eastAsia" w:ascii="仿宋_GB2312" w:eastAsia="仿宋_GB2312"/>
          <w:sz w:val="28"/>
          <w:szCs w:val="28"/>
        </w:rPr>
        <w:t>长子营镇根据国家法律法规与政策要求，结合实际情况和管理需求，制定财务管理规章制度，以确保财务管理的科学化和规范化。遵照预算计划执行，严格遵照财务制度，规范财务行为，加强财务核算和财务监督，杜绝不合理开支。制定并完善《北京市大兴区长子营镇</w:t>
      </w:r>
      <w:r>
        <w:rPr>
          <w:rFonts w:hint="eastAsia" w:ascii="仿宋_GB2312" w:eastAsia="仿宋_GB2312"/>
          <w:sz w:val="28"/>
          <w:szCs w:val="28"/>
          <w:lang w:eastAsia="zh-CN"/>
        </w:rPr>
        <w:t>人民政府府</w:t>
      </w:r>
      <w:r>
        <w:rPr>
          <w:rFonts w:hint="eastAsia" w:ascii="仿宋_GB2312" w:eastAsia="仿宋_GB2312"/>
          <w:sz w:val="28"/>
          <w:szCs w:val="28"/>
        </w:rPr>
        <w:t>内部控制制度汇编》，作为内部控制管理的重要参考资料，为规范财务管理提供了有力的制度保障。</w:t>
      </w:r>
    </w:p>
    <w:p>
      <w:pPr>
        <w:ind w:firstLine="537" w:firstLineChars="192"/>
        <w:rPr>
          <w:rFonts w:ascii="仿宋_GB2312" w:eastAsia="仿宋_GB2312"/>
          <w:sz w:val="28"/>
          <w:szCs w:val="28"/>
        </w:rPr>
      </w:pPr>
      <w:r>
        <w:rPr>
          <w:rFonts w:hint="eastAsia" w:ascii="仿宋_GB2312" w:eastAsia="仿宋_GB2312"/>
          <w:sz w:val="28"/>
          <w:szCs w:val="28"/>
        </w:rPr>
        <w:t>2.资金使用合规性和安全性</w:t>
      </w:r>
    </w:p>
    <w:p>
      <w:pPr>
        <w:ind w:firstLine="537" w:firstLineChars="192"/>
        <w:rPr>
          <w:rFonts w:ascii="仿宋_GB2312" w:eastAsia="仿宋_GB2312"/>
          <w:sz w:val="28"/>
          <w:szCs w:val="28"/>
        </w:rPr>
      </w:pPr>
      <w:r>
        <w:rPr>
          <w:rFonts w:hint="eastAsia" w:ascii="仿宋_GB2312" w:eastAsia="仿宋_GB2312"/>
          <w:sz w:val="28"/>
          <w:szCs w:val="28"/>
        </w:rPr>
        <w:t>严格按照政策规定编制部门预算，切实细化各项目支出预算，全面反映部门所有收支，科学分配财政资金，提高资金的配置效率和支出绩效，切实降低行政运行成本。一是在岗位设置方面，按照“职务分离、钱账分离、物账分离”原则，使不相容职务之间相互制约、相互监督，保障了资金使用的安全性。二是在资金支出审批环节，严格按照各级领导“分工负责、分级审批”原则，对于超范围、超标准、不符合相关规定的支出不予审批，强化事前控制。三是在会计核算环节，加强支出的审批控制，明确支出内部审批权限、程序、责任和相关控制措施，财务人员严格审核原始凭证，对未按规定执行、单据不全、手续不完备的原始凭证以及未经审批完成的经费支出业务拒绝办理，保障资金使用的合规性。</w:t>
      </w:r>
    </w:p>
    <w:p>
      <w:pPr>
        <w:ind w:firstLine="537" w:firstLineChars="192"/>
        <w:rPr>
          <w:rFonts w:ascii="仿宋_GB2312" w:eastAsia="仿宋_GB2312"/>
          <w:sz w:val="28"/>
          <w:szCs w:val="28"/>
        </w:rPr>
      </w:pPr>
      <w:r>
        <w:rPr>
          <w:rFonts w:hint="eastAsia" w:ascii="仿宋_GB2312" w:eastAsia="仿宋_GB2312"/>
          <w:sz w:val="28"/>
          <w:szCs w:val="28"/>
        </w:rPr>
        <w:t>3.会计基础信息完善性</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在财务管理和会计工作中，会计基础信息的完善性对于确保财务报告的准确性、透明度和合规性至关重要。长子营镇严格根据各类经济业务实际，按照《会计法》和《会计基础工作规范》等要求开展会计核算，保证了各项财务会计信息的真实、完整、准确。一是提升会计人员的专业性。不断加强会计人员的专业理论学习，熟悉和掌握其中的法律、法规、制度以及各类规定，使其不断更新业务知识，提高业务素质，扎扎实实地依法做好会计基础工作。二是保证原始凭证的规范性。不断强化原始凭证的格式、内容、填制方法、审核程序等的要求，符合会计制度要求；三是保障财务资料的完整性。财务部定期对各项会计档案整理立卷，装订成册，并通过信息化手段加强对会计档案的管理备份，妥善保管，调阅和销毁符合规定手续。精心编制财务资料，严格把控每一项基础数据信息和会计信息资料的真实性、准确性及完整性，为财务报告的可靠性提供了坚实保障。配合做好各项审计监督工作，提供部门真实数据资料，对审计监督工作中遇到的问题及时提供帮助，加强沟通，保证审计监督工作顺利进行。</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（二）资产管理</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长子营镇制定并完善《北京市大兴区长子营镇</w:t>
      </w:r>
      <w:r>
        <w:rPr>
          <w:rFonts w:hint="eastAsia" w:ascii="仿宋_GB2312" w:eastAsia="仿宋_GB2312"/>
          <w:sz w:val="28"/>
          <w:szCs w:val="28"/>
          <w:lang w:eastAsia="zh-CN"/>
        </w:rPr>
        <w:t>人民政府府</w:t>
      </w:r>
      <w:r>
        <w:rPr>
          <w:rFonts w:hint="eastAsia" w:ascii="仿宋_GB2312" w:eastAsia="仿宋_GB2312"/>
          <w:sz w:val="28"/>
          <w:szCs w:val="28"/>
        </w:rPr>
        <w:t>内部控制制度汇编》，针对资产管理方面，明确了各类资产的管理责任和使用规范，包括固定资产的配置、回收、处置等各环节资产管理要求，定期对资产进行定期清查盘点，做到账账、账卡、账实相符，确保资产安全完整。通过定期盘点、清查和评估，确保资产的账实相符，防止资产的流失和损坏。明确相关部门人员的责任、权利、义务，定期对各项财产物资进行盘点，并将盘点结果与会计记录进行核对，出现不一致时应分析原因、查明责任、完善管理制度。</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（三）绩效管理</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长子营镇严格按照中央和北京市关于全面实施预算绩效管理的要求，持续深化预算绩效管理改革，认真落实《大兴区预算绩效目标管理办法》等文件精神，推动预算绩效管理提质增效。</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是夯实绩效目标管理基础。将绩效目标设置作为预算安排的前置条件，依托信息化系统加强审核，提升目标设定科学性。二是强化绩效运行监控。2024年实现项目绩效监控全覆盖，开展日常监控和定期重点监控。开展重点项目月度分析，及时纠偏止损，保障资金使用安全高效。三是深化绩效评价应用。全面推进绩效自评，2024年实现各科室绩效管理全覆盖。共对309个项目开展自评，得分均在90分及以上，覆盖率达100%。开展事前绩效评估项目1个、项目支出绩效评价1个、成本绩效分析3个，有效提升预算编制的科学性和准确性。</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（四）部门预决算差异率</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2024年全年预算数</w:t>
      </w:r>
      <w:bookmarkStart w:id="0" w:name="OLE_LINK1"/>
      <w:r>
        <w:rPr>
          <w:rFonts w:hint="eastAsia" w:ascii="仿宋_GB2312" w:eastAsia="仿宋_GB2312"/>
          <w:sz w:val="28"/>
          <w:szCs w:val="28"/>
        </w:rPr>
        <w:t>69375.64</w:t>
      </w:r>
      <w:bookmarkEnd w:id="0"/>
      <w:r>
        <w:rPr>
          <w:rFonts w:hint="eastAsia" w:ascii="仿宋_GB2312" w:eastAsia="仿宋_GB2312"/>
          <w:sz w:val="28"/>
          <w:szCs w:val="28"/>
        </w:rPr>
        <w:t>万元，其中，基本支出11946.37万元，项目支出50981.62万元，其他支出0.00万元。资金总体支出69375.64万元，其中，基本支出11946.37万元，项目支出50981.62万元，其他支出0.00万元。预算执行率为100%，预算科学合理。</w:t>
      </w:r>
    </w:p>
    <w:p>
      <w:pPr>
        <w:spacing w:line="560" w:lineRule="exact"/>
        <w:ind w:firstLine="560" w:firstLineChars="200"/>
        <w:rPr>
          <w:rFonts w:ascii="黑体" w:eastAsia="黑体"/>
          <w:sz w:val="28"/>
          <w:szCs w:val="28"/>
        </w:rPr>
      </w:pPr>
      <w:r>
        <w:rPr>
          <w:rFonts w:hint="eastAsia" w:ascii="黑体" w:eastAsia="黑体"/>
          <w:sz w:val="28"/>
          <w:szCs w:val="28"/>
        </w:rPr>
        <w:t>五、总体评价结论</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（一）评价得分情况</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长子营镇2024年度依据各业务科室申报项目职责和事业发展要求，设立并通过预算安排的项目支出在一定期限内预期达到的产出和效果，项目支出绩效目标表填报完整，并及时随部门预算公开。2024年实现各科室绩效管理全覆盖。共对309个项目开展自评，得分均在90分及以上，覆盖率达100%。开展事前绩效评估项目1个、项目支出绩效评价1个、成本绩效分析3个，有效提升预算编制的科学性和准确性。</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（二）存在的问题及原因分析</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 部分项目的绩效目标填报不够完整，未充分细化、量化。具体表现在时效指标未明确关键时间节点，导致完成情况难以准确衡量；部分质量指标的量化程度不足，可考核性有待提高。</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 个别项目立项依据不够充分，未能清晰阐述项目目标、预期成果、社会经济效益以及项目实施的紧迫性与必要性。项目单位在绩效管理方面仍存在短板，未结合项目具体特点和实际情况深入设定有针对性的绩效目标。</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 项目管理仍存在薄弱环节，注重项目内容的完成而忽视了决策程序、实施过程的规范管理及事后总结分析，导致部分项目决策不够严谨。效益佐证材料收集不全面，完整性有待加强，缺乏对效益实现情况系统、详实的资料整理与支撑。</w:t>
      </w:r>
    </w:p>
    <w:p>
      <w:pPr>
        <w:tabs>
          <w:tab w:val="center" w:pos="6979"/>
        </w:tabs>
        <w:spacing w:line="580" w:lineRule="exact"/>
        <w:ind w:firstLine="570"/>
        <w:rPr>
          <w:rFonts w:ascii="仿宋_GB2312" w:eastAsia="仿宋_GB2312"/>
          <w:sz w:val="28"/>
          <w:szCs w:val="28"/>
        </w:rPr>
      </w:pPr>
      <w:r>
        <w:rPr>
          <w:rFonts w:hint="eastAsia" w:ascii="黑体" w:eastAsia="黑体"/>
          <w:sz w:val="28"/>
          <w:szCs w:val="28"/>
        </w:rPr>
        <w:t>六、措施建议</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严格按照北京市及大兴区预算绩效管理的要求，合理编制绩效目标，按照具体工作内容细化绩效指标和量化指标值。建立绩效指标库，不断提升绩效目标设置的合理性、科学性。例如在填报时效指标时，应明确项目的起止时间、关键阶段的时间节点以及预期的完成时间。对于质量指标，应尽可能细化量化标准，如采用达标率、合格率、错误率等具体指标来衡量项目成果的质量。</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对于部分项目开展事前绩效评估，进行全面的市场调研、政策分析、技术可行性研究等，确保项目符合市场需求、政策导向和技术发展趋势。清晰界定项目的目标、预期成果、社会经济效益及项目实施的紧迫性和必要性，为立项提供充分依据。可以通过组织专家团队、相关部门及利益相关者进行多方论证和评审，广泛征求意见，确保项目立项的科学性和合理性。结合项目具体实施内容细化预算，提高预算编制的科学性和准确性。</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定期对项目进度、成本、质量等方面进行检查和评估。及时发现并解决问题。加强预算绩效管理的意识，结合项目内容、工作安排等，科学设定项目绩效目标及绩效指标，提升各项指标的可考量性、可评价性，为实施项目提供指导。增强项目管理意识，重视决策过程、实施过程管理及对项目实施后的总结分析，提高项目管理的整体水平和效果。</w:t>
      </w:r>
    </w:p>
    <w:p>
      <w:pPr>
        <w:spacing w:line="480" w:lineRule="exact"/>
        <w:ind w:firstLine="560" w:firstLineChars="200"/>
        <w:rPr>
          <w:rFonts w:hint="eastAsia" w:ascii="仿宋_GB2312" w:hAnsi="宋体" w:eastAsia="仿宋_GB2312" w:cs="宋体"/>
          <w:color w:val="000000"/>
          <w:kern w:val="0"/>
          <w:sz w:val="28"/>
          <w:szCs w:val="28"/>
        </w:rPr>
      </w:pPr>
    </w:p>
    <w:p>
      <w:pPr>
        <w:spacing w:line="480" w:lineRule="exact"/>
        <w:ind w:firstLine="640" w:firstLineChars="200"/>
        <w:rPr>
          <w:rFonts w:hint="eastAsia" w:ascii="仿宋_GB2312" w:hAnsi="宋体" w:eastAsia="仿宋_GB2312" w:cs="宋体"/>
          <w:color w:val="000000"/>
          <w:kern w:val="0"/>
          <w:sz w:val="32"/>
          <w:szCs w:val="32"/>
        </w:rPr>
      </w:pPr>
    </w:p>
    <w:p>
      <w:pPr>
        <w:spacing w:line="480" w:lineRule="exact"/>
        <w:ind w:firstLine="560" w:firstLineChars="200"/>
        <w:rPr>
          <w:rFonts w:hint="eastAsia" w:ascii="仿宋_GB2312" w:hAnsi="宋体" w:eastAsia="仿宋_GB2312" w:cs="宋体"/>
          <w:color w:val="000000"/>
          <w:kern w:val="0"/>
          <w:sz w:val="28"/>
          <w:szCs w:val="28"/>
        </w:rPr>
      </w:pPr>
    </w:p>
    <w:p>
      <w:pPr>
        <w:spacing w:line="480" w:lineRule="exact"/>
        <w:ind w:firstLine="560" w:firstLineChars="200"/>
        <w:rPr>
          <w:rFonts w:hint="eastAsia" w:ascii="仿宋_GB2312" w:hAnsi="宋体" w:eastAsia="仿宋_GB2312" w:cs="宋体"/>
          <w:color w:val="000000"/>
          <w:kern w:val="0"/>
          <w:sz w:val="28"/>
          <w:szCs w:val="28"/>
        </w:rPr>
      </w:pPr>
    </w:p>
    <w:p>
      <w:pPr>
        <w:spacing w:line="480" w:lineRule="exact"/>
        <w:ind w:firstLine="560" w:firstLineChars="200"/>
        <w:rPr>
          <w:rFonts w:hint="eastAsia" w:ascii="仿宋_GB2312" w:hAnsi="宋体" w:eastAsia="仿宋_GB2312" w:cs="宋体"/>
          <w:color w:val="000000"/>
          <w:kern w:val="0"/>
          <w:sz w:val="28"/>
          <w:szCs w:val="28"/>
        </w:rPr>
      </w:pPr>
    </w:p>
    <w:p>
      <w:pPr>
        <w:pStyle w:val="2"/>
        <w:rPr>
          <w:rFonts w:hint="eastAsia" w:ascii="仿宋_GB2312" w:hAnsi="宋体" w:eastAsia="仿宋_GB2312" w:cs="宋体"/>
          <w:color w:val="000000"/>
          <w:kern w:val="0"/>
          <w:sz w:val="28"/>
          <w:szCs w:val="28"/>
        </w:rPr>
      </w:pPr>
    </w:p>
    <w:p>
      <w:pPr>
        <w:pStyle w:val="3"/>
        <w:rPr>
          <w:rFonts w:hint="eastAsia"/>
        </w:rPr>
      </w:pPr>
    </w:p>
    <w:p>
      <w:pPr>
        <w:spacing w:line="480" w:lineRule="exact"/>
        <w:ind w:firstLine="560" w:firstLineChars="200"/>
        <w:rPr>
          <w:rFonts w:hint="eastAsia" w:ascii="仿宋_GB2312" w:hAnsi="宋体" w:eastAsia="仿宋_GB2312" w:cs="宋体"/>
          <w:color w:val="000000"/>
          <w:kern w:val="0"/>
          <w:sz w:val="28"/>
          <w:szCs w:val="28"/>
        </w:rPr>
      </w:pPr>
    </w:p>
    <w:p>
      <w:pPr>
        <w:spacing w:line="480" w:lineRule="exact"/>
        <w:rPr>
          <w:rFonts w:hint="eastAsia" w:ascii="仿宋_GB2312" w:hAnsi="宋体" w:eastAsia="仿宋_GB2312" w:cs="宋体"/>
          <w:color w:val="000000"/>
          <w:kern w:val="0"/>
          <w:sz w:val="32"/>
          <w:szCs w:val="32"/>
        </w:rPr>
      </w:pPr>
    </w:p>
    <w:tbl>
      <w:tblPr>
        <w:tblStyle w:val="13"/>
        <w:tblW w:w="14174" w:type="dxa"/>
        <w:tblInd w:w="0" w:type="dxa"/>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2024年度部门整体绩效评价表</w:t>
            </w:r>
          </w:p>
        </w:tc>
      </w:tr>
      <w:tr>
        <w:tblPrEx>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一、当年预算执行情况（20分）</w:t>
            </w:r>
          </w:p>
        </w:tc>
      </w:tr>
      <w:tr>
        <w:tblPrEx>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指标解释</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评分标准</w:t>
            </w:r>
          </w:p>
        </w:tc>
        <w:tc>
          <w:tcPr>
            <w:tcW w:w="101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预算数（万元）</w:t>
            </w:r>
          </w:p>
        </w:tc>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执行数（万元）</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Layout w:type="fixed"/>
          <w:tblCellMar>
            <w:top w:w="0" w:type="dxa"/>
            <w:left w:w="108" w:type="dxa"/>
            <w:bottom w:w="0" w:type="dxa"/>
            <w:right w:w="108" w:type="dxa"/>
          </w:tblCellMar>
        </w:tblPrEx>
        <w:trPr>
          <w:trHeight w:val="1514"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当年预算执行情况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 w:val="18"/>
                <w:szCs w:val="18"/>
                <w:lang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①得分一档最高不能超过该指标分值上限（20分）。</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②该指标若为正向指标，得分计算方法为：执行数/预算数*20；</w:t>
            </w:r>
          </w:p>
          <w:p>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③该指标得分计算资金总体即可，分类支出填写预算数及执行数，无需计算分项执行率；</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 w:val="18"/>
                <w:szCs w:val="18"/>
                <w:lang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cs="宋体"/>
                <w:color w:val="000000"/>
                <w:szCs w:val="21"/>
              </w:rPr>
            </w:pPr>
            <w:r>
              <w:rPr>
                <w:rFonts w:hint="eastAsia" w:ascii="宋体" w:hAnsi="宋体" w:cs="宋体"/>
                <w:color w:val="000000"/>
                <w:sz w:val="18"/>
                <w:szCs w:val="18"/>
              </w:rPr>
              <w:t>69375.64</w:t>
            </w:r>
          </w:p>
        </w:tc>
        <w:tc>
          <w:tcPr>
            <w:tcW w:w="1060"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cs="宋体"/>
                <w:color w:val="000000"/>
                <w:szCs w:val="21"/>
              </w:rPr>
            </w:pPr>
            <w:r>
              <w:rPr>
                <w:rFonts w:ascii="宋体" w:hAnsi="宋体" w:cs="宋体"/>
                <w:color w:val="000000"/>
                <w:sz w:val="18"/>
                <w:szCs w:val="18"/>
              </w:rPr>
              <w:t>69375.64</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20</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 w:val="18"/>
                <w:szCs w:val="18"/>
              </w:rPr>
              <w:t>100%</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 w:val="18"/>
                <w:szCs w:val="18"/>
              </w:rPr>
              <w:t>20</w:t>
            </w:r>
          </w:p>
        </w:tc>
      </w:tr>
      <w:tr>
        <w:tblPrEx>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auto"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r>
              <w:rPr>
                <w:rFonts w:hint="eastAsia" w:ascii="宋体" w:hAnsi="宋体" w:cs="宋体"/>
                <w:color w:val="000000"/>
                <w:sz w:val="18"/>
                <w:szCs w:val="18"/>
              </w:rPr>
              <w:t>11946.37</w:t>
            </w:r>
          </w:p>
        </w:tc>
        <w:tc>
          <w:tcPr>
            <w:tcW w:w="1060" w:type="dxa"/>
            <w:tcBorders>
              <w:top w:val="single" w:color="auto"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r>
              <w:rPr>
                <w:rFonts w:ascii="宋体" w:hAnsi="宋体" w:cs="宋体"/>
                <w:color w:val="000000"/>
                <w:sz w:val="18"/>
                <w:szCs w:val="18"/>
              </w:rPr>
              <w:t>11946.37</w:t>
            </w:r>
          </w:p>
        </w:tc>
        <w:tc>
          <w:tcPr>
            <w:tcW w:w="658"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r>
              <w:rPr>
                <w:rFonts w:hint="eastAsia" w:ascii="宋体" w:hAnsi="宋体" w:cs="宋体"/>
                <w:color w:val="000000"/>
                <w:sz w:val="18"/>
                <w:szCs w:val="18"/>
              </w:rPr>
              <w:t>50981.62</w:t>
            </w: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r>
              <w:rPr>
                <w:rFonts w:hint="eastAsia" w:ascii="宋体" w:hAnsi="宋体" w:cs="宋体"/>
                <w:color w:val="000000"/>
                <w:sz w:val="18"/>
                <w:szCs w:val="18"/>
              </w:rPr>
              <w:t>50981.62</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r>
              <w:rPr>
                <w:rFonts w:hint="eastAsia" w:ascii="宋体" w:hAnsi="宋体" w:cs="宋体"/>
                <w:color w:val="000000"/>
                <w:sz w:val="18"/>
                <w:szCs w:val="18"/>
              </w:rPr>
              <w:t>0</w:t>
            </w: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r>
              <w:rPr>
                <w:rFonts w:hint="eastAsia" w:ascii="宋体" w:hAnsi="宋体" w:cs="宋体"/>
                <w:color w:val="000000"/>
                <w:sz w:val="18"/>
                <w:szCs w:val="18"/>
              </w:rPr>
              <w:t>0</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104" w:type="dxa"/>
            <w:gridSpan w:val="6"/>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000000"/>
                <w:szCs w:val="21"/>
              </w:rPr>
            </w:pPr>
            <w:r>
              <w:rPr>
                <w:rFonts w:hint="eastAsia" w:ascii="宋体" w:hAnsi="宋体" w:cs="宋体"/>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 w:val="18"/>
                <w:szCs w:val="18"/>
              </w:rPr>
            </w:pPr>
            <w:r>
              <w:rPr>
                <w:rFonts w:hint="eastAsia" w:ascii="宋体" w:hAnsi="宋体" w:cs="宋体"/>
                <w:b/>
                <w:bCs/>
                <w:color w:val="000000"/>
                <w:sz w:val="18"/>
                <w:szCs w:val="18"/>
              </w:rPr>
              <w:t>20</w:t>
            </w:r>
          </w:p>
        </w:tc>
      </w:tr>
      <w:tr>
        <w:tblPrEx>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二、整体绩效目标实现情况（60分）</w:t>
            </w:r>
          </w:p>
        </w:tc>
      </w:tr>
      <w:tr>
        <w:tblPrEx>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Layout w:type="fixed"/>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整体绩效目标实现情况（60分）</w:t>
            </w:r>
          </w:p>
        </w:tc>
        <w:tc>
          <w:tcPr>
            <w:tcW w:w="1100" w:type="dxa"/>
            <w:vMerge w:val="restart"/>
            <w:tcBorders>
              <w:top w:val="single" w:color="000000" w:sz="4" w:space="0"/>
              <w:left w:val="single" w:color="auto" w:sz="4" w:space="0"/>
              <w:right w:val="single" w:color="000000" w:sz="4" w:space="0"/>
            </w:tcBorders>
            <w:vAlign w:val="center"/>
          </w:tcPr>
          <w:p>
            <w:pPr>
              <w:jc w:val="center"/>
              <w:rPr>
                <w:rFonts w:hint="eastAsia" w:ascii="宋体" w:hAnsi="宋体" w:cs="宋体"/>
                <w:color w:val="000000"/>
                <w:szCs w:val="21"/>
              </w:rPr>
            </w:pPr>
          </w:p>
          <w:p>
            <w:pPr>
              <w:jc w:val="center"/>
              <w:rPr>
                <w:rFonts w:hint="eastAsia" w:ascii="宋体" w:hAnsi="宋体" w:cs="宋体"/>
                <w:color w:val="000000"/>
                <w:szCs w:val="21"/>
              </w:rPr>
            </w:pPr>
          </w:p>
          <w:p>
            <w:pPr>
              <w:jc w:val="center"/>
              <w:rPr>
                <w:rFonts w:hint="eastAsia" w:ascii="宋体" w:hAnsi="宋体" w:cs="宋体"/>
                <w:color w:val="000000"/>
                <w:szCs w:val="21"/>
              </w:rPr>
            </w:pPr>
          </w:p>
          <w:p>
            <w:pPr>
              <w:jc w:val="center"/>
              <w:rPr>
                <w:rFonts w:hint="eastAsia" w:ascii="宋体" w:hAnsi="宋体" w:cs="宋体"/>
                <w:color w:val="000000"/>
                <w:szCs w:val="21"/>
              </w:rPr>
            </w:pPr>
          </w:p>
          <w:p>
            <w:pPr>
              <w:jc w:val="center"/>
              <w:rPr>
                <w:rFonts w:hint="eastAsia" w:ascii="宋体" w:hAnsi="宋体" w:cs="宋体"/>
                <w:color w:val="000000"/>
                <w:szCs w:val="21"/>
              </w:rPr>
            </w:pPr>
          </w:p>
          <w:p>
            <w:pPr>
              <w:jc w:val="center"/>
              <w:rPr>
                <w:rFonts w:hint="eastAsia" w:ascii="宋体" w:hAnsi="宋体" w:cs="宋体"/>
                <w:color w:val="000000"/>
                <w:szCs w:val="21"/>
              </w:rPr>
            </w:pPr>
          </w:p>
          <w:p>
            <w:pPr>
              <w:jc w:val="center"/>
              <w:rPr>
                <w:rFonts w:hint="eastAsia" w:ascii="宋体" w:hAnsi="宋体" w:cs="宋体"/>
                <w:color w:val="000000"/>
                <w:szCs w:val="21"/>
              </w:rPr>
            </w:pPr>
          </w:p>
          <w:p>
            <w:pPr>
              <w:jc w:val="center"/>
              <w:rPr>
                <w:rFonts w:hint="eastAsia" w:ascii="宋体" w:hAnsi="宋体" w:cs="宋体"/>
                <w:color w:val="000000"/>
                <w:szCs w:val="21"/>
              </w:rPr>
            </w:pPr>
          </w:p>
          <w:p>
            <w:pPr>
              <w:jc w:val="center"/>
              <w:rPr>
                <w:rFonts w:hint="eastAsia" w:ascii="宋体" w:hAnsi="宋体" w:cs="宋体"/>
                <w:color w:val="000000"/>
                <w:szCs w:val="21"/>
              </w:rPr>
            </w:pPr>
            <w:r>
              <w:rPr>
                <w:rFonts w:hint="eastAsia" w:ascii="宋体" w:hAnsi="宋体" w:cs="宋体"/>
                <w:color w:val="000000"/>
                <w:sz w:val="18"/>
                <w:szCs w:val="18"/>
              </w:rPr>
              <w:t>聚焦“高质量”，我们抓机遇、促提升，用“活力”彰显发展成色</w:t>
            </w:r>
          </w:p>
        </w:tc>
        <w:tc>
          <w:tcPr>
            <w:tcW w:w="1375" w:type="dxa"/>
            <w:vMerge w:val="restart"/>
            <w:tcBorders>
              <w:top w:val="single" w:color="000000" w:sz="4" w:space="0"/>
              <w:left w:val="single" w:color="000000" w:sz="4" w:space="0"/>
              <w:right w:val="single" w:color="000000" w:sz="4" w:space="0"/>
            </w:tcBorders>
            <w:vAlign w:val="center"/>
          </w:tcPr>
          <w:p>
            <w:pPr>
              <w:jc w:val="center"/>
              <w:rPr>
                <w:rFonts w:hint="eastAsia" w:ascii="宋体" w:hAnsi="宋体" w:cs="宋体"/>
                <w:color w:val="000000"/>
                <w:szCs w:val="21"/>
              </w:rPr>
            </w:pPr>
          </w:p>
          <w:p>
            <w:pPr>
              <w:jc w:val="center"/>
              <w:rPr>
                <w:rFonts w:hint="eastAsia" w:ascii="宋体" w:hAnsi="宋体" w:cs="宋体"/>
                <w:color w:val="000000"/>
                <w:szCs w:val="21"/>
              </w:rPr>
            </w:pPr>
          </w:p>
          <w:p>
            <w:pPr>
              <w:jc w:val="center"/>
              <w:rPr>
                <w:rFonts w:hint="eastAsia" w:ascii="宋体" w:hAnsi="宋体" w:cs="宋体"/>
                <w:color w:val="000000"/>
                <w:sz w:val="18"/>
                <w:szCs w:val="18"/>
              </w:rPr>
            </w:pPr>
          </w:p>
          <w:p>
            <w:pPr>
              <w:jc w:val="center"/>
              <w:rPr>
                <w:rFonts w:hint="eastAsia" w:ascii="宋体" w:hAnsi="宋体" w:cs="宋体"/>
                <w:color w:val="000000"/>
                <w:sz w:val="18"/>
                <w:szCs w:val="18"/>
              </w:rPr>
            </w:pPr>
          </w:p>
          <w:p>
            <w:pPr>
              <w:jc w:val="center"/>
              <w:rPr>
                <w:rFonts w:hint="eastAsia" w:ascii="宋体" w:hAnsi="宋体" w:cs="宋体"/>
                <w:color w:val="000000"/>
                <w:szCs w:val="21"/>
              </w:rPr>
            </w:pPr>
            <w:r>
              <w:rPr>
                <w:rFonts w:hint="eastAsia" w:ascii="宋体" w:hAnsi="宋体" w:cs="宋体"/>
                <w:color w:val="000000"/>
                <w:sz w:val="18"/>
                <w:szCs w:val="18"/>
              </w:rPr>
              <w:t>经济运行向新提质</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财政总收入任务1460万元</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财政总收入3334万元。</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w:t>
            </w:r>
          </w:p>
        </w:tc>
      </w:tr>
      <w:tr>
        <w:tblPrEx>
          <w:tblLayout w:type="fixed"/>
          <w:tblCellMar>
            <w:top w:w="0" w:type="dxa"/>
            <w:left w:w="108" w:type="dxa"/>
            <w:bottom w:w="0" w:type="dxa"/>
            <w:right w:w="108" w:type="dxa"/>
          </w:tblCellMar>
        </w:tblPrEx>
        <w:trPr>
          <w:trHeight w:val="379"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vMerge w:val="continue"/>
            <w:tcBorders>
              <w:left w:val="single" w:color="000000" w:sz="4" w:space="0"/>
              <w:right w:val="single" w:color="000000" w:sz="4" w:space="0"/>
            </w:tcBorders>
            <w:vAlign w:val="center"/>
          </w:tcPr>
          <w:p>
            <w:pPr>
              <w:jc w:val="center"/>
              <w:rPr>
                <w:rFonts w:hint="eastAsia" w:ascii="宋体" w:hAnsi="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厚植营商服务优势</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领导班子包联重点企业，“上门”服务 44 家次。开展活力“营”商惠企活动 7 次，覆盖企业 259 家次，以商招商盘活存量空间 1.76 万平方米。</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放大“生态 + 产业”优势</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“林下会客厅”走进次生林和湿地群，跟踪解决企业诉求 87 项，加速航天航太扩建项目。紧抓综保区协同优势，收集 5 条入区线索，对接 4 家商服配套，推动云豪集团拿地建厂，区位、空间、环境、政策等多重叠加优势不断彰显。</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vMerge w:val="restart"/>
            <w:tcBorders>
              <w:top w:val="single" w:color="000000" w:sz="4" w:space="0"/>
              <w:left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土地资产向实增效</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稳生产，严格落实耕地保护制度</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建成高标准农田 1886 亩，恢复耕地 6000 余亩，粮食面积、总产、单产实现“两增一稳”。蔬菜播种面积 2.1 万亩、产量 6.6 万吨，实现双增长。</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vMerge w:val="continue"/>
            <w:tcBorders>
              <w:left w:val="single" w:color="000000" w:sz="4" w:space="0"/>
              <w:right w:val="single" w:color="000000" w:sz="4" w:space="0"/>
            </w:tcBorders>
            <w:vAlign w:val="center"/>
          </w:tcPr>
          <w:p>
            <w:pPr>
              <w:rPr>
                <w:rFonts w:hint="eastAsia" w:ascii="宋体" w:hAnsi="宋体" w:cs="宋体"/>
                <w:color w:val="000000"/>
                <w:sz w:val="18"/>
                <w:szCs w:val="18"/>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保安全，瓜秧尾菜全面收储</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农产品质量安全可追溯面积达 3300 余亩，农产品质量定性检测合格率 100%。增效益，发放菜粮补贴近 1000 万元，惠及 2000 余农户。</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vMerge w:val="continue"/>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流转土地340 余亩，村集体增收约 80 万元</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车固营二村村集体经济增收帮扶项目有序推进，村企联动新种试种水果甘蓝等特色蔬菜 5 种，实现村集体增收 30%。</w:t>
            </w:r>
          </w:p>
          <w:p>
            <w:pPr>
              <w:rPr>
                <w:rFonts w:hint="eastAsia" w:ascii="宋体" w:hAnsi="宋体" w:cs="宋体"/>
                <w:color w:val="000000"/>
                <w:sz w:val="18"/>
                <w:szCs w:val="18"/>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p>
            <w:pPr>
              <w:rPr>
                <w:rFonts w:hint="eastAsia" w:ascii="宋体" w:hAnsi="宋体" w:cs="宋体"/>
                <w:color w:val="000000"/>
                <w:sz w:val="18"/>
                <w:szCs w:val="18"/>
              </w:rPr>
            </w:pPr>
            <w:r>
              <w:rPr>
                <w:rFonts w:hint="eastAsia" w:ascii="宋体" w:hAnsi="宋体" w:cs="宋体"/>
                <w:color w:val="000000"/>
                <w:sz w:val="18"/>
                <w:szCs w:val="18"/>
              </w:rPr>
              <w:t>旅游发展向质深耕</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夯基础，完成旅游资源普查</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成功申报旅游公共服务设施项目 2 个，指导绿绮获评乙级（四星级）旅游民宿。优业态，持续释放旅游季系列活动新活力，打造银发游、研学游、赛事游等消费新引擎，“蘑幻森林”正式开园，“跑营长子 湿地公园站”等各类活动吸引游客 5 万余名。塑品牌，呀路古做客北京时间，走进区级文旅推介会，首批游客“浪漫推荐官”为长子营代言。推出“游在长子”旅游品牌，市区镇各平台发布旅游宣传信息约 40 条，上半年接待游客人数 24.7万人，旅游综合收入达 727 万元。</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4</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restart"/>
            <w:tcBorders>
              <w:top w:val="single" w:color="000000" w:sz="4" w:space="0"/>
              <w:left w:val="single" w:color="auto"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聚焦“高水平”，我们抓产业、集资源，用“品质”增添乡村亮色</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现代农业持续发力</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坚持科技兴农</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乡村振兴供需对接会在长子营顺利召开，17 家市级学会、19 家农企共谋科技助农新路径，引育“京麦 189 号”、林下绿豆、优质番茄等优良品种 5 个。产业兴农，现代农业产业园提升、蔬菜智慧种苗建设、以奖代补等 4 个项目顺利通过评审，长子营净菜产业荣登人民日报。</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4</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质量兴农，开展有机质土壤试验和新品种示范及种子种苗化推广工作</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京翊峰挂牌市农林科学院“综合应用场景”。种业兴农，承办第三十二届中国北京种业大会分会场系列活动，全区唯一。京翊峰科技小院等 4 家集约化育苗厂带动作用明显，半年育苗量达 2000 万株。</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文脉底蕴持续深耕。</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打造文旅品牌</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积极融入“一轴两带三区”文化格局，承办大兴区龙河凤河系列文化活动，举办第三届凤河文化大会、京晋文化沙龙，助力京津冀晋四地文化融合发展。深挖文化资源，建设宫廷木作文化基地，葫芦烙画等实践课程正式开课。推动非遗传承，车固营灯彩走进人民大会堂，白庙村音乐会贾廷信入选国家级非遗传承人。</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508"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rPr>
                <w:rFonts w:hint="eastAsia" w:ascii="宋体" w:hAnsi="宋体" w:cs="宋体"/>
                <w:color w:val="000000"/>
                <w:szCs w:val="21"/>
              </w:rPr>
            </w:pPr>
          </w:p>
        </w:tc>
        <w:tc>
          <w:tcPr>
            <w:tcW w:w="1375" w:type="dxa"/>
            <w:vMerge w:val="restart"/>
            <w:tcBorders>
              <w:top w:val="single" w:color="000000" w:sz="4" w:space="0"/>
              <w:left w:val="single" w:color="000000" w:sz="4" w:space="0"/>
              <w:right w:val="single" w:color="000000" w:sz="4" w:space="0"/>
            </w:tcBorders>
            <w:vAlign w:val="center"/>
          </w:tcPr>
          <w:p>
            <w:pPr>
              <w:jc w:val="center"/>
              <w:rPr>
                <w:rFonts w:hint="eastAsia" w:ascii="宋体" w:hAnsi="宋体" w:cs="宋体"/>
                <w:color w:val="000000"/>
                <w:sz w:val="18"/>
                <w:szCs w:val="18"/>
              </w:rPr>
            </w:pPr>
          </w:p>
          <w:p>
            <w:pPr>
              <w:jc w:val="center"/>
              <w:rPr>
                <w:rFonts w:hint="eastAsia" w:ascii="宋体" w:hAnsi="宋体" w:cs="宋体"/>
                <w:color w:val="000000"/>
                <w:sz w:val="18"/>
                <w:szCs w:val="18"/>
              </w:rPr>
            </w:pPr>
          </w:p>
          <w:p>
            <w:pPr>
              <w:jc w:val="center"/>
              <w:rPr>
                <w:rFonts w:hint="eastAsia" w:ascii="宋体" w:hAnsi="宋体" w:cs="宋体"/>
                <w:color w:val="000000"/>
                <w:sz w:val="18"/>
                <w:szCs w:val="18"/>
              </w:rPr>
            </w:pPr>
          </w:p>
          <w:p>
            <w:pPr>
              <w:jc w:val="center"/>
              <w:rPr>
                <w:rFonts w:hint="eastAsia" w:ascii="宋体" w:hAnsi="宋体" w:cs="宋体"/>
                <w:color w:val="000000"/>
                <w:sz w:val="18"/>
                <w:szCs w:val="18"/>
              </w:rPr>
            </w:pPr>
          </w:p>
          <w:p>
            <w:pPr>
              <w:jc w:val="center"/>
              <w:rPr>
                <w:rFonts w:hint="eastAsia" w:ascii="宋体" w:hAnsi="宋体" w:cs="宋体"/>
                <w:color w:val="000000"/>
                <w:sz w:val="18"/>
                <w:szCs w:val="18"/>
              </w:rPr>
            </w:pPr>
          </w:p>
          <w:p>
            <w:pPr>
              <w:jc w:val="center"/>
              <w:rPr>
                <w:rFonts w:hint="eastAsia" w:ascii="宋体" w:hAnsi="宋体" w:cs="宋体"/>
                <w:color w:val="000000"/>
                <w:szCs w:val="21"/>
              </w:rPr>
            </w:pPr>
            <w:r>
              <w:rPr>
                <w:rFonts w:hint="eastAsia" w:ascii="宋体" w:hAnsi="宋体" w:cs="宋体"/>
                <w:color w:val="000000"/>
                <w:sz w:val="18"/>
                <w:szCs w:val="18"/>
              </w:rPr>
              <w:t>项目建设持续推进。</w:t>
            </w:r>
          </w:p>
        </w:tc>
        <w:tc>
          <w:tcPr>
            <w:tcW w:w="3050" w:type="dxa"/>
            <w:tcBorders>
              <w:top w:val="single" w:color="000000" w:sz="4" w:space="0"/>
              <w:left w:val="single" w:color="000000" w:sz="4" w:space="0"/>
              <w:bottom w:val="single" w:color="000000" w:sz="4" w:space="0"/>
              <w:right w:val="single" w:color="000000" w:sz="4" w:space="0"/>
            </w:tcBorders>
            <w:vAlign w:val="center"/>
          </w:tcPr>
          <w:p/>
          <w:p>
            <w:pPr>
              <w:pStyle w:val="2"/>
            </w:pPr>
          </w:p>
          <w:p>
            <w:pPr>
              <w:pStyle w:val="3"/>
            </w:pPr>
          </w:p>
          <w:p>
            <w:pPr>
              <w:pStyle w:val="2"/>
            </w:pPr>
            <w:r>
              <w:rPr>
                <w:rFonts w:hint="eastAsia" w:ascii="宋体" w:hAnsi="宋体" w:cs="宋体"/>
                <w:color w:val="000000"/>
                <w:sz w:val="18"/>
                <w:szCs w:val="18"/>
              </w:rPr>
              <w:t>储备提质，围绕综保区建设</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储备提质，围绕综保区建设，储备道路综合等基础设施项目 10 个。围绕镇域发展，谋划环境治理等民生项目 6 个。围绕重点领域，争取城市更新、社会民生等固投项目 3 个。保障提效，推进综保区一期范围 18 个项目实施建设，完成市级重点工程 500 千伏变电站项目腾退工作。</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508"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rPr>
                <w:rFonts w:hint="eastAsia" w:ascii="宋体" w:hAnsi="宋体" w:cs="宋体"/>
                <w:color w:val="000000"/>
                <w:szCs w:val="21"/>
              </w:rPr>
            </w:pPr>
          </w:p>
        </w:tc>
        <w:tc>
          <w:tcPr>
            <w:tcW w:w="1375"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做好民生工程</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建设提速，长子营中心幼儿园建设工程完成招标，长子营中学消隐改造项目总进度达 75%，5 个村级组织综合服务用房交付使用。成功串联留民营路与国道 230 关键节点，打通区域路网关键“断点”。</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r>
      <w:tr>
        <w:tblPrEx>
          <w:tblLayout w:type="fixed"/>
          <w:tblCellMar>
            <w:top w:w="0" w:type="dxa"/>
            <w:left w:w="108" w:type="dxa"/>
            <w:bottom w:w="0" w:type="dxa"/>
            <w:right w:w="108" w:type="dxa"/>
          </w:tblCellMar>
        </w:tblPrEx>
        <w:trPr>
          <w:trHeight w:val="9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restart"/>
            <w:tcBorders>
              <w:top w:val="single" w:color="000000" w:sz="4" w:space="0"/>
              <w:left w:val="single" w:color="auto"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聚焦“高起点”，我们抓基础、优环境，用“绿色”绘就生态特色</w:t>
            </w:r>
          </w:p>
        </w:tc>
        <w:tc>
          <w:tcPr>
            <w:tcW w:w="1375" w:type="dxa"/>
            <w:vMerge w:val="restart"/>
            <w:tcBorders>
              <w:top w:val="single" w:color="000000" w:sz="4" w:space="0"/>
              <w:left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坚持环境治理系统化</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“三源协同”精准治理</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“三源协同”精准治理，PM2.5、TSP浓度分别同比改善16.15%、8.52%，实现“双下降”。降尘量位居全区前二，空气质量优良率达 94%。“三区共管”靶向治理，正式启动生态环境部京津冀重大专项子课题应用试点，开展巡查检查、监管执法 180 余次，道路尘负荷位居全区前三。“三水统筹”融合治理，镇村两级河长巡河达标率保持 100%。实施安大排沟、河津营环岛地下方涵、老旱河清淤等工程，完成农村水系整治 30 余公里，区控以上断面水质优良率保持 100%。</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rPr>
                <w:rFonts w:hint="eastAsia" w:ascii="宋体" w:hAnsi="宋体" w:cs="宋体"/>
                <w:color w:val="000000"/>
                <w:szCs w:val="21"/>
              </w:rPr>
            </w:pPr>
          </w:p>
        </w:tc>
        <w:tc>
          <w:tcPr>
            <w:tcW w:w="1375"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p>
            <w:pPr>
              <w:rPr>
                <w:rFonts w:hint="eastAsia" w:ascii="宋体" w:hAnsi="宋体" w:cs="宋体"/>
                <w:color w:val="000000"/>
                <w:szCs w:val="21"/>
              </w:rPr>
            </w:pPr>
            <w:r>
              <w:rPr>
                <w:rFonts w:hint="eastAsia" w:ascii="宋体" w:hAnsi="宋体" w:cs="宋体"/>
                <w:color w:val="000000"/>
                <w:sz w:val="18"/>
                <w:szCs w:val="18"/>
              </w:rPr>
              <w:t>坚持生态建设宜居化</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b/>
                <w:bCs/>
                <w:color w:val="000000"/>
                <w:sz w:val="18"/>
                <w:szCs w:val="18"/>
              </w:rPr>
            </w:pPr>
            <w:r>
              <w:rPr>
                <w:rFonts w:hint="eastAsia" w:ascii="宋体" w:hAnsi="宋体" w:cs="宋体"/>
                <w:color w:val="000000"/>
                <w:sz w:val="18"/>
                <w:szCs w:val="18"/>
              </w:rPr>
              <w:t>筑牢绿美屏障，各级林长巡林 1000余次，完成林分结构调整 1100 亩、林下补植 1.2 万余株、松材线虫病防治 4000 余亩，建设保育小区 1 处。增强绿美效益，发展林下立体复合经济 2000 余亩，建设林菌、林禽等林下种养植基地 3 个，培育新型林业经营主体 1 家。优化绿美环境，保护与造林绿化工程取得新成效，赤鲁村入选花园村庄创建单位，长子营湿地公园开门迎客，国家一级保护动物黄胸鹀首次现身长子营，国家“三有”保护动物豆雁驻足湿地获学习强国关注报道。</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坚持城镇管理精细化</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以拆促改，进一步加强“两违”治理，</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拆除总面积达 15 万平方米，完成违法用地图斑整治 19 宗，高质量提前完成全年拆违任务。以改促治，紧盯“三清一改”落实，动员群众 2.2 万余人次，深入背街小巷、村内主街及卫生死角开展周末大扫除活动。以治促升，农村人居环境整治“再发力”，市级人居环境检查全区排名位居前三，实现乡村环境从“一时美”到“一直美”。</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restart"/>
            <w:tcBorders>
              <w:top w:val="single" w:color="000000" w:sz="4" w:space="0"/>
              <w:left w:val="single" w:color="auto"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聚焦“高标准”，我们抓安全、保稳定，用“平安”</w:t>
            </w:r>
          </w:p>
          <w:p>
            <w:pPr>
              <w:rPr>
                <w:rFonts w:hint="eastAsia" w:ascii="宋体" w:hAnsi="宋体" w:cs="宋体"/>
                <w:color w:val="000000"/>
                <w:szCs w:val="21"/>
              </w:rPr>
            </w:pPr>
          </w:p>
        </w:tc>
        <w:tc>
          <w:tcPr>
            <w:tcW w:w="1375" w:type="dxa"/>
            <w:vMerge w:val="restart"/>
            <w:tcBorders>
              <w:top w:val="single" w:color="000000" w:sz="4" w:space="0"/>
              <w:left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坚守基层底色治理体系不断优化。</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积案化解工作取得实效</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建立“一案一专班”攻坚机制，有效化解朱庄村别墅“骨头案”。“12345”案件承办量同比下降 11.7%，直派案件双是率和分转案件双是率分别同比增长 10.4%、13.5%，实现“一下降两提升”。常态化开展扫黑除恶斗争，严厉打击各类违法犯罪活动。圆满完成重大节点安保维稳任务。</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rPr>
                <w:rFonts w:hint="eastAsia" w:ascii="宋体" w:hAnsi="宋体" w:cs="宋体"/>
                <w:color w:val="000000"/>
                <w:szCs w:val="21"/>
              </w:rPr>
            </w:pPr>
          </w:p>
        </w:tc>
        <w:tc>
          <w:tcPr>
            <w:tcW w:w="1375" w:type="dxa"/>
            <w:vMerge w:val="continue"/>
            <w:tcBorders>
              <w:left w:val="single" w:color="000000" w:sz="4" w:space="0"/>
              <w:right w:val="single" w:color="000000" w:sz="4" w:space="0"/>
            </w:tcBorders>
            <w:vAlign w:val="center"/>
          </w:tcPr>
          <w:p>
            <w:pPr>
              <w:tabs>
                <w:tab w:val="left" w:pos="255"/>
              </w:tabs>
              <w:jc w:val="left"/>
              <w:rPr>
                <w:rFonts w:hint="eastAsia" w:ascii="宋体" w:hAnsi="宋体" w:cs="宋体"/>
                <w:color w:val="000000"/>
                <w:sz w:val="18"/>
                <w:szCs w:val="18"/>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安全指数不断提升。</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安全指数不断提升。深入实施安全生产治本攻坚三年行动，开展各类安全检查 1.2 万家次，排查整改隐患 2500 余处，完成“企安安”动火报备备案 1548 处，检查率、达标率达“双百”。持续完善“135 快速救援圈”，发放消防“四件套”224 套，开展消防安全及应急疏散演练 24 次。</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rPr>
                <w:rFonts w:hint="eastAsia" w:ascii="宋体" w:hAnsi="宋体" w:cs="宋体"/>
                <w:color w:val="000000"/>
                <w:szCs w:val="21"/>
              </w:rPr>
            </w:pPr>
          </w:p>
        </w:tc>
        <w:tc>
          <w:tcPr>
            <w:tcW w:w="1375" w:type="dxa"/>
            <w:vMerge w:val="continue"/>
            <w:tcBorders>
              <w:left w:val="single" w:color="000000" w:sz="4" w:space="0"/>
              <w:bottom w:val="single" w:color="000000" w:sz="4" w:space="0"/>
              <w:right w:val="single" w:color="000000" w:sz="4" w:space="0"/>
            </w:tcBorders>
            <w:vAlign w:val="center"/>
          </w:tcPr>
          <w:p>
            <w:pPr>
              <w:tabs>
                <w:tab w:val="left" w:pos="255"/>
              </w:tabs>
              <w:jc w:val="left"/>
              <w:rPr>
                <w:rFonts w:hint="eastAsia" w:ascii="宋体" w:hAnsi="宋体" w:cs="宋体"/>
                <w:color w:val="000000"/>
                <w:sz w:val="18"/>
                <w:szCs w:val="18"/>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p>
            <w:pPr>
              <w:rPr>
                <w:rFonts w:hint="eastAsia" w:ascii="宋体" w:hAnsi="宋体" w:cs="宋体"/>
                <w:color w:val="000000"/>
                <w:sz w:val="18"/>
                <w:szCs w:val="18"/>
              </w:rPr>
            </w:pPr>
          </w:p>
          <w:p>
            <w:pPr>
              <w:rPr>
                <w:rFonts w:hint="eastAsia" w:ascii="宋体" w:hAnsi="宋体" w:cs="宋体"/>
                <w:color w:val="000000"/>
                <w:sz w:val="18"/>
                <w:szCs w:val="18"/>
              </w:rPr>
            </w:pPr>
          </w:p>
          <w:p>
            <w:pPr>
              <w:rPr>
                <w:rFonts w:hint="eastAsia" w:ascii="宋体" w:hAnsi="宋体" w:cs="宋体"/>
                <w:color w:val="000000"/>
                <w:szCs w:val="21"/>
              </w:rPr>
            </w:pPr>
            <w:r>
              <w:rPr>
                <w:rFonts w:hint="eastAsia" w:ascii="宋体" w:hAnsi="宋体" w:cs="宋体"/>
                <w:color w:val="000000"/>
                <w:sz w:val="18"/>
                <w:szCs w:val="18"/>
              </w:rPr>
              <w:t>扎实做好应急值守、防火防汛等工作，有力筑牢“安全堤”。</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社会管理不断完善。严格落实食品安全“两个责任”工作，综合满意度连续三年稳步上升。严厉打击“无证无照”经营行为，实现涉食无照经营动态清零。拧紧特种设备“安全阀”，实现特种设备注册登记率、定期检验率、作业人员持证上岗率均达100%。常态化巩固创城创卫成果，累计检查单位 200 余家次，问题整改率 100%。</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restart"/>
            <w:tcBorders>
              <w:top w:val="single" w:color="000000" w:sz="4" w:space="0"/>
              <w:left w:val="single" w:color="auto"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聚焦“高效率”，我们抓服务、增福祉，用“幸福”</w:t>
            </w:r>
          </w:p>
        </w:tc>
        <w:tc>
          <w:tcPr>
            <w:tcW w:w="1375" w:type="dxa"/>
            <w:vMerge w:val="restart"/>
            <w:tcBorders>
              <w:top w:val="single" w:color="000000" w:sz="4" w:space="0"/>
              <w:left w:val="single" w:color="000000" w:sz="4" w:space="0"/>
              <w:right w:val="single" w:color="000000" w:sz="4" w:space="0"/>
            </w:tcBorders>
            <w:vAlign w:val="center"/>
          </w:tcPr>
          <w:p>
            <w:pPr>
              <w:tabs>
                <w:tab w:val="left" w:pos="255"/>
              </w:tabs>
              <w:jc w:val="left"/>
              <w:rPr>
                <w:rFonts w:hint="eastAsia" w:ascii="宋体" w:hAnsi="宋体" w:cs="宋体"/>
                <w:color w:val="000000"/>
                <w:szCs w:val="21"/>
              </w:rPr>
            </w:pPr>
            <w:r>
              <w:rPr>
                <w:rFonts w:hint="eastAsia" w:ascii="宋体" w:hAnsi="宋体" w:cs="宋体"/>
                <w:color w:val="000000"/>
                <w:sz w:val="18"/>
                <w:szCs w:val="18"/>
              </w:rPr>
              <w:t>民生保障更有力度。</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Cs w:val="21"/>
              </w:rPr>
              <w:t>一以贯之稳就业</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举办招聘会 6 场，提供岗位1731 个，促成就业意向 392 人次。兜底线，救助各类困难群众 2.2万人次，发放救助资金 1088 万元。提升助残服务水平，完成 24户居家无障碍改造，建成温馨家园 3 处，惠及 358 人。强保障，投放公共租赁住房补贴 48 户，备案家庭综合保障率达 90%。深化退役军人全程“帮代办”服务，累计保障服务 1600 余人次。</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rPr>
                <w:rFonts w:hint="eastAsia" w:ascii="宋体" w:hAnsi="宋体" w:cs="宋体"/>
                <w:color w:val="000000"/>
                <w:szCs w:val="21"/>
              </w:rPr>
            </w:pPr>
          </w:p>
        </w:tc>
        <w:tc>
          <w:tcPr>
            <w:tcW w:w="1375"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社会事业更有品质。</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优质医疗再扩容，举办第三届大型义诊活动，18 名知名专家到镇坐诊，服务群众超 300 人次。大力发展中医康养、老年医养等特色服务，开展活动 48 场，推动“两病”患者等重点人群家庭医生签约率达 98% 以上。检验和放射项目纳入市级互认范围，家门口的健康服务更加触手可及。优质教育再提质，新增公办学位 80 个，中考上线率、录取率均居全区农村校前列。长子营学校成功承办市级青少年航模锦标赛、</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3</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restart"/>
            <w:tcBorders>
              <w:top w:val="single" w:color="000000" w:sz="4" w:space="0"/>
              <w:left w:val="single" w:color="auto" w:sz="4" w:space="0"/>
              <w:right w:val="single" w:color="000000" w:sz="4" w:space="0"/>
            </w:tcBorders>
            <w:vAlign w:val="center"/>
          </w:tcPr>
          <w:p>
            <w:pPr>
              <w:rPr>
                <w:rFonts w:hint="eastAsia" w:ascii="宋体" w:hAnsi="宋体" w:cs="宋体"/>
                <w:color w:val="000000"/>
                <w:sz w:val="18"/>
                <w:szCs w:val="18"/>
              </w:rPr>
            </w:pPr>
          </w:p>
          <w:p>
            <w:pPr>
              <w:rPr>
                <w:rFonts w:hint="eastAsia" w:ascii="宋体" w:hAnsi="宋体" w:cs="宋体"/>
                <w:color w:val="000000"/>
                <w:sz w:val="18"/>
                <w:szCs w:val="18"/>
              </w:rPr>
            </w:pPr>
          </w:p>
          <w:p>
            <w:pPr>
              <w:rPr>
                <w:rFonts w:hint="eastAsia" w:ascii="宋体" w:hAnsi="宋体" w:cs="宋体"/>
                <w:color w:val="000000"/>
                <w:szCs w:val="21"/>
              </w:rPr>
            </w:pPr>
            <w:r>
              <w:rPr>
                <w:rFonts w:hint="eastAsia" w:ascii="宋体" w:hAnsi="宋体" w:cs="宋体"/>
                <w:color w:val="000000"/>
                <w:sz w:val="18"/>
                <w:szCs w:val="18"/>
              </w:rPr>
              <w:t>聚焦“高站位”，我们抓作风、强作为，政府效能不断提升</w:t>
            </w:r>
          </w:p>
        </w:tc>
        <w:tc>
          <w:tcPr>
            <w:tcW w:w="1375" w:type="dxa"/>
            <w:vMerge w:val="restart"/>
            <w:tcBorders>
              <w:top w:val="single" w:color="000000" w:sz="4" w:space="0"/>
              <w:left w:val="single" w:color="000000" w:sz="4" w:space="0"/>
              <w:right w:val="single" w:color="000000" w:sz="4" w:space="0"/>
            </w:tcBorders>
            <w:vAlign w:val="center"/>
          </w:tcPr>
          <w:p>
            <w:pPr>
              <w:jc w:val="center"/>
            </w:pPr>
          </w:p>
          <w:p>
            <w:pPr>
              <w:jc w:val="center"/>
            </w:pPr>
          </w:p>
          <w:p>
            <w:pPr>
              <w:jc w:val="center"/>
            </w:pPr>
          </w:p>
          <w:p>
            <w:pPr>
              <w:jc w:val="center"/>
            </w:pPr>
          </w:p>
          <w:p>
            <w:r>
              <w:rPr>
                <w:rFonts w:hint="eastAsia"/>
              </w:rPr>
              <w:t>强化政治建设。</w:t>
            </w:r>
          </w:p>
          <w:p>
            <w:pPr>
              <w:pStyle w:val="2"/>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Cs w:val="21"/>
              </w:rPr>
              <w:t>驰而不息纠“四风”</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持续开展深入贯彻中央八项规定精神学习教育，锲而不舍纠“四风”、树清风，坚决把“过紧日子”的要求落到实处。强化内部审计，开展重点项目、镇属企业内审工作，资金使用监管约束更加有力。</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rPr>
                <w:rFonts w:hint="eastAsia" w:ascii="宋体" w:hAnsi="宋体" w:cs="宋体"/>
                <w:color w:val="000000"/>
                <w:szCs w:val="21"/>
              </w:rPr>
            </w:pPr>
          </w:p>
        </w:tc>
        <w:tc>
          <w:tcPr>
            <w:tcW w:w="1375" w:type="dxa"/>
            <w:vMerge w:val="continue"/>
            <w:tcBorders>
              <w:left w:val="single" w:color="000000" w:sz="4" w:space="0"/>
              <w:bottom w:val="single" w:color="000000" w:sz="4" w:space="0"/>
              <w:right w:val="single" w:color="000000" w:sz="4" w:space="0"/>
            </w:tcBorders>
            <w:vAlign w:val="center"/>
          </w:tcPr>
          <w:p>
            <w:pPr>
              <w:pStyle w:val="2"/>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Cs w:val="21"/>
              </w:rPr>
              <w:t>纵深推进法治政府建设</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cs="宋体"/>
                <w:color w:val="000000"/>
                <w:sz w:val="18"/>
                <w:szCs w:val="18"/>
              </w:rPr>
              <w:t>纵深推进法治政府建设，不断完善综合执法体制，累计公开政府信息 102 条，受理依申请公开政府信息5件。自觉接受人大监督，主动向人大代表述职 12 次，快办实干成为工作常态。</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rPr>
              <w:t>2</w:t>
            </w:r>
          </w:p>
        </w:tc>
      </w:tr>
      <w:tr>
        <w:tblPrEx>
          <w:tblLayout w:type="fixed"/>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9032"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2730" w:type="dxa"/>
            <w:gridSpan w:val="3"/>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60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szCs w:val="21"/>
              </w:rPr>
              <w:t>60</w:t>
            </w:r>
          </w:p>
        </w:tc>
      </w:tr>
      <w:tr>
        <w:tblPrEx>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三、预算管理情况（20分）</w:t>
            </w:r>
          </w:p>
        </w:tc>
      </w:tr>
      <w:tr>
        <w:tblPrEx>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评分标准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2023年数据</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2024年数据</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①预算资金管理办法、绩效跟踪管理办法、资产管理办法等各项制度是否健全；</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②部门内部财务管理制度是否完善、合规；</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③会计核算制度是否完整、合规。</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 w:val="18"/>
                <w:szCs w:val="18"/>
              </w:rPr>
              <w:t>2</w:t>
            </w:r>
          </w:p>
        </w:tc>
      </w:tr>
      <w:tr>
        <w:tblPrEx>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①是否符合国家财经法规和财务管理制度规定以及有关专项资金管理办法的规定；</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②资金的拨付是否有完整的审批程序和手续；</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③项目的重大开支是否经过评估论证；</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④是否符合部门预算批复的用途；</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⑤是否存在截留、挤占、挪用情况；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⑥资金使用是否符合政府采购的程序和流程；</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⑦资金使用是否符合公务卡结算相关制度和规定。</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 w:val="18"/>
                <w:szCs w:val="18"/>
              </w:rPr>
              <w:t>2</w:t>
            </w:r>
          </w:p>
        </w:tc>
      </w:tr>
      <w:tr>
        <w:tblPrEx>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①基础数据信息和会计信息资料是否真实；</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②基础数据信息和会计信息资料是否完整；</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③基础数据信息和会计信息资料是否准确。</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 w:val="18"/>
                <w:szCs w:val="18"/>
              </w:rPr>
              <w:t>2</w:t>
            </w:r>
          </w:p>
        </w:tc>
      </w:tr>
      <w:tr>
        <w:tblPrEx>
          <w:tblLayout w:type="fixed"/>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①对外投资行为是否经审批，是否存在投资亏损；</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②是否有因管理不当发生严重资产损失和丢失情况；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③是否存在超标准配置资产；</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④资产使用是否规范，是否存在未经批准擅自出租、出借资产行为；</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⑤资产处置是否规范，是否存在不按要求进行报批或资产不公开处置行为；</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⑥其他资产管理制度办法执行情况。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 w:val="18"/>
                <w:szCs w:val="18"/>
              </w:rPr>
              <w:t>5</w:t>
            </w:r>
          </w:p>
        </w:tc>
      </w:tr>
      <w:tr>
        <w:tblPrEx>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①部门（单位）是否及时对绩效信息进行汇总分析整理；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②部门（单位）是否对绩效目标偏离情况及时进行矫正。</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 w:val="18"/>
                <w:szCs w:val="18"/>
              </w:rPr>
              <w:t>5</w:t>
            </w:r>
          </w:p>
        </w:tc>
      </w:tr>
      <w:tr>
        <w:tblPrEx>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0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 w:val="18"/>
                <w:szCs w:val="18"/>
                <w:lang w:bidi="ar"/>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 w:val="18"/>
                <w:szCs w:val="18"/>
              </w:rPr>
              <w:t>4</w:t>
            </w:r>
          </w:p>
        </w:tc>
      </w:tr>
      <w:tr>
        <w:tblPrEx>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104" w:type="dxa"/>
            <w:gridSpan w:val="6"/>
            <w:tcBorders>
              <w:top w:val="single" w:color="000000" w:sz="4" w:space="0"/>
              <w:left w:val="single" w:color="auto" w:sz="4" w:space="0"/>
              <w:bottom w:val="single" w:color="000000" w:sz="4" w:space="0"/>
              <w:right w:val="nil"/>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 w:val="18"/>
                <w:szCs w:val="18"/>
                <w:lang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 w:val="18"/>
                <w:szCs w:val="18"/>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sz w:val="18"/>
                <w:szCs w:val="18"/>
              </w:rPr>
              <w:t>20</w:t>
            </w:r>
          </w:p>
        </w:tc>
      </w:tr>
      <w:tr>
        <w:tblPrEx>
          <w:tblLayout w:type="fixed"/>
          <w:tblCellMar>
            <w:top w:w="0" w:type="dxa"/>
            <w:left w:w="108" w:type="dxa"/>
            <w:bottom w:w="0" w:type="dxa"/>
            <w:right w:w="108" w:type="dxa"/>
          </w:tblCellMar>
        </w:tblPrEx>
        <w:trPr>
          <w:trHeight w:val="426" w:hRule="atLeast"/>
        </w:trPr>
        <w:tc>
          <w:tcPr>
            <w:tcW w:w="12204"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合计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 w:val="18"/>
                <w:szCs w:val="18"/>
                <w:lang w:bidi="ar"/>
              </w:rPr>
              <w:t>100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000000"/>
                <w:szCs w:val="21"/>
              </w:rPr>
            </w:pPr>
            <w:r>
              <w:rPr>
                <w:rFonts w:hint="eastAsia" w:ascii="宋体" w:hAnsi="宋体" w:cs="宋体"/>
                <w:b/>
                <w:bCs/>
                <w:color w:val="000000"/>
                <w:kern w:val="0"/>
                <w:sz w:val="18"/>
                <w:szCs w:val="18"/>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sz w:val="18"/>
                <w:szCs w:val="18"/>
              </w:rPr>
              <w:t>100</w:t>
            </w:r>
          </w:p>
        </w:tc>
      </w:tr>
    </w:tbl>
    <w:p>
      <w:pPr>
        <w:spacing w:line="560" w:lineRule="exact"/>
        <w:rPr>
          <w:rFonts w:hint="eastAsia" w:ascii="仿宋_GB2312" w:hAnsi="仿宋_GB2312" w:eastAsia="仿宋_GB2312" w:cs="仿宋_GB2312"/>
          <w:b/>
          <w:bCs/>
          <w:sz w:val="24"/>
        </w:rPr>
      </w:pPr>
      <w:r>
        <w:rPr>
          <w:rFonts w:hint="eastAsia" w:ascii="仿宋_GB2312" w:hAnsi="仿宋_GB2312" w:eastAsia="仿宋_GB2312" w:cs="仿宋_GB2312"/>
          <w:b/>
          <w:bCs/>
          <w:sz w:val="24"/>
        </w:rPr>
        <w:t>填报说明：</w:t>
      </w:r>
    </w:p>
    <w:p>
      <w:pPr>
        <w:spacing w:line="560" w:lineRule="exact"/>
        <w:rPr>
          <w:rFonts w:hint="eastAsia" w:ascii="仿宋_GB2312" w:hAnsi="仿宋_GB2312" w:eastAsia="仿宋_GB2312" w:cs="仿宋_GB2312"/>
          <w:b/>
          <w:bCs/>
          <w:color w:val="000000"/>
          <w:kern w:val="0"/>
          <w:sz w:val="24"/>
          <w:lang w:bidi="ar"/>
        </w:rPr>
      </w:pPr>
      <w:r>
        <w:rPr>
          <w:rFonts w:hint="eastAsia" w:ascii="仿宋_GB2312" w:hAnsi="仿宋_GB2312" w:eastAsia="仿宋_GB2312" w:cs="仿宋_GB2312"/>
          <w:color w:val="000000"/>
          <w:kern w:val="0"/>
          <w:sz w:val="24"/>
          <w:lang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color w:val="000000"/>
          <w:kern w:val="0"/>
          <w:sz w:val="24"/>
          <w:lang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spacing w:line="560" w:lineRule="exact"/>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spacing w:line="560" w:lineRule="exact"/>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第二部分“整体绩效目标实现情况”填报分为四步。</w:t>
      </w:r>
      <w:r>
        <w:rPr>
          <w:rFonts w:hint="eastAsia" w:ascii="仿宋_GB2312" w:hAnsi="仿宋_GB2312" w:eastAsia="仿宋_GB2312" w:cs="仿宋_GB2312"/>
          <w:b/>
          <w:bCs/>
          <w:color w:val="000000"/>
          <w:kern w:val="0"/>
          <w:sz w:val="24"/>
          <w:lang w:bidi="ar"/>
        </w:rPr>
        <w:t>第一步：</w:t>
      </w:r>
      <w:r>
        <w:rPr>
          <w:rFonts w:hint="eastAsia" w:ascii="仿宋_GB2312" w:hAnsi="仿宋_GB2312" w:eastAsia="仿宋_GB2312" w:cs="仿宋_GB2312"/>
          <w:color w:val="000000"/>
          <w:kern w:val="0"/>
          <w:sz w:val="24"/>
          <w:lang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color w:val="000000"/>
          <w:kern w:val="0"/>
          <w:sz w:val="24"/>
          <w:lang w:bidi="ar"/>
        </w:rPr>
        <w:t>第二步：</w:t>
      </w:r>
      <w:r>
        <w:rPr>
          <w:rFonts w:hint="eastAsia" w:ascii="仿宋_GB2312" w:hAnsi="仿宋_GB2312" w:eastAsia="仿宋_GB2312" w:cs="仿宋_GB2312"/>
          <w:color w:val="000000"/>
          <w:kern w:val="0"/>
          <w:sz w:val="24"/>
          <w:lang w:bidi="ar"/>
        </w:rPr>
        <w:t>“年度完成情况”填写当年度该项指标实际完成情况，完成情况应与指标内容和指标值对应。</w:t>
      </w:r>
      <w:r>
        <w:rPr>
          <w:rFonts w:hint="eastAsia" w:ascii="仿宋_GB2312" w:hAnsi="仿宋_GB2312" w:eastAsia="仿宋_GB2312" w:cs="仿宋_GB2312"/>
          <w:b/>
          <w:bCs/>
          <w:color w:val="000000"/>
          <w:kern w:val="0"/>
          <w:sz w:val="24"/>
          <w:lang w:bidi="ar"/>
        </w:rPr>
        <w:t>第三步：</w:t>
      </w:r>
      <w:r>
        <w:rPr>
          <w:rFonts w:hint="eastAsia" w:ascii="仿宋_GB2312" w:hAnsi="仿宋_GB2312" w:eastAsia="仿宋_GB2312" w:cs="仿宋_GB2312"/>
          <w:color w:val="000000"/>
          <w:kern w:val="0"/>
          <w:sz w:val="24"/>
          <w:lang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color w:val="000000"/>
          <w:kern w:val="0"/>
          <w:sz w:val="24"/>
          <w:lang w:bidi="ar"/>
        </w:rPr>
        <w:t>第四步：</w:t>
      </w:r>
      <w:r>
        <w:rPr>
          <w:rFonts w:hint="eastAsia" w:ascii="仿宋_GB2312" w:hAnsi="仿宋_GB2312" w:eastAsia="仿宋_GB2312" w:cs="仿宋_GB2312"/>
          <w:color w:val="000000"/>
          <w:kern w:val="0"/>
          <w:sz w:val="24"/>
          <w:lang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color w:val="000000"/>
          <w:kern w:val="0"/>
          <w:sz w:val="24"/>
          <w:lang w:bidi="ar"/>
        </w:rPr>
        <w:t>①</w:t>
      </w:r>
      <w:r>
        <w:rPr>
          <w:rFonts w:hint="eastAsia" w:ascii="仿宋_GB2312" w:hAnsi="仿宋_GB2312" w:eastAsia="仿宋_GB2312" w:cs="仿宋_GB2312"/>
          <w:sz w:val="24"/>
        </w:rPr>
        <w:t>若</w:t>
      </w:r>
      <w:r>
        <w:rPr>
          <w:rFonts w:hint="eastAsia" w:ascii="仿宋_GB2312" w:hAnsi="仿宋_GB2312" w:eastAsia="仿宋_GB2312" w:cs="仿宋_GB2312"/>
          <w:color w:val="000000"/>
          <w:kern w:val="0"/>
          <w:sz w:val="24"/>
          <w:lang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color w:val="000000"/>
          <w:kern w:val="0"/>
          <w:sz w:val="24"/>
          <w:lang w:bidi="ar"/>
        </w:rPr>
        <w:t>②</w:t>
      </w:r>
      <w:r>
        <w:rPr>
          <w:rFonts w:hint="eastAsia" w:ascii="仿宋_GB2312" w:hAnsi="仿宋_GB2312" w:eastAsia="仿宋_GB2312" w:cs="仿宋_GB2312"/>
          <w:color w:val="000000"/>
          <w:kern w:val="0"/>
          <w:sz w:val="24"/>
          <w:lang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color w:val="000000"/>
          <w:kern w:val="0"/>
          <w:sz w:val="24"/>
          <w:lang w:bidi="ar"/>
        </w:rPr>
        <w:t>③</w:t>
      </w:r>
      <w:r>
        <w:rPr>
          <w:rFonts w:hint="eastAsia" w:ascii="仿宋_GB2312" w:hAnsi="仿宋_GB2312" w:eastAsia="仿宋_GB2312" w:cs="仿宋_GB2312"/>
          <w:color w:val="000000"/>
          <w:kern w:val="0"/>
          <w:sz w:val="24"/>
          <w:lang w:bidi="ar"/>
        </w:rPr>
        <w:t>若为定性指标，则根据完成情况分为“优、良、中、差”四等，“优”获得该项分值90%-100%，“良”获得该项分值80%-90%，“中”获得该项分值60%-80%，“差”获得该项分值0%-60%。</w:t>
      </w: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楷体_GB2312" w:hAnsi="楷体_GB2312" w:eastAsia="楷体_GB2312" w:cs="楷体_GB2312"/>
          <w:b/>
          <w:bCs/>
          <w:sz w:val="44"/>
          <w:szCs w:val="44"/>
        </w:rPr>
        <w:br w:type="page"/>
      </w:r>
      <w:r>
        <w:rPr>
          <w:rFonts w:hint="eastAsia" w:ascii="宋体" w:hAnsi="宋体" w:cs="宋体"/>
          <w:b/>
          <w:bCs/>
          <w:spacing w:val="40"/>
          <w:kern w:val="0"/>
          <w:sz w:val="32"/>
          <w:szCs w:val="32"/>
        </w:rPr>
        <w:t>项目支出绩效评价报告</w:t>
      </w:r>
    </w:p>
    <w:p>
      <w:pPr>
        <w:spacing w:line="520" w:lineRule="exact"/>
        <w:ind w:firstLine="560" w:firstLineChars="200"/>
        <w:rPr>
          <w:rFonts w:hint="eastAsia" w:ascii="黑体" w:hAnsi="黑体" w:eastAsia="黑体" w:cs="黑体"/>
          <w:bCs/>
          <w:color w:val="000000"/>
          <w:kern w:val="0"/>
          <w:sz w:val="32"/>
          <w:szCs w:val="32"/>
        </w:rPr>
      </w:pPr>
      <w:r>
        <w:rPr>
          <w:rFonts w:hint="eastAsia" w:ascii="黑体" w:eastAsia="黑体"/>
          <w:sz w:val="28"/>
          <w:szCs w:val="28"/>
        </w:rPr>
        <w:t>一、基本情况</w:t>
      </w:r>
    </w:p>
    <w:p>
      <w:pPr>
        <w:spacing w:line="52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照《大兴区预算绩效管理办法》（京兴财[2020]225号），制定了长子营镇内控制度汇编，并完善了内控制度中关于预算绩效管理制度部分的内容，建立完善“预算编制有目标、预算执行有监控、预算完成有评价、评价结果有反馈、反馈结果有应用”的预算绩效管理机制，实现全过程绩效管理；</w:t>
      </w:r>
    </w:p>
    <w:p>
      <w:pPr>
        <w:tabs>
          <w:tab w:val="center" w:pos="6979"/>
        </w:tabs>
        <w:spacing w:line="580" w:lineRule="exact"/>
        <w:ind w:firstLine="570"/>
        <w:rPr>
          <w:rFonts w:ascii="仿宋_GB2312" w:eastAsia="仿宋_GB2312"/>
          <w:sz w:val="28"/>
          <w:szCs w:val="28"/>
        </w:rPr>
      </w:pPr>
      <w:r>
        <w:rPr>
          <w:rFonts w:hint="eastAsia" w:ascii="仿宋_GB2312" w:hAnsi="仿宋_GB2312" w:eastAsia="仿宋_GB2312" w:cs="仿宋_GB2312"/>
          <w:color w:val="000000"/>
          <w:kern w:val="0"/>
          <w:sz w:val="28"/>
          <w:szCs w:val="28"/>
        </w:rPr>
        <w:t>在预算编制阶段，实现项目绩效目标全覆盖，随部门预算公开；</w:t>
      </w:r>
      <w:r>
        <w:rPr>
          <w:rFonts w:hint="eastAsia" w:ascii="仿宋_GB2312" w:eastAsia="仿宋_GB2312"/>
          <w:sz w:val="28"/>
          <w:szCs w:val="28"/>
        </w:rPr>
        <w:t>长子营镇2024年度依据各业务科室申报项目职责和事业发展要求，设立并通过预算安排的项目支出在一定期限内预期达到的产出和效果，项目支出绩效目标表填报完整，并及时随部门预算公开。2024年实现各科室绩效管理全覆盖。共对309个项目开展自评，得分均在90分及以上，覆盖率达100%。开展事前绩效评估项目1个、项目支出绩效评价1个、成本绩效分析3个，有效提升预算编制的科学性和准确性。</w:t>
      </w:r>
    </w:p>
    <w:p>
      <w:pPr>
        <w:spacing w:line="520" w:lineRule="exact"/>
        <w:ind w:firstLine="560" w:firstLineChars="200"/>
        <w:rPr>
          <w:rFonts w:hint="eastAsia" w:ascii="黑体" w:hAnsi="黑体" w:eastAsia="黑体" w:cs="黑体"/>
          <w:bCs/>
          <w:color w:val="000000"/>
          <w:kern w:val="0"/>
          <w:sz w:val="32"/>
          <w:szCs w:val="32"/>
        </w:rPr>
      </w:pPr>
      <w:r>
        <w:rPr>
          <w:rFonts w:hint="eastAsia" w:ascii="黑体" w:eastAsia="黑体"/>
          <w:sz w:val="28"/>
          <w:szCs w:val="28"/>
        </w:rPr>
        <w:t>二、绩效评价工作开展情况</w:t>
      </w:r>
    </w:p>
    <w:p>
      <w:pPr>
        <w:spacing w:line="52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1.绩效评价目的、对象和范围。</w:t>
      </w:r>
    </w:p>
    <w:p>
      <w:pPr>
        <w:spacing w:line="52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绩效评价目的：通过绩效评价，衡量和考核项目单位使用财政资金的绩效实现情况，了解、分析和检验资金使用是否达到预期目标，资金管理是否规范，资金使用是否有效。绩效评价通过对单位所实施项目的项目决策、项目过程、项目产出、项目效益四方面进行评价，通过评价发现问题，提出改进意见和建议，促进预算资金分配的规范化、资源配置的合理性，采取切实措施进一步改进财政支出项目管理，从而有效提高财政资金的使用效益。</w:t>
      </w:r>
    </w:p>
    <w:p>
      <w:pPr>
        <w:spacing w:line="52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2.绩效评价工作程序主要分为评价准备、评价实施、评价总结三个阶段。</w:t>
      </w:r>
    </w:p>
    <w:p>
      <w:pPr>
        <w:spacing w:line="52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评价准备阶段：制定工作方案，明确时间进度要求。绩效评价工作组根据项目基本情况，认真研究制定了绩效评价工作方案，确定评价思路，明确责任主体、具体工作内容和进度安排等事项。</w:t>
      </w:r>
    </w:p>
    <w:p>
      <w:pPr>
        <w:spacing w:line="52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评价实施阶段：收集整理资料，进行初步审核。在前期准备工作的基础上，结合初期收集资料情况，对资料进行核实、整理，形成工作底稿。</w:t>
      </w:r>
    </w:p>
    <w:p>
      <w:pPr>
        <w:spacing w:line="520" w:lineRule="exact"/>
        <w:ind w:firstLine="56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28"/>
          <w:szCs w:val="28"/>
        </w:rPr>
        <w:t>评价总结阶段：撰写评价报告，根据相关科室反馈意见修改完善绩效评价报告，形成报告终稿。</w:t>
      </w:r>
    </w:p>
    <w:p>
      <w:pPr>
        <w:spacing w:line="520" w:lineRule="exact"/>
        <w:ind w:firstLine="560" w:firstLineChars="200"/>
        <w:rPr>
          <w:rFonts w:hint="eastAsia" w:ascii="黑体" w:hAnsi="黑体" w:eastAsia="黑体" w:cs="黑体"/>
          <w:bCs/>
          <w:color w:val="000000"/>
          <w:kern w:val="0"/>
          <w:sz w:val="32"/>
          <w:szCs w:val="32"/>
        </w:rPr>
      </w:pPr>
      <w:r>
        <w:rPr>
          <w:rFonts w:hint="eastAsia" w:ascii="黑体" w:eastAsia="黑体"/>
          <w:sz w:val="28"/>
          <w:szCs w:val="28"/>
        </w:rPr>
        <w:t>三、综合评价情况及评价结论（附相关评分表）</w:t>
      </w:r>
    </w:p>
    <w:p>
      <w:pPr>
        <w:spacing w:line="52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项目评价得分90分，评价结论为优。</w:t>
      </w:r>
    </w:p>
    <w:p>
      <w:pPr>
        <w:pStyle w:val="2"/>
      </w:pPr>
    </w:p>
    <w:tbl>
      <w:tblPr>
        <w:tblStyle w:val="13"/>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279"/>
        <w:gridCol w:w="1258"/>
        <w:gridCol w:w="418"/>
        <w:gridCol w:w="277"/>
        <w:gridCol w:w="280"/>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hint="eastAsia" w:ascii="宋体" w:hAnsi="宋体" w:cs="宋体"/>
                <w:b/>
                <w:bCs/>
                <w:kern w:val="0"/>
                <w:sz w:val="32"/>
                <w:szCs w:val="32"/>
              </w:rPr>
            </w:pPr>
            <w:r>
              <w:rPr>
                <w:rFonts w:hint="eastAsia" w:ascii="宋体" w:hAnsi="宋体" w:cs="宋体"/>
                <w:b/>
                <w:bCs/>
                <w:kern w:val="0"/>
                <w:sz w:val="28"/>
                <w:szCs w:val="28"/>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hint="eastAsia" w:ascii="宋体" w:hAnsi="宋体" w:cs="宋体"/>
                <w:kern w:val="0"/>
                <w:sz w:val="22"/>
              </w:rPr>
            </w:pPr>
            <w:r>
              <w:rPr>
                <w:rFonts w:hint="eastAsia" w:ascii="宋体" w:hAnsi="宋体" w:cs="宋体"/>
                <w:kern w:val="0"/>
                <w:sz w:val="22"/>
              </w:rPr>
              <w:t>（2024年度）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消防服务项目</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4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长子营镇人民政府</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平安建设办公室（安全）</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4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年初预算</w:t>
            </w:r>
          </w:p>
        </w:tc>
        <w:tc>
          <w:tcPr>
            <w:tcW w:w="15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全年预算数</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textAlignment w:val="center"/>
              <w:rPr>
                <w:rFonts w:hint="eastAsia" w:ascii="宋体" w:hAnsi="宋体" w:cs="宋体"/>
                <w:kern w:val="0"/>
                <w:sz w:val="18"/>
                <w:szCs w:val="18"/>
              </w:rPr>
            </w:pPr>
            <w:r>
              <w:rPr>
                <w:rFonts w:hint="eastAsia" w:ascii="宋体" w:hAnsi="宋体" w:cs="宋体"/>
                <w:color w:val="000000"/>
                <w:kern w:val="0"/>
                <w:sz w:val="20"/>
                <w:szCs w:val="20"/>
                <w:lang w:bidi="ar"/>
              </w:rPr>
              <w:t>156.498</w:t>
            </w:r>
          </w:p>
        </w:tc>
        <w:tc>
          <w:tcPr>
            <w:tcW w:w="1537"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156.498</w:t>
            </w:r>
          </w:p>
        </w:tc>
        <w:tc>
          <w:tcPr>
            <w:tcW w:w="696"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10分</w:t>
            </w:r>
          </w:p>
        </w:tc>
        <w:tc>
          <w:tcPr>
            <w:tcW w:w="83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100%</w:t>
            </w:r>
          </w:p>
        </w:tc>
        <w:tc>
          <w:tcPr>
            <w:tcW w:w="6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color w:val="000000"/>
                <w:kern w:val="0"/>
                <w:sz w:val="20"/>
                <w:szCs w:val="20"/>
                <w:lang w:bidi="ar"/>
              </w:rPr>
              <w:t>156.498</w:t>
            </w:r>
          </w:p>
        </w:tc>
        <w:tc>
          <w:tcPr>
            <w:tcW w:w="1537"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color w:val="000000"/>
                <w:kern w:val="0"/>
                <w:sz w:val="18"/>
                <w:szCs w:val="18"/>
                <w:lang w:bidi="ar"/>
              </w:rPr>
              <w:t>156.498</w:t>
            </w:r>
          </w:p>
        </w:tc>
        <w:tc>
          <w:tcPr>
            <w:tcW w:w="696"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c>
          <w:tcPr>
            <w:tcW w:w="8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5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5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中央直达资金 </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5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4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29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80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4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镇域范围内全天候消防服务，权力镇压域内火情、火灾事故发生，严防“小火成灾、小火亡人”。</w:t>
            </w:r>
          </w:p>
        </w:tc>
        <w:tc>
          <w:tcPr>
            <w:tcW w:w="29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及时发现有效处置各类镇级火情，未发生较大及以上火灾事故。</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（50分）</w:t>
            </w:r>
          </w:p>
        </w:tc>
        <w:tc>
          <w:tcPr>
            <w:tcW w:w="1092"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安保人数</w:t>
            </w: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≥27人</w:t>
            </w: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27人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消防车辆</w:t>
            </w: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≥11辆</w:t>
            </w: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11辆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处置合格率</w:t>
            </w: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处置及时率</w:t>
            </w: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50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项目预算控制数</w:t>
            </w: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210万</w:t>
            </w: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210万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（30分）</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火情处置率</w:t>
            </w: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5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cs="宋体"/>
                <w:color w:val="000000"/>
                <w:kern w:val="0"/>
                <w:sz w:val="18"/>
                <w:szCs w:val="18"/>
              </w:rPr>
            </w:pPr>
            <w:r>
              <w:rPr>
                <w:rFonts w:hint="eastAsia" w:ascii="宋体" w:hAnsi="宋体" w:cs="宋体"/>
                <w:color w:val="000000"/>
                <w:kern w:val="0"/>
                <w:sz w:val="20"/>
                <w:szCs w:val="20"/>
              </w:rPr>
              <w:t>服务对象满意度</w:t>
            </w:r>
          </w:p>
        </w:tc>
        <w:tc>
          <w:tcPr>
            <w:tcW w:w="1258"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cs="宋体"/>
                <w:kern w:val="0"/>
                <w:sz w:val="18"/>
                <w:szCs w:val="18"/>
              </w:rPr>
            </w:pPr>
            <w:r>
              <w:rPr>
                <w:rFonts w:hint="eastAsia" w:ascii="宋体" w:hAnsi="宋体" w:cs="宋体"/>
                <w:kern w:val="0"/>
                <w:sz w:val="18"/>
                <w:szCs w:val="18"/>
              </w:rPr>
              <w:t>≥90%</w:t>
            </w:r>
          </w:p>
        </w:tc>
        <w:tc>
          <w:tcPr>
            <w:tcW w:w="418"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cs="宋体"/>
                <w:kern w:val="0"/>
                <w:sz w:val="18"/>
                <w:szCs w:val="18"/>
              </w:rPr>
            </w:pPr>
            <w:r>
              <w:rPr>
                <w:rFonts w:hint="eastAsia" w:ascii="宋体" w:hAnsi="宋体" w:cs="宋体"/>
                <w:kern w:val="0"/>
                <w:sz w:val="18"/>
                <w:szCs w:val="18"/>
              </w:rPr>
              <w:t>≥90%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hint="eastAsia" w:ascii="宋体" w:hAnsi="宋体" w:cs="宋体"/>
                <w:b/>
                <w:bCs/>
                <w:kern w:val="0"/>
                <w:sz w:val="32"/>
                <w:szCs w:val="32"/>
              </w:rPr>
            </w:pPr>
            <w:r>
              <w:rPr>
                <w:rFonts w:hint="eastAsia" w:ascii="宋体" w:hAnsi="宋体" w:cs="宋体"/>
                <w:b/>
                <w:bCs/>
                <w:kern w:val="0"/>
                <w:sz w:val="28"/>
                <w:szCs w:val="28"/>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hint="eastAsia" w:ascii="宋体" w:hAnsi="宋体" w:cs="宋体"/>
                <w:kern w:val="0"/>
                <w:sz w:val="22"/>
              </w:rPr>
            </w:pPr>
            <w:r>
              <w:rPr>
                <w:rFonts w:hint="eastAsia" w:ascii="宋体" w:hAnsi="宋体" w:cs="宋体"/>
                <w:kern w:val="0"/>
                <w:sz w:val="22"/>
              </w:rPr>
              <w:t>（2024年度）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杨柳飞絮治理</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461"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长子营镇人民政府</w:t>
            </w:r>
          </w:p>
        </w:tc>
        <w:tc>
          <w:tcPr>
            <w:tcW w:w="695"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产业发展服务中心（林业）</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461"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年初预算</w:t>
            </w:r>
          </w:p>
        </w:tc>
        <w:tc>
          <w:tcPr>
            <w:tcW w:w="15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全年预算数</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20万元</w:t>
            </w:r>
          </w:p>
        </w:tc>
        <w:tc>
          <w:tcPr>
            <w:tcW w:w="153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20万元</w:t>
            </w:r>
          </w:p>
        </w:tc>
        <w:tc>
          <w:tcPr>
            <w:tcW w:w="695"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20万元</w:t>
            </w:r>
          </w:p>
        </w:tc>
        <w:tc>
          <w:tcPr>
            <w:tcW w:w="696"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10分</w:t>
            </w:r>
          </w:p>
        </w:tc>
        <w:tc>
          <w:tcPr>
            <w:tcW w:w="83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100%</w:t>
            </w:r>
          </w:p>
        </w:tc>
        <w:tc>
          <w:tcPr>
            <w:tcW w:w="6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20万元</w:t>
            </w:r>
          </w:p>
        </w:tc>
        <w:tc>
          <w:tcPr>
            <w:tcW w:w="153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20万元</w:t>
            </w:r>
          </w:p>
        </w:tc>
        <w:tc>
          <w:tcPr>
            <w:tcW w:w="695"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20万元</w:t>
            </w:r>
          </w:p>
        </w:tc>
        <w:tc>
          <w:tcPr>
            <w:tcW w:w="696"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c>
          <w:tcPr>
            <w:tcW w:w="8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5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5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中央直达资金 </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5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4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29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80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424"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给4000株杨柳树注射抑制剂，注射过飞絮的杨柳树，飞絮量减少90%以上。</w:t>
            </w:r>
          </w:p>
        </w:tc>
        <w:tc>
          <w:tcPr>
            <w:tcW w:w="2926"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给4000株杨柳树注射抑制剂，注射过飞絮的杨柳树，飞絮量减少90%以上。</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12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4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（50分）</w:t>
            </w:r>
          </w:p>
        </w:tc>
        <w:tc>
          <w:tcPr>
            <w:tcW w:w="1092"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r>
              <w:rPr>
                <w:rFonts w:hint="eastAsia" w:ascii="宋体" w:hAnsi="宋体" w:cs="宋体"/>
                <w:color w:val="000000"/>
                <w:kern w:val="0"/>
                <w:sz w:val="18"/>
                <w:szCs w:val="18"/>
                <w:lang w:bidi="ar"/>
              </w:rPr>
              <w:t>杨柳树株数</w:t>
            </w:r>
          </w:p>
        </w:tc>
        <w:tc>
          <w:tcPr>
            <w:tcW w:w="125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20"/>
                <w:szCs w:val="20"/>
                <w:lang w:bidi="ar"/>
              </w:rPr>
              <w:t>4000株</w:t>
            </w:r>
          </w:p>
        </w:tc>
        <w:tc>
          <w:tcPr>
            <w:tcW w:w="41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20"/>
                <w:szCs w:val="20"/>
                <w:lang w:bidi="ar"/>
              </w:rPr>
              <w:t>4000株</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p>
        </w:tc>
        <w:tc>
          <w:tcPr>
            <w:tcW w:w="1258"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418"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r>
              <w:rPr>
                <w:rFonts w:hint="eastAsia" w:ascii="宋体" w:hAnsi="宋体" w:cs="宋体"/>
                <w:color w:val="000000"/>
                <w:kern w:val="0"/>
                <w:sz w:val="18"/>
                <w:szCs w:val="18"/>
                <w:lang w:bidi="ar"/>
              </w:rPr>
              <w:t>注射树木完成率</w:t>
            </w:r>
          </w:p>
        </w:tc>
        <w:tc>
          <w:tcPr>
            <w:tcW w:w="125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20"/>
                <w:szCs w:val="20"/>
                <w:lang w:bidi="ar"/>
              </w:rPr>
              <w:t>100%</w:t>
            </w:r>
          </w:p>
        </w:tc>
        <w:tc>
          <w:tcPr>
            <w:tcW w:w="41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20"/>
                <w:szCs w:val="20"/>
                <w:lang w:bidi="ar"/>
              </w:rPr>
              <w:t>100%</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r>
              <w:rPr>
                <w:rFonts w:hint="eastAsia" w:ascii="宋体" w:hAnsi="宋体" w:cs="宋体"/>
                <w:color w:val="000000"/>
                <w:kern w:val="0"/>
                <w:sz w:val="18"/>
                <w:szCs w:val="18"/>
                <w:lang w:bidi="ar"/>
              </w:rPr>
              <w:t>购买抑制剂时间</w:t>
            </w:r>
          </w:p>
        </w:tc>
        <w:tc>
          <w:tcPr>
            <w:tcW w:w="125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20"/>
                <w:szCs w:val="20"/>
                <w:lang w:bidi="ar"/>
              </w:rPr>
              <w:t>2024年4月</w:t>
            </w:r>
          </w:p>
        </w:tc>
        <w:tc>
          <w:tcPr>
            <w:tcW w:w="41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20"/>
                <w:szCs w:val="20"/>
                <w:lang w:bidi="ar"/>
              </w:rPr>
              <w:t>2024年4月</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557" w:type="dxa"/>
            <w:gridSpan w:val="2"/>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r>
              <w:rPr>
                <w:rFonts w:hint="eastAsia" w:ascii="宋体" w:hAnsi="宋体" w:cs="宋体"/>
                <w:color w:val="000000"/>
                <w:kern w:val="0"/>
                <w:sz w:val="18"/>
                <w:szCs w:val="18"/>
                <w:lang w:bidi="ar"/>
              </w:rPr>
              <w:t>指标1：购买抑制剂时间</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50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r>
              <w:rPr>
                <w:rFonts w:hint="eastAsia" w:ascii="宋体" w:hAnsi="宋体" w:cs="宋体"/>
                <w:color w:val="000000"/>
                <w:kern w:val="0"/>
                <w:sz w:val="18"/>
                <w:szCs w:val="18"/>
                <w:lang w:bidi="ar"/>
              </w:rPr>
              <w:t>总成本</w:t>
            </w:r>
          </w:p>
        </w:tc>
        <w:tc>
          <w:tcPr>
            <w:tcW w:w="125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Style w:val="23"/>
                <w:rFonts w:hint="default"/>
                <w:lang w:bidi="ar"/>
              </w:rPr>
              <w:t>20</w:t>
            </w:r>
            <w:r>
              <w:rPr>
                <w:rStyle w:val="24"/>
                <w:rFonts w:hint="default"/>
                <w:lang w:bidi="ar"/>
              </w:rPr>
              <w:t>万元</w:t>
            </w:r>
          </w:p>
        </w:tc>
        <w:tc>
          <w:tcPr>
            <w:tcW w:w="41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Style w:val="23"/>
                <w:rFonts w:hint="default"/>
                <w:lang w:bidi="ar"/>
              </w:rPr>
              <w:t>20</w:t>
            </w:r>
            <w:r>
              <w:rPr>
                <w:rStyle w:val="24"/>
                <w:rFonts w:hint="default"/>
                <w:lang w:bidi="ar"/>
              </w:rPr>
              <w:t>万元</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（30分）</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r>
              <w:rPr>
                <w:rFonts w:hint="eastAsia" w:ascii="宋体" w:hAnsi="宋体" w:cs="宋体"/>
                <w:color w:val="000000"/>
                <w:kern w:val="0"/>
                <w:sz w:val="18"/>
                <w:szCs w:val="18"/>
                <w:lang w:bidi="ar"/>
              </w:rPr>
              <w:t>注射完成完成时间</w:t>
            </w:r>
          </w:p>
        </w:tc>
        <w:tc>
          <w:tcPr>
            <w:tcW w:w="125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20"/>
                <w:szCs w:val="20"/>
                <w:lang w:bidi="ar"/>
              </w:rPr>
              <w:t>2024年5月</w:t>
            </w:r>
          </w:p>
        </w:tc>
        <w:tc>
          <w:tcPr>
            <w:tcW w:w="41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20"/>
                <w:szCs w:val="20"/>
                <w:lang w:bidi="ar"/>
              </w:rPr>
              <w:t>2024年5月</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p>
        </w:tc>
        <w:tc>
          <w:tcPr>
            <w:tcW w:w="1258"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418"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p>
        </w:tc>
        <w:tc>
          <w:tcPr>
            <w:tcW w:w="1258" w:type="dxa"/>
            <w:tcBorders>
              <w:top w:val="nil"/>
              <w:left w:val="nil"/>
              <w:bottom w:val="single" w:color="auto" w:sz="4" w:space="0"/>
              <w:right w:val="single" w:color="auto" w:sz="4" w:space="0"/>
            </w:tcBorders>
            <w:vAlign w:val="center"/>
          </w:tcPr>
          <w:p>
            <w:pPr>
              <w:widowControl/>
              <w:textAlignment w:val="center"/>
              <w:rPr>
                <w:rFonts w:hint="eastAsia" w:ascii="宋体" w:hAnsi="宋体" w:cs="宋体"/>
                <w:kern w:val="0"/>
                <w:sz w:val="18"/>
                <w:szCs w:val="18"/>
              </w:rPr>
            </w:pPr>
          </w:p>
        </w:tc>
        <w:tc>
          <w:tcPr>
            <w:tcW w:w="41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textAlignment w:val="center"/>
              <w:rPr>
                <w:rFonts w:hint="eastAsia"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p>
        </w:tc>
        <w:tc>
          <w:tcPr>
            <w:tcW w:w="1258"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418"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86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lang w:bidi="ar"/>
              </w:rPr>
              <w:t xml:space="preserve">对周边群众进行满意度调查 </w:t>
            </w:r>
          </w:p>
        </w:tc>
        <w:tc>
          <w:tcPr>
            <w:tcW w:w="1258"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kern w:val="0"/>
                <w:sz w:val="18"/>
                <w:szCs w:val="18"/>
              </w:rPr>
            </w:pPr>
            <w:r>
              <w:rPr>
                <w:rFonts w:hint="eastAsia" w:ascii="宋体" w:hAnsi="宋体" w:cs="宋体"/>
                <w:color w:val="000000"/>
                <w:kern w:val="0"/>
                <w:sz w:val="20"/>
                <w:szCs w:val="20"/>
                <w:lang w:bidi="ar"/>
              </w:rPr>
              <w:t>满意度达到85%以上。</w:t>
            </w:r>
          </w:p>
        </w:tc>
        <w:tc>
          <w:tcPr>
            <w:tcW w:w="41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90%</w:t>
            </w:r>
          </w:p>
        </w:tc>
        <w:tc>
          <w:tcPr>
            <w:tcW w:w="557"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557"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bl>
    <w:p>
      <w:pPr>
        <w:spacing w:line="520" w:lineRule="exact"/>
        <w:ind w:firstLine="640" w:firstLineChars="200"/>
        <w:rPr>
          <w:rFonts w:hint="eastAsia" w:ascii="黑体" w:hAnsi="黑体" w:eastAsia="黑体" w:cs="黑体"/>
          <w:bCs/>
          <w:color w:val="000000"/>
          <w:kern w:val="0"/>
          <w:sz w:val="32"/>
          <w:szCs w:val="32"/>
        </w:rPr>
      </w:pP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填报说明：</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1.计算执行率时，全年预算数不得减去年底财政统一追减数，既全年预算数=年初预算+年中追加-12月1日前追减数。执行率=全年执行/全年预算数。</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2.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3.总分设置为100分，等级一般划分为4档：90（含）-100分为优、80（含）-90分为良、60（含）-80分为中、60分以下为差。</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4.使用中央直达资金的项目务必将中央直达资金金额填报清楚。</w:t>
      </w:r>
    </w:p>
    <w:p>
      <w:pPr>
        <w:spacing w:line="580" w:lineRule="exact"/>
        <w:ind w:firstLine="560" w:firstLineChars="200"/>
        <w:rPr>
          <w:rFonts w:hint="eastAsia" w:ascii="仿宋_GB2312" w:hAnsi="仿宋_GB2312" w:eastAsia="仿宋_GB2312" w:cs="仿宋_GB2312"/>
          <w:sz w:val="28"/>
          <w:szCs w:val="28"/>
          <w:highlight w:val="yellow"/>
        </w:rPr>
      </w:pPr>
    </w:p>
    <w:p>
      <w:pPr>
        <w:spacing w:line="480" w:lineRule="exact"/>
        <w:jc w:val="center"/>
        <w:rPr>
          <w:rFonts w:ascii="黑体" w:eastAsia="黑体"/>
          <w:sz w:val="32"/>
          <w:szCs w:val="32"/>
          <w:highlight w:val="yellow"/>
        </w:rPr>
      </w:pPr>
    </w:p>
    <w:p>
      <w:pPr>
        <w:spacing w:line="480" w:lineRule="exact"/>
        <w:jc w:val="center"/>
        <w:rPr>
          <w:rFonts w:ascii="黑体" w:eastAsia="黑体"/>
          <w:sz w:val="32"/>
          <w:szCs w:val="32"/>
          <w:highlight w:val="yellow"/>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1A6A64DD"/>
    <w:multiLevelType w:val="singleLevel"/>
    <w:tmpl w:val="1A6A64DD"/>
    <w:lvl w:ilvl="0" w:tentative="0">
      <w:start w:val="3"/>
      <w:numFmt w:val="decimal"/>
      <w:suff w:val="nothing"/>
      <w:lvlText w:val="%1、"/>
      <w:lvlJc w:val="left"/>
      <w:pPr>
        <w:ind w:left="560" w:leftChars="0" w:firstLine="0" w:firstLineChars="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853B0"/>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79F"/>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065F"/>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03679"/>
    <w:rsid w:val="011A745C"/>
    <w:rsid w:val="01625CDA"/>
    <w:rsid w:val="02383E73"/>
    <w:rsid w:val="02C306DB"/>
    <w:rsid w:val="02F120AB"/>
    <w:rsid w:val="032B5196"/>
    <w:rsid w:val="032C02F1"/>
    <w:rsid w:val="03406C1F"/>
    <w:rsid w:val="034119A9"/>
    <w:rsid w:val="03476BEF"/>
    <w:rsid w:val="03E018C1"/>
    <w:rsid w:val="049A719B"/>
    <w:rsid w:val="04BA372F"/>
    <w:rsid w:val="04C3537C"/>
    <w:rsid w:val="04E24679"/>
    <w:rsid w:val="04F961AB"/>
    <w:rsid w:val="063C7610"/>
    <w:rsid w:val="065C0CA1"/>
    <w:rsid w:val="068E45C6"/>
    <w:rsid w:val="06FF7F8B"/>
    <w:rsid w:val="079004AC"/>
    <w:rsid w:val="081A467B"/>
    <w:rsid w:val="0B0924DC"/>
    <w:rsid w:val="0B635912"/>
    <w:rsid w:val="0BA148CA"/>
    <w:rsid w:val="0BC42692"/>
    <w:rsid w:val="0BC64036"/>
    <w:rsid w:val="0C1165C4"/>
    <w:rsid w:val="0C7F7F31"/>
    <w:rsid w:val="0D6D544B"/>
    <w:rsid w:val="0DD136FE"/>
    <w:rsid w:val="0E834858"/>
    <w:rsid w:val="0F542F2C"/>
    <w:rsid w:val="0F8E2C57"/>
    <w:rsid w:val="1059665E"/>
    <w:rsid w:val="10AC13BA"/>
    <w:rsid w:val="11A20BFE"/>
    <w:rsid w:val="11D636B9"/>
    <w:rsid w:val="11FE6E3A"/>
    <w:rsid w:val="122619C4"/>
    <w:rsid w:val="129736EC"/>
    <w:rsid w:val="129F0A6C"/>
    <w:rsid w:val="12E47BAB"/>
    <w:rsid w:val="12F1054E"/>
    <w:rsid w:val="13587335"/>
    <w:rsid w:val="13F765BD"/>
    <w:rsid w:val="145A6C1B"/>
    <w:rsid w:val="14B73493"/>
    <w:rsid w:val="15076739"/>
    <w:rsid w:val="15157778"/>
    <w:rsid w:val="15A95218"/>
    <w:rsid w:val="15F261D9"/>
    <w:rsid w:val="16351CEC"/>
    <w:rsid w:val="167A2FF9"/>
    <w:rsid w:val="17354E43"/>
    <w:rsid w:val="1764587C"/>
    <w:rsid w:val="18581C69"/>
    <w:rsid w:val="19B14C2F"/>
    <w:rsid w:val="1A0F33D8"/>
    <w:rsid w:val="1AEC0734"/>
    <w:rsid w:val="1B3F506C"/>
    <w:rsid w:val="1BC121B6"/>
    <w:rsid w:val="1C97033D"/>
    <w:rsid w:val="1D071200"/>
    <w:rsid w:val="1D382198"/>
    <w:rsid w:val="1D483EE5"/>
    <w:rsid w:val="1D60087E"/>
    <w:rsid w:val="1D9F7224"/>
    <w:rsid w:val="1DEF20B0"/>
    <w:rsid w:val="1E954EDC"/>
    <w:rsid w:val="1F0E227B"/>
    <w:rsid w:val="1FA861DB"/>
    <w:rsid w:val="1FF7AB17"/>
    <w:rsid w:val="214243FA"/>
    <w:rsid w:val="21AD613C"/>
    <w:rsid w:val="22467189"/>
    <w:rsid w:val="22A2281D"/>
    <w:rsid w:val="25385ADA"/>
    <w:rsid w:val="257A14F5"/>
    <w:rsid w:val="25FA7603"/>
    <w:rsid w:val="26F77D21"/>
    <w:rsid w:val="27196C26"/>
    <w:rsid w:val="2748148B"/>
    <w:rsid w:val="279C3463"/>
    <w:rsid w:val="279E76F8"/>
    <w:rsid w:val="27AA496E"/>
    <w:rsid w:val="27E9042A"/>
    <w:rsid w:val="284D6F71"/>
    <w:rsid w:val="285475B1"/>
    <w:rsid w:val="287F2E2F"/>
    <w:rsid w:val="28D967EB"/>
    <w:rsid w:val="28DB1972"/>
    <w:rsid w:val="29D61D3F"/>
    <w:rsid w:val="29E85E89"/>
    <w:rsid w:val="29EF086F"/>
    <w:rsid w:val="2ACC7E72"/>
    <w:rsid w:val="2B4A0881"/>
    <w:rsid w:val="2B5152BC"/>
    <w:rsid w:val="2B6C42DE"/>
    <w:rsid w:val="2BC34C59"/>
    <w:rsid w:val="2E3305F9"/>
    <w:rsid w:val="2E7C51D9"/>
    <w:rsid w:val="2E813B2D"/>
    <w:rsid w:val="2E94517C"/>
    <w:rsid w:val="2EFFE297"/>
    <w:rsid w:val="300714C4"/>
    <w:rsid w:val="301437CA"/>
    <w:rsid w:val="30351DF3"/>
    <w:rsid w:val="31456087"/>
    <w:rsid w:val="316C04DE"/>
    <w:rsid w:val="31EC4ED7"/>
    <w:rsid w:val="32BD086A"/>
    <w:rsid w:val="32E2677D"/>
    <w:rsid w:val="33E204A7"/>
    <w:rsid w:val="34134FB5"/>
    <w:rsid w:val="349D1F0A"/>
    <w:rsid w:val="34DD0473"/>
    <w:rsid w:val="351E7038"/>
    <w:rsid w:val="36A60620"/>
    <w:rsid w:val="36D20B0C"/>
    <w:rsid w:val="371F3BE5"/>
    <w:rsid w:val="3761523C"/>
    <w:rsid w:val="386D0C83"/>
    <w:rsid w:val="39351483"/>
    <w:rsid w:val="394B1E14"/>
    <w:rsid w:val="39BA01C5"/>
    <w:rsid w:val="39F27522"/>
    <w:rsid w:val="3A8E35DC"/>
    <w:rsid w:val="3B8220AE"/>
    <w:rsid w:val="3C4E2F33"/>
    <w:rsid w:val="3C684897"/>
    <w:rsid w:val="3C7F5FA6"/>
    <w:rsid w:val="3CF01087"/>
    <w:rsid w:val="3D363B10"/>
    <w:rsid w:val="3D5D3F47"/>
    <w:rsid w:val="3D8E44F0"/>
    <w:rsid w:val="3DA47C31"/>
    <w:rsid w:val="3DE152BA"/>
    <w:rsid w:val="3DF37611"/>
    <w:rsid w:val="3E2C1E74"/>
    <w:rsid w:val="3E327928"/>
    <w:rsid w:val="3E893144"/>
    <w:rsid w:val="3E98110F"/>
    <w:rsid w:val="3F940B74"/>
    <w:rsid w:val="40903BD6"/>
    <w:rsid w:val="40E76D87"/>
    <w:rsid w:val="41826AEA"/>
    <w:rsid w:val="41925372"/>
    <w:rsid w:val="421F293B"/>
    <w:rsid w:val="433E495C"/>
    <w:rsid w:val="43763FF6"/>
    <w:rsid w:val="441E519F"/>
    <w:rsid w:val="44DD32B0"/>
    <w:rsid w:val="45770169"/>
    <w:rsid w:val="457932F1"/>
    <w:rsid w:val="45A1658A"/>
    <w:rsid w:val="45D220EC"/>
    <w:rsid w:val="45E545C6"/>
    <w:rsid w:val="46F66017"/>
    <w:rsid w:val="472A5F54"/>
    <w:rsid w:val="47FB3D99"/>
    <w:rsid w:val="489F2FD7"/>
    <w:rsid w:val="48D34CAF"/>
    <w:rsid w:val="498517E6"/>
    <w:rsid w:val="49FA30B8"/>
    <w:rsid w:val="4A1145B7"/>
    <w:rsid w:val="4A1407EA"/>
    <w:rsid w:val="4A197478"/>
    <w:rsid w:val="4A51439D"/>
    <w:rsid w:val="4A6126EB"/>
    <w:rsid w:val="4AA72DE8"/>
    <w:rsid w:val="4AC27CB3"/>
    <w:rsid w:val="4AD438A3"/>
    <w:rsid w:val="4B5B5969"/>
    <w:rsid w:val="4B5F46FA"/>
    <w:rsid w:val="4BA127DE"/>
    <w:rsid w:val="4BF72BEF"/>
    <w:rsid w:val="4C325C62"/>
    <w:rsid w:val="4C7D6596"/>
    <w:rsid w:val="4D093687"/>
    <w:rsid w:val="4E0B3DA5"/>
    <w:rsid w:val="4ECF50D2"/>
    <w:rsid w:val="4EFA78EB"/>
    <w:rsid w:val="4FA90297"/>
    <w:rsid w:val="4FC41A43"/>
    <w:rsid w:val="5093457B"/>
    <w:rsid w:val="51301E92"/>
    <w:rsid w:val="51DB3C59"/>
    <w:rsid w:val="52D475A1"/>
    <w:rsid w:val="53064368"/>
    <w:rsid w:val="539B4DF3"/>
    <w:rsid w:val="53B53EAA"/>
    <w:rsid w:val="53D83A5E"/>
    <w:rsid w:val="53F80459"/>
    <w:rsid w:val="54FB5F10"/>
    <w:rsid w:val="54FD16D0"/>
    <w:rsid w:val="550C0952"/>
    <w:rsid w:val="55762E42"/>
    <w:rsid w:val="56FF6345"/>
    <w:rsid w:val="5734652C"/>
    <w:rsid w:val="573714D2"/>
    <w:rsid w:val="57A7B272"/>
    <w:rsid w:val="58470068"/>
    <w:rsid w:val="58737B0E"/>
    <w:rsid w:val="58747CAC"/>
    <w:rsid w:val="599C441A"/>
    <w:rsid w:val="59C83E7D"/>
    <w:rsid w:val="5A1720F9"/>
    <w:rsid w:val="5A571A44"/>
    <w:rsid w:val="5A924269"/>
    <w:rsid w:val="5AF74646"/>
    <w:rsid w:val="5B9C37C2"/>
    <w:rsid w:val="5BA7C654"/>
    <w:rsid w:val="5C27740B"/>
    <w:rsid w:val="5C3003BD"/>
    <w:rsid w:val="5C495C0F"/>
    <w:rsid w:val="5CF319BC"/>
    <w:rsid w:val="5D054B7E"/>
    <w:rsid w:val="5D265F3A"/>
    <w:rsid w:val="5DF716AE"/>
    <w:rsid w:val="5E5061B1"/>
    <w:rsid w:val="5EC37408"/>
    <w:rsid w:val="5F6145EB"/>
    <w:rsid w:val="5F6B5287"/>
    <w:rsid w:val="5F84382D"/>
    <w:rsid w:val="5F9F507E"/>
    <w:rsid w:val="5FD578D6"/>
    <w:rsid w:val="5FFC77EC"/>
    <w:rsid w:val="6027159D"/>
    <w:rsid w:val="607856FB"/>
    <w:rsid w:val="60A54109"/>
    <w:rsid w:val="60B6153A"/>
    <w:rsid w:val="613349A5"/>
    <w:rsid w:val="61534777"/>
    <w:rsid w:val="618338B6"/>
    <w:rsid w:val="61D01CDF"/>
    <w:rsid w:val="61EB4EFA"/>
    <w:rsid w:val="62734D4A"/>
    <w:rsid w:val="633173E6"/>
    <w:rsid w:val="6361356B"/>
    <w:rsid w:val="63724BB3"/>
    <w:rsid w:val="64C0607C"/>
    <w:rsid w:val="652301F1"/>
    <w:rsid w:val="65383C82"/>
    <w:rsid w:val="6553353E"/>
    <w:rsid w:val="65756C86"/>
    <w:rsid w:val="65AA12F8"/>
    <w:rsid w:val="66041FA6"/>
    <w:rsid w:val="6640488C"/>
    <w:rsid w:val="674D385B"/>
    <w:rsid w:val="676F09E1"/>
    <w:rsid w:val="679253D0"/>
    <w:rsid w:val="68E357A3"/>
    <w:rsid w:val="697A6D7A"/>
    <w:rsid w:val="697F50F1"/>
    <w:rsid w:val="6A495D1D"/>
    <w:rsid w:val="6AE33C12"/>
    <w:rsid w:val="6B2E5D56"/>
    <w:rsid w:val="6B4816D5"/>
    <w:rsid w:val="6BA76C30"/>
    <w:rsid w:val="6BAE20EE"/>
    <w:rsid w:val="6CAD7DCB"/>
    <w:rsid w:val="6CD523DB"/>
    <w:rsid w:val="6D7C0AE9"/>
    <w:rsid w:val="6EC1595D"/>
    <w:rsid w:val="6ED33A3F"/>
    <w:rsid w:val="6EF36D7E"/>
    <w:rsid w:val="6F612D14"/>
    <w:rsid w:val="71070437"/>
    <w:rsid w:val="710E62EA"/>
    <w:rsid w:val="711578BD"/>
    <w:rsid w:val="71691990"/>
    <w:rsid w:val="716A4530"/>
    <w:rsid w:val="716A7B80"/>
    <w:rsid w:val="71793A80"/>
    <w:rsid w:val="718D6C7B"/>
    <w:rsid w:val="73304CBE"/>
    <w:rsid w:val="7357290B"/>
    <w:rsid w:val="756E3DEA"/>
    <w:rsid w:val="75B96BA9"/>
    <w:rsid w:val="76CE3E9C"/>
    <w:rsid w:val="76F75FB0"/>
    <w:rsid w:val="76FB1693"/>
    <w:rsid w:val="77CF4037"/>
    <w:rsid w:val="780456F9"/>
    <w:rsid w:val="78EB4935"/>
    <w:rsid w:val="79486FDF"/>
    <w:rsid w:val="798524E4"/>
    <w:rsid w:val="79E1243B"/>
    <w:rsid w:val="7A1029C4"/>
    <w:rsid w:val="7A7F1C49"/>
    <w:rsid w:val="7A8623C9"/>
    <w:rsid w:val="7AD871FC"/>
    <w:rsid w:val="7B271709"/>
    <w:rsid w:val="7B5B7AE6"/>
    <w:rsid w:val="7B7B6628"/>
    <w:rsid w:val="7BA7071E"/>
    <w:rsid w:val="7BD05E85"/>
    <w:rsid w:val="7BDF6DA8"/>
    <w:rsid w:val="7C222375"/>
    <w:rsid w:val="7C7EDC1A"/>
    <w:rsid w:val="7C82276E"/>
    <w:rsid w:val="7CA52C0F"/>
    <w:rsid w:val="7CCED98D"/>
    <w:rsid w:val="7D08410F"/>
    <w:rsid w:val="7DB6710D"/>
    <w:rsid w:val="7DB96DED"/>
    <w:rsid w:val="7DD3AD81"/>
    <w:rsid w:val="7DD455ED"/>
    <w:rsid w:val="7DFFF77E"/>
    <w:rsid w:val="7E7234CD"/>
    <w:rsid w:val="7E7C007B"/>
    <w:rsid w:val="7EBD3B93"/>
    <w:rsid w:val="7F53A862"/>
    <w:rsid w:val="7F7FE70F"/>
    <w:rsid w:val="7FDF365A"/>
    <w:rsid w:val="7FE81213"/>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4">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7"/>
    <w:qFormat/>
    <w:uiPriority w:val="0"/>
    <w:pPr>
      <w:tabs>
        <w:tab w:val="center" w:pos="4153"/>
        <w:tab w:val="right" w:pos="8306"/>
      </w:tabs>
      <w:snapToGrid w:val="0"/>
      <w:jc w:val="left"/>
    </w:pPr>
    <w:rPr>
      <w:sz w:val="18"/>
      <w:szCs w:val="18"/>
    </w:rPr>
  </w:style>
  <w:style w:type="paragraph" w:styleId="10">
    <w:name w:val="header"/>
    <w:basedOn w:val="1"/>
    <w:link w:val="18"/>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footnote text"/>
    <w:basedOn w:val="1"/>
    <w:next w:val="2"/>
    <w:qFormat/>
    <w:uiPriority w:val="0"/>
    <w:pPr>
      <w:snapToGrid w:val="0"/>
      <w:jc w:val="left"/>
    </w:pPr>
    <w:rPr>
      <w:sz w:val="18"/>
      <w:szCs w:val="18"/>
    </w:rPr>
  </w:style>
  <w:style w:type="paragraph" w:styleId="12">
    <w:name w:val="Normal (Web)"/>
    <w:basedOn w:val="1"/>
    <w:unhideWhenUsed/>
    <w:qFormat/>
    <w:uiPriority w:val="0"/>
    <w:pPr>
      <w:spacing w:before="100" w:beforeAutospacing="1" w:after="100" w:afterAutospacing="1"/>
      <w:ind w:right="238"/>
      <w:jc w:val="left"/>
    </w:pPr>
    <w:rPr>
      <w:b/>
      <w:kern w:val="0"/>
      <w:sz w:val="24"/>
      <w:szCs w:val="20"/>
    </w:rPr>
  </w:style>
  <w:style w:type="character" w:styleId="15">
    <w:name w:val="Strong"/>
    <w:qFormat/>
    <w:uiPriority w:val="0"/>
    <w:rPr>
      <w:b/>
    </w:rPr>
  </w:style>
  <w:style w:type="character" w:styleId="16">
    <w:name w:val="page number"/>
    <w:qFormat/>
    <w:uiPriority w:val="0"/>
  </w:style>
  <w:style w:type="character" w:customStyle="1" w:styleId="17">
    <w:name w:val="页脚 Char"/>
    <w:link w:val="9"/>
    <w:qFormat/>
    <w:uiPriority w:val="0"/>
    <w:rPr>
      <w:rFonts w:eastAsia="宋体"/>
      <w:kern w:val="2"/>
      <w:sz w:val="18"/>
      <w:szCs w:val="18"/>
      <w:lang w:val="en-US" w:eastAsia="zh-CN" w:bidi="ar-SA"/>
    </w:rPr>
  </w:style>
  <w:style w:type="character" w:customStyle="1" w:styleId="18">
    <w:name w:val="页眉 Char"/>
    <w:link w:val="10"/>
    <w:qFormat/>
    <w:uiPriority w:val="0"/>
    <w:rPr>
      <w:rFonts w:ascii="Calibri" w:hAnsi="Calibri" w:eastAsia="宋体"/>
      <w:kern w:val="2"/>
      <w:sz w:val="18"/>
      <w:szCs w:val="18"/>
      <w:lang w:val="en-US" w:eastAsia="zh-CN" w:bidi="ar-SA"/>
    </w:rPr>
  </w:style>
  <w:style w:type="paragraph" w:customStyle="1" w:styleId="19">
    <w:name w:val="Char Char Char Char Char Char Char"/>
    <w:basedOn w:val="1"/>
    <w:qFormat/>
    <w:uiPriority w:val="0"/>
    <w:rPr>
      <w:rFonts w:ascii="Tahoma" w:hAnsi="Tahoma"/>
      <w:sz w:val="24"/>
      <w:szCs w:val="20"/>
    </w:rPr>
  </w:style>
  <w:style w:type="paragraph" w:customStyle="1" w:styleId="20">
    <w:name w:val="Char1 Char Char Char"/>
    <w:basedOn w:val="1"/>
    <w:qFormat/>
    <w:uiPriority w:val="0"/>
    <w:pPr>
      <w:widowControl/>
      <w:spacing w:after="160" w:line="240" w:lineRule="exact"/>
      <w:jc w:val="left"/>
    </w:pPr>
    <w:rPr>
      <w:szCs w:val="20"/>
    </w:rPr>
  </w:style>
  <w:style w:type="paragraph" w:customStyle="1" w:styleId="21">
    <w:name w:val="Char"/>
    <w:basedOn w:val="1"/>
    <w:qFormat/>
    <w:uiPriority w:val="0"/>
    <w:rPr>
      <w:rFonts w:ascii="Tahoma" w:hAnsi="Tahoma"/>
      <w:sz w:val="24"/>
      <w:szCs w:val="20"/>
    </w:rPr>
  </w:style>
  <w:style w:type="paragraph" w:customStyle="1" w:styleId="22">
    <w:name w:val="Char Char3 Char Char"/>
    <w:basedOn w:val="1"/>
    <w:qFormat/>
    <w:uiPriority w:val="0"/>
    <w:rPr>
      <w:szCs w:val="21"/>
    </w:rPr>
  </w:style>
  <w:style w:type="character" w:customStyle="1" w:styleId="23">
    <w:name w:val="font11"/>
    <w:basedOn w:val="14"/>
    <w:qFormat/>
    <w:uiPriority w:val="0"/>
    <w:rPr>
      <w:rFonts w:hint="eastAsia" w:ascii="宋体" w:hAnsi="宋体" w:eastAsia="宋体" w:cs="宋体"/>
      <w:color w:val="000000"/>
      <w:sz w:val="18"/>
      <w:szCs w:val="18"/>
      <w:u w:val="none"/>
    </w:rPr>
  </w:style>
  <w:style w:type="character" w:customStyle="1" w:styleId="24">
    <w:name w:val="font41"/>
    <w:basedOn w:val="14"/>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53911.13</c:v>
                </c:pt>
                <c:pt idx="1">
                  <c:v>0</c:v>
                </c:pt>
                <c:pt idx="2">
                  <c:v>4564.09</c:v>
                </c:pt>
                <c:pt idx="3">
                  <c:v>0</c:v>
                </c:pt>
                <c:pt idx="4">
                  <c:v>0</c:v>
                </c:pt>
                <c:pt idx="5">
                  <c:v>2529.78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11751.4</c:v>
                </c:pt>
                <c:pt idx="1">
                  <c:v>50965.97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12075</Words>
  <Characters>13886</Characters>
  <Lines>44</Lines>
  <Paragraphs>12</Paragraphs>
  <TotalTime>13</TotalTime>
  <ScaleCrop>false</ScaleCrop>
  <LinksUpToDate>false</LinksUpToDate>
  <CharactersWithSpaces>13906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2025-12-24T08:41:39Z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A7F78878FB63AC2F75B4B7682BD79272</vt:lpwstr>
  </property>
  <property fmtid="{D5CDD505-2E9C-101B-9397-08002B2CF9AE}" pid="4" name="KSOTemplateDocerSaveRecord">
    <vt:lpwstr>eyJoZGlkIjoiZWFmODEzMjhjYzAyOGQ2M2M1OWQ1ODAyZTg4N2UwN2UiLCJ1c2VySWQiOiIxNjE1MzA0NDk4In0=</vt:lpwstr>
  </property>
</Properties>
</file>