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北京市大兴区北臧村镇社区卫生服务中心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1．我单位为基层医疗单位，主要为辖区人口提供医疗服务及公共卫生服务。</w:t>
      </w:r>
    </w:p>
    <w:p>
      <w:pPr>
        <w:tabs>
          <w:tab w:val="center" w:pos="6979"/>
        </w:tabs>
        <w:spacing w:line="580" w:lineRule="exact"/>
        <w:ind w:firstLine="560" w:firstLineChars="200"/>
        <w:rPr>
          <w:rFonts w:ascii="仿宋_GB2312" w:hAnsi="仿宋" w:eastAsia="仿宋_GB2312"/>
          <w:sz w:val="28"/>
          <w:szCs w:val="28"/>
        </w:rPr>
      </w:pPr>
      <w:r>
        <w:rPr>
          <w:rFonts w:hint="eastAsia" w:ascii="仿宋_GB2312" w:hAnsi="仿宋" w:eastAsia="仿宋_GB2312"/>
          <w:sz w:val="28"/>
          <w:szCs w:val="28"/>
        </w:rPr>
        <w:t>2．北京市大兴北臧村镇社区卫生服务中心为事业单位，内设办公室、医务科、财务科、医保科、内科、外科、药房、检验科影像科等部门。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7331.62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1265.42</w:t>
      </w:r>
      <w:r>
        <w:rPr>
          <w:rFonts w:hint="eastAsia" w:ascii="仿宋_GB2312" w:eastAsia="仿宋_GB2312"/>
          <w:sz w:val="28"/>
          <w:szCs w:val="28"/>
        </w:rPr>
        <w:t>万元，增长</w:t>
      </w:r>
      <w:r>
        <w:rPr>
          <w:rFonts w:hint="eastAsia" w:ascii="仿宋_GB2312" w:eastAsia="仿宋_GB2312"/>
          <w:sz w:val="28"/>
          <w:szCs w:val="28"/>
          <w:lang w:val="en-US" w:eastAsia="zh-CN"/>
        </w:rPr>
        <w:t>20.86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6622.69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727.51万元，增长12.34%</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3347.21</w:t>
      </w:r>
      <w:r>
        <w:rPr>
          <w:rFonts w:hint="eastAsia" w:ascii="仿宋_GB2312" w:eastAsia="仿宋_GB2312"/>
          <w:sz w:val="28"/>
          <w:szCs w:val="28"/>
        </w:rPr>
        <w:t>万元，占收入合计的</w:t>
      </w:r>
      <w:r>
        <w:rPr>
          <w:rFonts w:hint="eastAsia" w:ascii="仿宋_GB2312" w:eastAsia="仿宋_GB2312"/>
          <w:sz w:val="28"/>
          <w:szCs w:val="28"/>
          <w:lang w:eastAsia="zh-CN"/>
        </w:rPr>
        <w:t>50.54%。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3347.21</w:t>
      </w:r>
      <w:r>
        <w:rPr>
          <w:rFonts w:hint="eastAsia" w:ascii="仿宋_GB2312" w:eastAsia="仿宋_GB2312"/>
          <w:sz w:val="28"/>
          <w:szCs w:val="28"/>
        </w:rPr>
        <w:t>万元，占收入合计的</w:t>
      </w:r>
      <w:r>
        <w:rPr>
          <w:rFonts w:hint="eastAsia" w:ascii="仿宋_GB2312" w:eastAsia="仿宋_GB2312"/>
          <w:sz w:val="28"/>
          <w:szCs w:val="28"/>
          <w:lang w:eastAsia="zh-CN"/>
        </w:rPr>
        <w:t>50.54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hint="eastAsia" w:ascii="仿宋_GB2312" w:eastAsia="仿宋_GB2312"/>
          <w:sz w:val="28"/>
          <w:szCs w:val="28"/>
        </w:rPr>
        <w:t>3192.8万元，占收入合计的48.21%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3192.8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48.21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rPr>
        <w:t>82.67万元，占收入合计的1.25%</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7145.95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1567.82万元，增长28.11%，其中：基本支</w:t>
      </w:r>
      <w:r>
        <w:rPr>
          <w:rFonts w:hint="eastAsia" w:ascii="仿宋_GB2312" w:eastAsia="仿宋_GB2312"/>
          <w:sz w:val="28"/>
          <w:szCs w:val="28"/>
          <w:highlight w:val="none"/>
        </w:rPr>
        <w:t>出</w:t>
      </w:r>
      <w:r>
        <w:rPr>
          <w:rFonts w:ascii="仿宋_GB2312" w:eastAsia="仿宋_GB2312"/>
          <w:sz w:val="28"/>
          <w:szCs w:val="28"/>
          <w:highlight w:val="none"/>
        </w:rPr>
        <w:t>5519.52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77.24</w:t>
      </w:r>
      <w:r>
        <w:rPr>
          <w:rFonts w:hint="eastAsia" w:ascii="仿宋_GB2312" w:eastAsia="仿宋_GB2312"/>
          <w:sz w:val="28"/>
          <w:szCs w:val="28"/>
          <w:highlight w:val="none"/>
        </w:rPr>
        <w:t>%；项目支出</w:t>
      </w:r>
      <w:r>
        <w:rPr>
          <w:rFonts w:ascii="仿宋_GB2312" w:eastAsia="仿宋_GB2312"/>
          <w:sz w:val="28"/>
          <w:szCs w:val="28"/>
          <w:highlight w:val="none"/>
        </w:rPr>
        <w:t>1626.43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22.76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3569.88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548.07</w:t>
      </w:r>
      <w:r>
        <w:rPr>
          <w:rFonts w:hint="eastAsia" w:ascii="仿宋_GB2312" w:eastAsia="仿宋_GB2312"/>
          <w:sz w:val="28"/>
          <w:szCs w:val="28"/>
        </w:rPr>
        <w:t>万元，增长</w:t>
      </w:r>
      <w:r>
        <w:rPr>
          <w:rFonts w:hint="eastAsia" w:ascii="仿宋_GB2312" w:eastAsia="仿宋_GB2312"/>
          <w:sz w:val="28"/>
          <w:szCs w:val="28"/>
          <w:lang w:val="en-US" w:eastAsia="zh-CN"/>
        </w:rPr>
        <w:t>15.35</w:t>
      </w:r>
      <w:r>
        <w:rPr>
          <w:rFonts w:hint="eastAsia" w:ascii="仿宋_GB2312" w:eastAsia="仿宋_GB2312"/>
          <w:sz w:val="28"/>
          <w:szCs w:val="28"/>
        </w:rPr>
        <w:t>%。主要原因：增加财政补助收入，增加医疗收入。</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222.67</w:t>
      </w:r>
      <w:r>
        <w:rPr>
          <w:rFonts w:hint="eastAsia" w:ascii="仿宋_GB2312" w:eastAsia="仿宋_GB2312"/>
          <w:sz w:val="28"/>
          <w:szCs w:val="28"/>
        </w:rPr>
        <w:t>万元，主要用于以下方面（按大类）：社会保障和就业支出284.30万元，占本年财政拨款支出7.96%；卫生健康支出3285.57万元，占本年财政拨款支出92.04%；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年度年初预算3569.87万元，202</w:t>
      </w:r>
      <w:r>
        <w:rPr>
          <w:rFonts w:hint="eastAsia" w:ascii="仿宋_GB2312" w:eastAsia="仿宋_GB2312"/>
          <w:sz w:val="28"/>
          <w:szCs w:val="28"/>
          <w:lang w:val="en-US" w:eastAsia="zh-CN"/>
        </w:rPr>
        <w:t>4</w:t>
      </w:r>
      <w:r>
        <w:rPr>
          <w:rFonts w:hint="eastAsia" w:ascii="仿宋_GB2312" w:eastAsia="仿宋_GB2312"/>
          <w:sz w:val="28"/>
          <w:szCs w:val="28"/>
        </w:rPr>
        <w:t>年度决算3569.87万元，</w:t>
      </w:r>
      <w:r>
        <w:rPr>
          <w:rFonts w:hint="eastAsia" w:ascii="仿宋_GB2312" w:eastAsia="仿宋_GB2312"/>
          <w:sz w:val="28"/>
          <w:szCs w:val="28"/>
          <w:lang w:eastAsia="zh-CN"/>
        </w:rPr>
        <w:t>完成年初预算的</w:t>
      </w:r>
      <w:r>
        <w:rPr>
          <w:rFonts w:hint="eastAsia" w:ascii="仿宋_GB2312" w:eastAsia="仿宋_GB2312"/>
          <w:sz w:val="28"/>
          <w:szCs w:val="28"/>
        </w:rPr>
        <w:t>3569.87%。</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行政事业单位养老</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年度年初预算284.3万元，202</w:t>
      </w:r>
      <w:r>
        <w:rPr>
          <w:rFonts w:hint="eastAsia" w:ascii="仿宋_GB2312" w:eastAsia="仿宋_GB2312"/>
          <w:sz w:val="28"/>
          <w:szCs w:val="28"/>
          <w:lang w:val="en-US" w:eastAsia="zh-CN"/>
        </w:rPr>
        <w:t>4</w:t>
      </w:r>
      <w:r>
        <w:rPr>
          <w:rFonts w:hint="eastAsia" w:ascii="仿宋_GB2312" w:eastAsia="仿宋_GB2312"/>
          <w:sz w:val="28"/>
          <w:szCs w:val="28"/>
        </w:rPr>
        <w:t>年度决算284.3万元，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基层医疗卫生机构202</w:t>
      </w:r>
      <w:r>
        <w:rPr>
          <w:rFonts w:hint="eastAsia" w:ascii="仿宋_GB2312" w:eastAsia="仿宋_GB2312"/>
          <w:sz w:val="28"/>
          <w:szCs w:val="28"/>
          <w:lang w:val="en-US" w:eastAsia="zh-CN"/>
        </w:rPr>
        <w:t>4</w:t>
      </w:r>
      <w:r>
        <w:rPr>
          <w:rFonts w:hint="eastAsia" w:ascii="仿宋_GB2312" w:eastAsia="仿宋_GB2312"/>
          <w:sz w:val="28"/>
          <w:szCs w:val="28"/>
        </w:rPr>
        <w:t>年度年初预算2010.12万元，202</w:t>
      </w:r>
      <w:r>
        <w:rPr>
          <w:rFonts w:hint="eastAsia" w:ascii="仿宋_GB2312" w:eastAsia="仿宋_GB2312"/>
          <w:sz w:val="28"/>
          <w:szCs w:val="28"/>
          <w:lang w:val="en-US" w:eastAsia="zh-CN"/>
        </w:rPr>
        <w:t>4</w:t>
      </w:r>
      <w:r>
        <w:rPr>
          <w:rFonts w:hint="eastAsia" w:ascii="仿宋_GB2312" w:eastAsia="仿宋_GB2312"/>
          <w:sz w:val="28"/>
          <w:szCs w:val="28"/>
        </w:rPr>
        <w:t>年度决算2010.12万元，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pStyle w:val="2"/>
        <w:ind w:firstLine="560" w:firstLineChars="200"/>
        <w:rPr>
          <w:rFonts w:hint="eastAsia" w:ascii="仿宋_GB2312" w:eastAsia="仿宋_GB2312"/>
          <w:b w:val="0"/>
          <w:bCs w:val="0"/>
          <w:sz w:val="28"/>
          <w:szCs w:val="28"/>
        </w:rPr>
      </w:pPr>
      <w:r>
        <w:rPr>
          <w:rFonts w:ascii="仿宋_GB2312" w:eastAsia="仿宋_GB2312"/>
          <w:b w:val="0"/>
          <w:bCs w:val="0"/>
          <w:sz w:val="28"/>
          <w:szCs w:val="28"/>
        </w:rPr>
        <w:t>公共卫生</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年度年初预算984.15万元，202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年度决算984.15万元，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pStyle w:val="2"/>
        <w:ind w:left="838" w:leftChars="266" w:hanging="280" w:hangingChars="100"/>
        <w:rPr>
          <w:rFonts w:hint="eastAsia" w:ascii="仿宋_GB2312" w:eastAsia="仿宋_GB2312"/>
          <w:b w:val="0"/>
          <w:bCs w:val="0"/>
          <w:sz w:val="28"/>
          <w:szCs w:val="28"/>
          <w:lang w:val="en-US" w:eastAsia="zh-CN"/>
        </w:rPr>
      </w:pPr>
      <w:r>
        <w:rPr>
          <w:rFonts w:ascii="仿宋_GB2312" w:eastAsia="仿宋_GB2312"/>
          <w:b w:val="0"/>
          <w:bCs w:val="0"/>
          <w:sz w:val="28"/>
          <w:szCs w:val="28"/>
        </w:rPr>
        <w:t>中医药</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年度年初预算4.28万元，202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年度决算4.28万元，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r>
        <w:rPr>
          <w:rFonts w:hint="eastAsia" w:ascii="仿宋_GB2312" w:eastAsia="仿宋_GB2312"/>
          <w:b w:val="0"/>
          <w:bCs w:val="0"/>
          <w:sz w:val="28"/>
          <w:szCs w:val="28"/>
          <w:lang w:val="en-US" w:eastAsia="zh-CN"/>
        </w:rPr>
        <w:t xml:space="preserve">                  </w:t>
      </w:r>
    </w:p>
    <w:p>
      <w:pPr>
        <w:pStyle w:val="2"/>
        <w:ind w:left="838" w:leftChars="266" w:hanging="280" w:hangingChars="100"/>
        <w:rPr>
          <w:rFonts w:hint="eastAsia" w:ascii="仿宋_GB2312" w:eastAsia="仿宋_GB2312"/>
          <w:b w:val="0"/>
          <w:bCs w:val="0"/>
          <w:sz w:val="28"/>
          <w:szCs w:val="28"/>
        </w:rPr>
      </w:pPr>
      <w:r>
        <w:rPr>
          <w:rFonts w:hint="eastAsia" w:ascii="仿宋_GB2312" w:eastAsia="仿宋_GB2312"/>
          <w:b w:val="0"/>
          <w:bCs w:val="0"/>
          <w:sz w:val="28"/>
          <w:szCs w:val="28"/>
          <w:lang w:val="en-US" w:eastAsia="zh-CN"/>
        </w:rPr>
        <w:t>行政</w:t>
      </w:r>
      <w:r>
        <w:rPr>
          <w:rFonts w:ascii="仿宋_GB2312" w:eastAsia="仿宋_GB2312"/>
          <w:b w:val="0"/>
          <w:bCs w:val="0"/>
          <w:sz w:val="28"/>
          <w:szCs w:val="28"/>
        </w:rPr>
        <w:t>事业单位医疗</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年度年初预算202.45万元，202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年度决算202.45万元，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ind w:firstLine="560" w:firstLineChars="200"/>
        <w:rPr>
          <w:rFonts w:hint="eastAsia"/>
          <w:b w:val="0"/>
          <w:bCs w:val="0"/>
        </w:rPr>
      </w:pPr>
      <w:r>
        <w:rPr>
          <w:rFonts w:ascii="仿宋_GB2312" w:eastAsia="仿宋_GB2312"/>
          <w:b w:val="0"/>
          <w:bCs w:val="0"/>
          <w:sz w:val="28"/>
          <w:szCs w:val="28"/>
        </w:rPr>
        <w:t>其他卫生健康支出</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年度年初预算84.57万元，202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年度决算84.57万元，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rPr>
          <w:rFonts w:hint="eastAsia"/>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left="315" w:leftChars="150" w:firstLine="280" w:firstLineChars="100"/>
        <w:rPr>
          <w:rFonts w:hint="eastAsia" w:ascii="仿宋_GB2312" w:eastAsia="仿宋_GB2312"/>
          <w:sz w:val="28"/>
          <w:szCs w:val="28"/>
          <w:lang w:eastAsia="zh-CN"/>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年度使用一般公共预算财政拨款安排基本支出1943.45万元，使用政府性基金财政拨款安排基本支出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万元，（1）工资福利支出1917.3</w:t>
      </w:r>
      <w:r>
        <w:rPr>
          <w:rFonts w:hint="eastAsia" w:ascii="仿宋_GB2312" w:eastAsia="仿宋_GB2312"/>
          <w:sz w:val="28"/>
          <w:szCs w:val="28"/>
          <w:lang w:val="en-US" w:eastAsia="zh-CN"/>
        </w:rPr>
        <w:t>5万元</w:t>
      </w:r>
      <w:r>
        <w:rPr>
          <w:rFonts w:hint="eastAsia" w:ascii="仿宋_GB2312" w:eastAsia="仿宋_GB2312"/>
          <w:sz w:val="28"/>
          <w:szCs w:val="28"/>
        </w:rPr>
        <w:t>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w:t>
      </w:r>
      <w:r>
        <w:rPr>
          <w:rFonts w:hint="eastAsia" w:ascii="仿宋_GB2312" w:eastAsia="仿宋_GB2312"/>
          <w:sz w:val="28"/>
          <w:szCs w:val="28"/>
          <w:lang w:eastAsia="zh-CN"/>
        </w:rPr>
        <w:t>无</w:t>
      </w:r>
      <w:r>
        <w:rPr>
          <w:rFonts w:ascii="仿宋_GB2312" w:eastAsia="仿宋_GB2312"/>
          <w:sz w:val="28"/>
          <w:szCs w:val="28"/>
        </w:rPr>
        <w:t>支出</w:t>
      </w:r>
      <w:r>
        <w:rPr>
          <w:rFonts w:hint="eastAsia" w:ascii="仿宋_GB2312" w:eastAsia="仿宋_GB2312"/>
          <w:sz w:val="28"/>
          <w:szCs w:val="28"/>
        </w:rPr>
        <w:t>；（3）对个人和家庭补助支出26.1</w:t>
      </w:r>
      <w:r>
        <w:rPr>
          <w:rFonts w:hint="eastAsia" w:ascii="仿宋_GB2312" w:eastAsia="仿宋_GB2312"/>
          <w:sz w:val="28"/>
          <w:szCs w:val="28"/>
          <w:lang w:eastAsia="zh-CN"/>
        </w:rPr>
        <w:t>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本单位“三公”经费包括本单位所属1个事业单位。2024年“三公”经费财政拨款决算数0万元 </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 w:hAnsi="仿宋" w:eastAsia="仿宋" w:cs="仿宋"/>
          <w:sz w:val="28"/>
          <w:szCs w:val="28"/>
          <w:lang w:eastAsia="zh-CN"/>
        </w:rPr>
      </w:pPr>
      <w:r>
        <w:rPr>
          <w:rFonts w:hint="eastAsia" w:ascii="仿宋" w:hAnsi="仿宋" w:eastAsia="仿宋" w:cs="仿宋"/>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13.3万元，其中：政府采购货物支出0万元，政府采购工程支出0万元，政府采购服务支出13.3万元。授予中小企业合同金额13.3万元，占政府采购支出总额的100%，其中：授予小微企业合同金额13.3万元，占政府采购支出总额的100%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12月31日，北京市大兴区北臧村镇中心卫生院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Theme="minorEastAsia" w:hAnsiTheme="minorEastAsia" w:eastAsiaTheme="minorEastAsia"/>
          <w:sz w:val="28"/>
          <w:szCs w:val="28"/>
        </w:rPr>
        <w:t>7</w:t>
      </w:r>
      <w:r>
        <w:rPr>
          <w:rFonts w:hint="eastAsia" w:ascii="仿宋_GB2312" w:eastAsia="仿宋_GB2312"/>
          <w:sz w:val="28"/>
          <w:szCs w:val="28"/>
        </w:rPr>
        <w:t>项，金额13.3万元。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val="0"/>
          <w:bCs/>
          <w:color w:val="000000"/>
          <w:spacing w:val="-2"/>
          <w:sz w:val="32"/>
          <w:szCs w:val="32"/>
          <w:lang w:eastAsia="zh-CN"/>
        </w:rPr>
      </w:pPr>
      <w:r>
        <w:rPr>
          <w:rFonts w:hint="eastAsia" w:ascii="仿宋_GB2312" w:eastAsia="仿宋_GB2312"/>
          <w:b w:val="0"/>
          <w:bCs/>
          <w:color w:val="000000"/>
          <w:spacing w:val="-2"/>
          <w:sz w:val="32"/>
          <w:szCs w:val="32"/>
          <w:lang w:val="en-US" w:eastAsia="zh-CN"/>
        </w:rPr>
        <w:t>7.</w:t>
      </w:r>
      <w:r>
        <w:rPr>
          <w:rFonts w:hint="eastAsia" w:ascii="仿宋_GB2312" w:eastAsia="仿宋_GB2312"/>
          <w:b w:val="0"/>
          <w:bCs/>
          <w:color w:val="000000"/>
          <w:spacing w:val="-2"/>
          <w:sz w:val="32"/>
          <w:szCs w:val="32"/>
        </w:rPr>
        <w:t>各</w:t>
      </w:r>
      <w:r>
        <w:rPr>
          <w:rFonts w:hint="eastAsia" w:ascii="仿宋_GB2312" w:eastAsia="仿宋_GB2312"/>
          <w:b w:val="0"/>
          <w:bCs/>
          <w:color w:val="000000"/>
          <w:spacing w:val="-2"/>
          <w:sz w:val="32"/>
          <w:szCs w:val="32"/>
          <w:lang w:eastAsia="zh-CN"/>
        </w:rPr>
        <w:t>单位</w:t>
      </w:r>
      <w:r>
        <w:rPr>
          <w:rFonts w:hint="eastAsia" w:ascii="仿宋_GB2312" w:eastAsia="仿宋_GB2312"/>
          <w:b w:val="0"/>
          <w:bCs/>
          <w:color w:val="000000"/>
          <w:spacing w:val="-2"/>
          <w:sz w:val="32"/>
          <w:szCs w:val="32"/>
        </w:rPr>
        <w:t>需根据自身业务职能</w:t>
      </w:r>
      <w:r>
        <w:rPr>
          <w:rFonts w:hint="eastAsia" w:ascii="仿宋_GB2312" w:hAnsi="Times New Roman" w:eastAsia="仿宋_GB2312" w:cs="Times New Roman"/>
          <w:b w:val="0"/>
          <w:bCs/>
          <w:color w:val="000000"/>
          <w:spacing w:val="-2"/>
          <w:sz w:val="32"/>
          <w:szCs w:val="32"/>
        </w:rPr>
        <w:t>，</w:t>
      </w:r>
      <w:r>
        <w:rPr>
          <w:rFonts w:hint="eastAsia" w:ascii="仿宋_GB2312" w:hAnsi="Times New Roman" w:eastAsia="仿宋_GB2312" w:cs="Times New Roman"/>
          <w:b w:val="0"/>
          <w:bCs/>
          <w:color w:val="000000"/>
          <w:spacing w:val="-2"/>
          <w:sz w:val="32"/>
          <w:szCs w:val="32"/>
          <w:lang w:eastAsia="zh-CN"/>
        </w:rPr>
        <w:t>补充当年</w:t>
      </w:r>
      <w:r>
        <w:rPr>
          <w:rFonts w:hint="eastAsia" w:ascii="仿宋_GB2312" w:hAnsi="Times New Roman" w:eastAsia="仿宋_GB2312" w:cs="Times New Roman"/>
          <w:b w:val="0"/>
          <w:bCs/>
          <w:color w:val="000000"/>
          <w:spacing w:val="-2"/>
          <w:sz w:val="32"/>
          <w:szCs w:val="32"/>
          <w:lang w:val="en-US" w:eastAsia="zh-CN"/>
        </w:rPr>
        <w:t>使用的所有</w:t>
      </w:r>
      <w:r>
        <w:rPr>
          <w:rFonts w:hint="eastAsia" w:ascii="仿宋_GB2312" w:hAnsi="Times New Roman" w:eastAsia="仿宋_GB2312" w:cs="Times New Roman"/>
          <w:b w:val="0"/>
          <w:bCs/>
          <w:color w:val="000000"/>
          <w:spacing w:val="-2"/>
          <w:sz w:val="32"/>
          <w:szCs w:val="32"/>
          <w:lang w:eastAsia="zh-CN"/>
        </w:rPr>
        <w:t>支出功能分类项级科目名词解释，例如：</w:t>
      </w:r>
    </w:p>
    <w:p>
      <w:p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事业单位离退休</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机关事业单位基本养老保险缴费支出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机关事业单位职业年金缴费支出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b w:val="0"/>
          <w:bCs/>
          <w:sz w:val="28"/>
          <w:szCs w:val="28"/>
          <w:lang w:eastAsia="zh-CN"/>
        </w:rPr>
        <w:t>基层卫生医疗机构</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乡镇卫生院</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cs="Times New Roman"/>
          <w:b w:val="0"/>
          <w:bCs/>
          <w:color w:val="000000"/>
          <w:spacing w:val="-2"/>
          <w:sz w:val="28"/>
          <w:szCs w:val="28"/>
          <w:lang w:val="en-US" w:eastAsia="zh-CN"/>
        </w:rPr>
        <w:t>与项目支出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b w:val="0"/>
          <w:bCs/>
          <w:sz w:val="28"/>
          <w:szCs w:val="28"/>
          <w:lang w:eastAsia="zh-CN"/>
        </w:rPr>
        <w:t>基层卫生医疗机构</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其他基层医疗卫生机构支出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基本公共卫生服务</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重大公共卫生服务</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突发公共卫生事件应急处置</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（类）行政</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pStyle w:val="2"/>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（类）行政</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公务员医疗补助</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pStyle w:val="2"/>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（类）中医药事务（款）</w:t>
      </w:r>
      <w:r>
        <w:rPr>
          <w:rFonts w:hint="eastAsia" w:ascii="仿宋_GB2312" w:eastAsia="仿宋_GB2312" w:cs="Times New Roman"/>
          <w:b w:val="0"/>
          <w:bCs/>
          <w:color w:val="000000"/>
          <w:spacing w:val="-2"/>
          <w:sz w:val="32"/>
          <w:szCs w:val="32"/>
          <w:lang w:val="en-US" w:eastAsia="zh-CN"/>
        </w:rPr>
        <w:t>中医（民族医）药专项</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单位（包括实行公务员管理的事业单位）的项目支出</w:t>
      </w:r>
      <w:r>
        <w:rPr>
          <w:rFonts w:hint="eastAsia" w:ascii="仿宋_GB2312" w:eastAsia="仿宋_GB2312"/>
          <w:b w:val="0"/>
          <w:bCs/>
          <w:sz w:val="28"/>
          <w:szCs w:val="28"/>
          <w:lang w:val="en-US" w:eastAsia="zh-CN"/>
        </w:rPr>
        <w:t>。</w:t>
      </w:r>
    </w:p>
    <w:p>
      <w:pPr>
        <w:pStyle w:val="2"/>
        <w:rPr>
          <w:rFonts w:hint="eastAsia"/>
          <w:b w:val="0"/>
          <w:bCs/>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（类）其他卫生健康支出（款）</w:t>
      </w:r>
      <w:r>
        <w:rPr>
          <w:rFonts w:hint="eastAsia" w:ascii="仿宋_GB2312" w:eastAsia="仿宋_GB2312" w:cs="Times New Roman"/>
          <w:b w:val="0"/>
          <w:bCs/>
          <w:color w:val="000000"/>
          <w:spacing w:val="-2"/>
          <w:sz w:val="32"/>
          <w:szCs w:val="32"/>
          <w:lang w:val="en-US" w:eastAsia="zh-CN"/>
        </w:rPr>
        <w:t>其他卫生健康支出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单位（包括实行公务员管理的事业单位）的项目支出</w:t>
      </w:r>
      <w:r>
        <w:rPr>
          <w:rFonts w:hint="eastAsia" w:ascii="仿宋_GB2312" w:eastAsia="仿宋_GB2312"/>
          <w:b w:val="0"/>
          <w:bCs/>
          <w:sz w:val="28"/>
          <w:szCs w:val="28"/>
          <w:lang w:val="en-US" w:eastAsia="zh-CN"/>
        </w:rPr>
        <w:t>。</w:t>
      </w:r>
    </w:p>
    <w:p>
      <w:pPr>
        <w:rPr>
          <w:rFonts w:hint="eastAsia"/>
          <w:b w:val="0"/>
          <w:bCs/>
          <w:lang w:val="en-US" w:eastAsia="zh-CN"/>
        </w:rPr>
      </w:pPr>
    </w:p>
    <w:p>
      <w:pPr>
        <w:jc w:val="both"/>
        <w:rPr>
          <w:rFonts w:hint="eastAsia" w:ascii="黑体" w:eastAsia="黑体"/>
          <w:sz w:val="32"/>
          <w:szCs w:val="32"/>
        </w:rPr>
      </w:pPr>
      <w:bookmarkStart w:id="0" w:name="_GoBack"/>
      <w:bookmarkEnd w:id="0"/>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2D6D2F"/>
    <w:rsid w:val="079004AC"/>
    <w:rsid w:val="084A0FE7"/>
    <w:rsid w:val="0BA148CA"/>
    <w:rsid w:val="0C1165C4"/>
    <w:rsid w:val="0C7767A9"/>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333CC5"/>
    <w:rsid w:val="257A14F5"/>
    <w:rsid w:val="27196C26"/>
    <w:rsid w:val="29EF086F"/>
    <w:rsid w:val="2B547761"/>
    <w:rsid w:val="2BC34C59"/>
    <w:rsid w:val="2EFFE297"/>
    <w:rsid w:val="301437CA"/>
    <w:rsid w:val="31A217B0"/>
    <w:rsid w:val="349D1F0A"/>
    <w:rsid w:val="34DD0473"/>
    <w:rsid w:val="377C1878"/>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1857A2"/>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autoRedefine/>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3347.21</c:v>
                </c:pt>
                <c:pt idx="1">
                  <c:v>0</c:v>
                </c:pt>
                <c:pt idx="2">
                  <c:v>0</c:v>
                </c:pt>
                <c:pt idx="3">
                  <c:v>0</c:v>
                </c:pt>
                <c:pt idx="4">
                  <c:v>3192.8</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5519.52</c:v>
                </c:pt>
                <c:pt idx="1">
                  <c:v>1626.43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65</TotalTime>
  <ScaleCrop>false</ScaleCrop>
  <LinksUpToDate>false</LinksUpToDate>
  <CharactersWithSpaces>298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义薄云天</cp:lastModifiedBy>
  <cp:lastPrinted>2020-08-09T03:39:00Z</cp:lastPrinted>
  <dcterms:modified xsi:type="dcterms:W3CDTF">2025-09-25T01:29:12Z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