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7DCEBB2">
      <w:pPr>
        <w:keepNext w:val="0"/>
        <w:keepLines w:val="0"/>
        <w:pageBreakBefore w:val="0"/>
        <w:widowControl w:val="0"/>
        <w:kinsoku/>
        <w:overflowPunct/>
        <w:topLinePunct w:val="0"/>
        <w:autoSpaceDE/>
        <w:autoSpaceDN/>
        <w:bidi w:val="0"/>
        <w:adjustRightInd/>
        <w:spacing w:line="560" w:lineRule="exact"/>
        <w:ind w:left="0" w:leftChars="0" w:right="0" w:rightChars="0"/>
        <w:jc w:val="center"/>
        <w:textAlignment w:val="auto"/>
        <w:rPr>
          <w:rFonts w:hint="eastAsia" w:ascii="方正小标宋简体" w:hAnsi="方正小标宋简体" w:eastAsia="方正小标宋简体" w:cs="方正小标宋简体"/>
          <w:bCs/>
          <w:color w:val="auto"/>
          <w:sz w:val="44"/>
          <w:szCs w:val="44"/>
          <w:lang w:eastAsia="zh-CN"/>
        </w:rPr>
      </w:pPr>
      <w:r>
        <w:rPr>
          <w:rFonts w:hint="eastAsia" w:ascii="方正小标宋简体" w:hAnsi="方正小标宋简体" w:eastAsia="方正小标宋简体" w:cs="方正小标宋简体"/>
          <w:bCs/>
          <w:color w:val="auto"/>
          <w:sz w:val="44"/>
          <w:szCs w:val="44"/>
        </w:rPr>
        <w:t>北京市大兴区</w:t>
      </w:r>
      <w:r>
        <w:rPr>
          <w:rFonts w:hint="eastAsia" w:ascii="方正小标宋简体" w:hAnsi="方正小标宋简体" w:eastAsia="方正小标宋简体" w:cs="方正小标宋简体"/>
          <w:bCs/>
          <w:color w:val="auto"/>
          <w:sz w:val="44"/>
          <w:szCs w:val="44"/>
          <w:lang w:eastAsia="zh-CN"/>
        </w:rPr>
        <w:t>采育镇</w:t>
      </w:r>
    </w:p>
    <w:p w14:paraId="3A1CDB97">
      <w:pPr>
        <w:keepNext w:val="0"/>
        <w:keepLines w:val="0"/>
        <w:pageBreakBefore w:val="0"/>
        <w:widowControl w:val="0"/>
        <w:kinsoku/>
        <w:overflowPunct/>
        <w:topLinePunct w:val="0"/>
        <w:autoSpaceDE/>
        <w:autoSpaceDN/>
        <w:bidi w:val="0"/>
        <w:adjustRightInd/>
        <w:spacing w:line="560" w:lineRule="exact"/>
        <w:ind w:left="0" w:leftChars="0" w:right="0" w:rightChars="0"/>
        <w:jc w:val="center"/>
        <w:textAlignment w:val="auto"/>
        <w:rPr>
          <w:rFonts w:hint="eastAsia" w:ascii="方正小标宋简体" w:hAnsi="方正小标宋简体" w:eastAsia="方正小标宋简体" w:cs="方正小标宋简体"/>
          <w:b w:val="0"/>
          <w:bCs w:val="0"/>
          <w:color w:val="auto"/>
          <w:sz w:val="44"/>
          <w:szCs w:val="44"/>
          <w:highlight w:val="none"/>
        </w:rPr>
      </w:pPr>
      <w:r>
        <w:rPr>
          <w:rFonts w:hint="eastAsia" w:ascii="方正小标宋简体" w:hAnsi="方正小标宋简体" w:eastAsia="方正小标宋简体" w:cs="方正小标宋简体"/>
          <w:bCs/>
          <w:color w:val="auto"/>
          <w:sz w:val="44"/>
          <w:szCs w:val="44"/>
        </w:rPr>
        <w:t>202</w:t>
      </w:r>
      <w:r>
        <w:rPr>
          <w:rFonts w:hint="eastAsia" w:ascii="方正小标宋简体" w:hAnsi="方正小标宋简体" w:eastAsia="方正小标宋简体" w:cs="方正小标宋简体"/>
          <w:bCs/>
          <w:color w:val="auto"/>
          <w:sz w:val="44"/>
          <w:szCs w:val="44"/>
          <w:lang w:val="en-US" w:eastAsia="zh-CN"/>
        </w:rPr>
        <w:t>4</w:t>
      </w:r>
      <w:r>
        <w:rPr>
          <w:rFonts w:hint="eastAsia" w:ascii="方正小标宋简体" w:hAnsi="方正小标宋简体" w:eastAsia="方正小标宋简体" w:cs="方正小标宋简体"/>
          <w:bCs/>
          <w:color w:val="auto"/>
          <w:sz w:val="44"/>
          <w:szCs w:val="44"/>
        </w:rPr>
        <w:t>年</w:t>
      </w:r>
      <w:r>
        <w:rPr>
          <w:rFonts w:hint="eastAsia" w:ascii="方正小标宋简体" w:hAnsi="方正小标宋简体" w:eastAsia="方正小标宋简体" w:cs="方正小标宋简体"/>
          <w:bCs/>
          <w:color w:val="auto"/>
          <w:sz w:val="44"/>
          <w:szCs w:val="44"/>
          <w:lang w:eastAsia="zh-CN"/>
        </w:rPr>
        <w:t>镇级</w:t>
      </w:r>
      <w:r>
        <w:rPr>
          <w:rFonts w:hint="eastAsia" w:ascii="方正小标宋简体" w:hAnsi="方正小标宋简体" w:eastAsia="方正小标宋简体" w:cs="方正小标宋简体"/>
          <w:bCs/>
          <w:color w:val="auto"/>
          <w:sz w:val="44"/>
          <w:szCs w:val="44"/>
          <w:lang w:val="en-US" w:eastAsia="zh-CN"/>
        </w:rPr>
        <w:t>决算草案、2025年预算调整草案和</w:t>
      </w:r>
      <w:r>
        <w:rPr>
          <w:rFonts w:hint="eastAsia" w:ascii="方正小标宋简体" w:hAnsi="方正小标宋简体" w:eastAsia="方正小标宋简体" w:cs="方正小标宋简体"/>
          <w:bCs/>
          <w:color w:val="auto"/>
          <w:sz w:val="44"/>
          <w:szCs w:val="44"/>
        </w:rPr>
        <w:t>202</w:t>
      </w:r>
      <w:r>
        <w:rPr>
          <w:rFonts w:hint="eastAsia" w:ascii="方正小标宋简体" w:hAnsi="方正小标宋简体" w:eastAsia="方正小标宋简体" w:cs="方正小标宋简体"/>
          <w:bCs/>
          <w:color w:val="auto"/>
          <w:sz w:val="44"/>
          <w:szCs w:val="44"/>
          <w:lang w:val="en-US" w:eastAsia="zh-CN"/>
        </w:rPr>
        <w:t>5</w:t>
      </w:r>
      <w:r>
        <w:rPr>
          <w:rFonts w:hint="eastAsia" w:ascii="方正小标宋简体" w:hAnsi="方正小标宋简体" w:eastAsia="方正小标宋简体" w:cs="方正小标宋简体"/>
          <w:bCs/>
          <w:color w:val="auto"/>
          <w:sz w:val="44"/>
          <w:szCs w:val="44"/>
        </w:rPr>
        <w:t>年上半年预算执行情况</w:t>
      </w:r>
      <w:r>
        <w:rPr>
          <w:rFonts w:hint="eastAsia" w:ascii="方正小标宋简体" w:hAnsi="方正小标宋简体" w:eastAsia="方正小标宋简体" w:cs="方正小标宋简体"/>
          <w:bCs/>
          <w:color w:val="auto"/>
          <w:sz w:val="44"/>
          <w:szCs w:val="44"/>
          <w:lang w:val="en-US" w:eastAsia="zh-CN"/>
        </w:rPr>
        <w:t>的</w:t>
      </w:r>
      <w:r>
        <w:rPr>
          <w:rFonts w:hint="eastAsia" w:ascii="方正小标宋简体" w:hAnsi="方正小标宋简体" w:eastAsia="方正小标宋简体" w:cs="方正小标宋简体"/>
          <w:bCs/>
          <w:color w:val="auto"/>
          <w:sz w:val="44"/>
          <w:szCs w:val="44"/>
        </w:rPr>
        <w:t>报告</w:t>
      </w:r>
    </w:p>
    <w:p w14:paraId="7AE58003">
      <w:pPr>
        <w:pStyle w:val="11"/>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bidi w:val="0"/>
        <w:adjustRightInd/>
        <w:snapToGrid/>
        <w:spacing w:before="0" w:beforeAutospacing="0" w:after="0" w:afterAutospacing="0" w:line="560" w:lineRule="exact"/>
        <w:ind w:left="0" w:leftChars="0" w:right="0" w:rightChars="0" w:firstLine="0"/>
        <w:jc w:val="both"/>
        <w:textAlignment w:val="auto"/>
        <w:rPr>
          <w:rFonts w:hint="eastAsia" w:ascii="仿宋_GB2312" w:hAnsi="仿宋_GB2312" w:eastAsia="仿宋_GB2312" w:cs="仿宋_GB2312"/>
          <w:i w:val="0"/>
          <w:iCs w:val="0"/>
          <w:caps w:val="0"/>
          <w:color w:val="000000"/>
          <w:spacing w:val="0"/>
          <w:sz w:val="32"/>
          <w:szCs w:val="32"/>
          <w:highlight w:val="none"/>
          <w:shd w:val="clear" w:color="auto" w:fill="FFFFFF"/>
        </w:rPr>
      </w:pPr>
    </w:p>
    <w:p w14:paraId="5F1E5966">
      <w:pPr>
        <w:pStyle w:val="11"/>
        <w:keepNext w:val="0"/>
        <w:keepLines w:val="0"/>
        <w:pageBreakBefore w:val="0"/>
        <w:widowControl w:val="0"/>
        <w:pBdr>
          <w:top w:val="none" w:color="auto" w:sz="0" w:space="0"/>
          <w:left w:val="none" w:color="auto" w:sz="0" w:space="0"/>
          <w:bottom w:val="none" w:color="auto" w:sz="0" w:space="0"/>
          <w:right w:val="none" w:color="auto" w:sz="0" w:space="0"/>
        </w:pBdr>
        <w:shd w:val="clear" w:color="070000" w:fill="FFFFFF"/>
        <w:kinsoku/>
        <w:wordWrap/>
        <w:overflowPunct/>
        <w:topLinePunct w:val="0"/>
        <w:autoSpaceDE/>
        <w:autoSpaceDN/>
        <w:bidi w:val="0"/>
        <w:adjustRightInd/>
        <w:snapToGrid/>
        <w:spacing w:before="0" w:beforeAutospacing="0" w:after="0" w:afterAutospacing="0" w:line="560" w:lineRule="exact"/>
        <w:ind w:left="0" w:leftChars="0" w:right="0" w:rightChars="0" w:firstLine="640" w:firstLineChars="200"/>
        <w:jc w:val="both"/>
        <w:textAlignment w:val="auto"/>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各位代表：</w:t>
      </w:r>
    </w:p>
    <w:p w14:paraId="4E797E55">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受采育镇人民政府委托，产业发展服务中心（财政）向大会提交2024年镇级决算草案、2025年预算调整草案和2025年上半年预算执行情况的报告，请各位代表审议。</w:t>
      </w:r>
    </w:p>
    <w:p w14:paraId="44F47533">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rPr>
          <w:rFonts w:hint="default"/>
          <w:sz w:val="32"/>
          <w:szCs w:val="32"/>
          <w:highlight w:val="none"/>
          <w:lang w:val="en-US" w:eastAsia="zh-CN"/>
        </w:rPr>
      </w:pPr>
      <w:r>
        <w:rPr>
          <w:rFonts w:hint="eastAsia" w:ascii="仿宋_GB2312" w:hAnsi="仿宋_GB2312" w:eastAsia="仿宋_GB2312" w:cs="仿宋_GB2312"/>
          <w:sz w:val="32"/>
          <w:szCs w:val="32"/>
          <w:highlight w:val="none"/>
          <w:lang w:val="en-US" w:eastAsia="zh-CN"/>
        </w:rPr>
        <w:t>2024年在镇党委、政府的领导下、在镇人大和群众的监督支持下，镇财政坚持以习近平新时代中国特色社会主义思想为指导，全面贯彻党的二十大及历次全会精神，深入落实中央经济工作会议和全国财政工作会议部署要求，紧紧围绕镇党委、政府的中心工作和高质量发展首要任务，完整、准确、全面贯彻新发展理念，服务构建新发展格局，积极发挥财政职能作用，全力落实加力提效的积极财政政策，着力在“稳增长、促改革、调结构、惠民生、防风险”上下功夫，克服经济下行压力和收支平衡严峻挑战，确保了财政运行总体平稳、可持续，为镇域经济社会高质量发展提供了坚实的财力保障。</w:t>
      </w:r>
    </w:p>
    <w:p w14:paraId="151646D8">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outlineLvl w:val="0"/>
        <w:rPr>
          <w:rFonts w:hint="eastAsia" w:ascii="黑体" w:hAnsi="黑体" w:eastAsia="黑体" w:cs="黑体"/>
          <w:b w:val="0"/>
          <w:bCs/>
          <w:spacing w:val="0"/>
          <w:sz w:val="32"/>
          <w:szCs w:val="32"/>
          <w:highlight w:val="none"/>
        </w:rPr>
      </w:pPr>
      <w:r>
        <w:rPr>
          <w:rFonts w:hint="eastAsia" w:ascii="黑体" w:hAnsi="黑体" w:eastAsia="黑体" w:cs="黑体"/>
          <w:b w:val="0"/>
          <w:bCs/>
          <w:spacing w:val="0"/>
          <w:sz w:val="32"/>
          <w:szCs w:val="32"/>
          <w:highlight w:val="none"/>
        </w:rPr>
        <w:t>一、20</w:t>
      </w:r>
      <w:r>
        <w:rPr>
          <w:rFonts w:hint="eastAsia" w:ascii="黑体" w:hAnsi="黑体" w:eastAsia="黑体" w:cs="黑体"/>
          <w:b w:val="0"/>
          <w:bCs/>
          <w:spacing w:val="0"/>
          <w:sz w:val="32"/>
          <w:szCs w:val="32"/>
          <w:highlight w:val="none"/>
          <w:lang w:val="en-US" w:eastAsia="zh-CN"/>
        </w:rPr>
        <w:t>24</w:t>
      </w:r>
      <w:r>
        <w:rPr>
          <w:rFonts w:hint="eastAsia" w:ascii="黑体" w:hAnsi="黑体" w:eastAsia="黑体" w:cs="黑体"/>
          <w:b w:val="0"/>
          <w:bCs/>
          <w:spacing w:val="0"/>
          <w:sz w:val="32"/>
          <w:szCs w:val="32"/>
          <w:highlight w:val="none"/>
        </w:rPr>
        <w:t>年</w:t>
      </w:r>
      <w:r>
        <w:rPr>
          <w:rFonts w:hint="eastAsia" w:ascii="黑体" w:hAnsi="黑体" w:eastAsia="黑体" w:cs="黑体"/>
          <w:b w:val="0"/>
          <w:bCs/>
          <w:spacing w:val="0"/>
          <w:sz w:val="32"/>
          <w:szCs w:val="32"/>
          <w:highlight w:val="none"/>
          <w:lang w:val="en-US" w:eastAsia="zh-CN"/>
        </w:rPr>
        <w:t>镇级</w:t>
      </w:r>
      <w:r>
        <w:rPr>
          <w:rFonts w:hint="eastAsia" w:ascii="黑体" w:hAnsi="黑体" w:eastAsia="黑体" w:cs="黑体"/>
          <w:b w:val="0"/>
          <w:bCs/>
          <w:spacing w:val="0"/>
          <w:sz w:val="32"/>
          <w:szCs w:val="32"/>
          <w:highlight w:val="none"/>
        </w:rPr>
        <w:t>财政</w:t>
      </w:r>
      <w:r>
        <w:rPr>
          <w:rFonts w:hint="eastAsia" w:ascii="黑体" w:hAnsi="黑体" w:eastAsia="黑体" w:cs="黑体"/>
          <w:b w:val="0"/>
          <w:bCs/>
          <w:spacing w:val="0"/>
          <w:sz w:val="32"/>
          <w:szCs w:val="32"/>
          <w:highlight w:val="none"/>
          <w:lang w:eastAsia="zh-CN"/>
        </w:rPr>
        <w:t>决算</w:t>
      </w:r>
      <w:r>
        <w:rPr>
          <w:rFonts w:hint="eastAsia" w:ascii="黑体" w:hAnsi="黑体" w:eastAsia="黑体" w:cs="黑体"/>
          <w:b w:val="0"/>
          <w:bCs/>
          <w:spacing w:val="0"/>
          <w:sz w:val="32"/>
          <w:szCs w:val="32"/>
          <w:highlight w:val="none"/>
        </w:rPr>
        <w:t>情况</w:t>
      </w:r>
    </w:p>
    <w:p w14:paraId="2A3B3C49">
      <w:pPr>
        <w:pStyle w:val="4"/>
        <w:keepNext w:val="0"/>
        <w:keepLines w:val="0"/>
        <w:pageBreakBefore w:val="0"/>
        <w:widowControl w:val="0"/>
        <w:numPr>
          <w:ilvl w:val="0"/>
          <w:numId w:val="0"/>
        </w:numPr>
        <w:kinsoku/>
        <w:overflowPunct/>
        <w:topLinePunct w:val="0"/>
        <w:autoSpaceDE/>
        <w:autoSpaceDN/>
        <w:bidi w:val="0"/>
        <w:adjustRightInd/>
        <w:spacing w:line="560" w:lineRule="exact"/>
        <w:ind w:left="0" w:leftChars="0" w:right="0" w:rightChars="0" w:firstLine="640" w:firstLineChars="200"/>
        <w:textAlignment w:val="auto"/>
        <w:outlineLvl w:val="1"/>
        <w:rPr>
          <w:rFonts w:hint="eastAsia" w:ascii="楷体_GB2312" w:hAnsi="楷体_GB2312" w:eastAsia="楷体_GB2312" w:cs="楷体_GB2312"/>
          <w:b/>
          <w:bCs/>
          <w:kern w:val="2"/>
          <w:sz w:val="32"/>
          <w:szCs w:val="32"/>
          <w:lang w:val="en-US" w:eastAsia="zh-CN" w:bidi="ar-SA"/>
        </w:rPr>
      </w:pPr>
      <w:r>
        <w:rPr>
          <w:rFonts w:hint="eastAsia" w:ascii="楷体_GB2312" w:hAnsi="楷体_GB2312" w:eastAsia="楷体_GB2312" w:cs="楷体_GB2312"/>
          <w:b w:val="0"/>
          <w:bCs w:val="0"/>
          <w:kern w:val="2"/>
          <w:sz w:val="32"/>
          <w:szCs w:val="32"/>
          <w:lang w:val="en-US" w:eastAsia="zh-CN" w:bidi="ar-SA"/>
        </w:rPr>
        <w:t>（一）镇级一般公共预算收支决算情况</w:t>
      </w:r>
    </w:p>
    <w:p w14:paraId="46CE0EDE">
      <w:pPr>
        <w:keepNext w:val="0"/>
        <w:keepLines w:val="0"/>
        <w:pageBreakBefore w:val="0"/>
        <w:widowControl w:val="0"/>
        <w:kinsoku/>
        <w:overflowPunct/>
        <w:topLinePunct w:val="0"/>
        <w:autoSpaceDE/>
        <w:autoSpaceDN/>
        <w:bidi w:val="0"/>
        <w:adjustRightInd/>
        <w:spacing w:line="560" w:lineRule="exact"/>
        <w:ind w:left="0" w:leftChars="0" w:right="0" w:rightChars="0" w:firstLine="640" w:firstLineChars="200"/>
        <w:textAlignment w:val="auto"/>
        <w:rPr>
          <w:rFonts w:hint="eastAsia" w:ascii="仿宋_GB2312" w:hAnsi="宋体" w:eastAsia="仿宋_GB2312"/>
          <w:sz w:val="32"/>
          <w:szCs w:val="32"/>
        </w:rPr>
      </w:pPr>
      <w:r>
        <w:rPr>
          <w:rFonts w:hint="eastAsia" w:ascii="仿宋_GB2312" w:hAnsi="宋体" w:eastAsia="仿宋_GB2312"/>
          <w:sz w:val="32"/>
          <w:szCs w:val="32"/>
        </w:rPr>
        <w:t>202</w:t>
      </w:r>
      <w:r>
        <w:rPr>
          <w:rFonts w:hint="eastAsia" w:ascii="仿宋_GB2312" w:hAnsi="宋体" w:eastAsia="仿宋_GB2312"/>
          <w:sz w:val="32"/>
          <w:szCs w:val="32"/>
          <w:lang w:val="en-US" w:eastAsia="zh-CN"/>
        </w:rPr>
        <w:t>4</w:t>
      </w:r>
      <w:r>
        <w:rPr>
          <w:rFonts w:hint="eastAsia" w:ascii="仿宋_GB2312" w:hAnsi="宋体" w:eastAsia="仿宋_GB2312"/>
          <w:sz w:val="32"/>
          <w:szCs w:val="32"/>
        </w:rPr>
        <w:t>年</w:t>
      </w:r>
      <w:r>
        <w:rPr>
          <w:rFonts w:hint="eastAsia" w:ascii="仿宋_GB2312" w:hAnsi="宋体" w:eastAsia="仿宋_GB2312"/>
          <w:sz w:val="32"/>
          <w:szCs w:val="32"/>
          <w:lang w:val="en-US" w:eastAsia="zh-CN"/>
        </w:rPr>
        <w:t>镇级</w:t>
      </w:r>
      <w:r>
        <w:rPr>
          <w:rFonts w:hint="eastAsia" w:ascii="仿宋_GB2312" w:hAnsi="宋体" w:eastAsia="仿宋_GB2312"/>
          <w:sz w:val="32"/>
          <w:szCs w:val="32"/>
        </w:rPr>
        <w:t>一般公共预算</w:t>
      </w:r>
      <w:r>
        <w:rPr>
          <w:rFonts w:hint="eastAsia" w:ascii="仿宋_GB2312" w:hAnsi="宋体" w:eastAsia="仿宋_GB2312"/>
          <w:sz w:val="32"/>
          <w:szCs w:val="32"/>
          <w:lang w:val="en-US" w:eastAsia="zh-CN"/>
        </w:rPr>
        <w:t>总</w:t>
      </w:r>
      <w:r>
        <w:rPr>
          <w:rFonts w:hint="eastAsia" w:ascii="仿宋_GB2312" w:hAnsi="宋体" w:eastAsia="仿宋_GB2312"/>
          <w:sz w:val="32"/>
          <w:szCs w:val="32"/>
        </w:rPr>
        <w:t>收入</w:t>
      </w:r>
      <w:r>
        <w:rPr>
          <w:rFonts w:hint="eastAsia" w:ascii="仿宋_GB2312" w:hAnsi="宋体" w:eastAsia="仿宋_GB2312"/>
          <w:sz w:val="32"/>
          <w:szCs w:val="32"/>
          <w:lang w:val="en-US" w:eastAsia="zh-CN"/>
        </w:rPr>
        <w:t>62158.43</w:t>
      </w:r>
      <w:r>
        <w:rPr>
          <w:rFonts w:hint="eastAsia" w:ascii="仿宋_GB2312" w:hAnsi="宋体" w:eastAsia="仿宋_GB2312"/>
          <w:sz w:val="32"/>
          <w:szCs w:val="32"/>
        </w:rPr>
        <w:t>万元</w:t>
      </w:r>
      <w:r>
        <w:rPr>
          <w:rFonts w:hint="eastAsia" w:ascii="仿宋_GB2312" w:hAnsi="宋体" w:eastAsia="仿宋_GB2312"/>
          <w:sz w:val="32"/>
          <w:szCs w:val="32"/>
          <w:lang w:eastAsia="zh-CN"/>
        </w:rPr>
        <w:t>。</w:t>
      </w:r>
      <w:r>
        <w:rPr>
          <w:rFonts w:hint="eastAsia" w:ascii="仿宋_GB2312" w:hAnsi="仿宋_GB2312" w:eastAsia="仿宋_GB2312" w:cs="仿宋_GB2312"/>
          <w:sz w:val="32"/>
          <w:szCs w:val="32"/>
          <w:highlight w:val="none"/>
          <w:lang w:eastAsia="zh-CN"/>
        </w:rPr>
        <w:t>完成调整</w:t>
      </w:r>
      <w:r>
        <w:rPr>
          <w:rFonts w:hint="eastAsia" w:ascii="仿宋_GB2312" w:hAnsi="仿宋_GB2312" w:eastAsia="仿宋_GB2312" w:cs="仿宋_GB2312"/>
          <w:sz w:val="32"/>
          <w:szCs w:val="32"/>
          <w:highlight w:val="none"/>
          <w:lang w:val="en-US" w:eastAsia="zh-CN"/>
        </w:rPr>
        <w:t>预算</w:t>
      </w:r>
      <w:r>
        <w:rPr>
          <w:rFonts w:hint="eastAsia" w:ascii="仿宋_GB2312" w:hAnsi="仿宋_GB2312" w:eastAsia="仿宋_GB2312" w:cs="仿宋_GB2312"/>
          <w:sz w:val="32"/>
          <w:szCs w:val="32"/>
          <w:highlight w:val="none"/>
          <w:lang w:eastAsia="zh-CN"/>
        </w:rPr>
        <w:t>的</w:t>
      </w:r>
      <w:r>
        <w:rPr>
          <w:rFonts w:hint="eastAsia" w:ascii="仿宋_GB2312" w:hAnsi="宋体" w:eastAsia="仿宋_GB2312"/>
          <w:sz w:val="32"/>
          <w:szCs w:val="32"/>
          <w:highlight w:val="none"/>
          <w:lang w:val="en-US" w:eastAsia="zh-CN"/>
        </w:rPr>
        <w:t>96.80%</w:t>
      </w:r>
      <w:r>
        <w:rPr>
          <w:rFonts w:hint="eastAsia" w:ascii="仿宋_GB2312" w:hAnsi="宋体" w:eastAsia="仿宋_GB2312"/>
          <w:sz w:val="32"/>
          <w:szCs w:val="32"/>
          <w:lang w:val="en-US" w:eastAsia="zh-CN"/>
        </w:rPr>
        <w:t>。其中，财政</w:t>
      </w:r>
      <w:r>
        <w:rPr>
          <w:rFonts w:hint="eastAsia" w:ascii="仿宋_GB2312" w:hAnsi="宋体" w:eastAsia="仿宋_GB2312"/>
          <w:sz w:val="32"/>
          <w:szCs w:val="32"/>
        </w:rPr>
        <w:t>返还性收入</w:t>
      </w:r>
      <w:r>
        <w:rPr>
          <w:rFonts w:hint="eastAsia" w:ascii="仿宋_GB2312" w:hAnsi="宋体" w:eastAsia="仿宋_GB2312"/>
          <w:sz w:val="32"/>
          <w:szCs w:val="32"/>
          <w:lang w:val="en-US" w:eastAsia="zh-CN"/>
        </w:rPr>
        <w:t>4436.67</w:t>
      </w:r>
      <w:r>
        <w:rPr>
          <w:rFonts w:hint="eastAsia" w:ascii="仿宋_GB2312" w:hAnsi="宋体" w:eastAsia="仿宋_GB2312"/>
          <w:sz w:val="32"/>
          <w:szCs w:val="32"/>
        </w:rPr>
        <w:t>万元，</w:t>
      </w:r>
      <w:r>
        <w:rPr>
          <w:rFonts w:hint="eastAsia" w:ascii="仿宋_GB2312" w:hAnsi="宋体" w:eastAsia="仿宋_GB2312"/>
          <w:sz w:val="32"/>
          <w:szCs w:val="32"/>
          <w:lang w:val="en-US" w:eastAsia="zh-CN"/>
        </w:rPr>
        <w:t>体制补助6822万元，</w:t>
      </w:r>
      <w:r>
        <w:rPr>
          <w:rFonts w:hint="eastAsia" w:ascii="仿宋_GB2312" w:hAnsi="宋体" w:eastAsia="仿宋_GB2312"/>
          <w:sz w:val="32"/>
          <w:szCs w:val="32"/>
        </w:rPr>
        <w:t>一般性转移支付</w:t>
      </w:r>
      <w:r>
        <w:rPr>
          <w:rFonts w:hint="eastAsia" w:ascii="仿宋_GB2312" w:hAnsi="宋体" w:eastAsia="仿宋_GB2312"/>
          <w:sz w:val="32"/>
          <w:szCs w:val="32"/>
          <w:lang w:val="en-US" w:eastAsia="zh-CN"/>
        </w:rPr>
        <w:t>27128.98</w:t>
      </w:r>
      <w:r>
        <w:rPr>
          <w:rFonts w:hint="eastAsia" w:ascii="仿宋_GB2312" w:hAnsi="宋体" w:eastAsia="仿宋_GB2312"/>
          <w:sz w:val="32"/>
          <w:szCs w:val="32"/>
        </w:rPr>
        <w:t>万元，专项转移支付</w:t>
      </w:r>
      <w:r>
        <w:rPr>
          <w:rFonts w:hint="eastAsia" w:ascii="仿宋_GB2312" w:hAnsi="宋体" w:eastAsia="仿宋_GB2312"/>
          <w:sz w:val="32"/>
          <w:szCs w:val="32"/>
          <w:lang w:val="en-US" w:eastAsia="zh-CN"/>
        </w:rPr>
        <w:t>21457.82</w:t>
      </w:r>
      <w:r>
        <w:rPr>
          <w:rFonts w:hint="eastAsia" w:ascii="仿宋_GB2312" w:hAnsi="宋体" w:eastAsia="仿宋_GB2312"/>
          <w:sz w:val="32"/>
          <w:szCs w:val="32"/>
        </w:rPr>
        <w:t>万元，上年结转收入</w:t>
      </w:r>
      <w:r>
        <w:rPr>
          <w:rFonts w:hint="eastAsia" w:ascii="仿宋_GB2312" w:hAnsi="宋体" w:eastAsia="仿宋_GB2312"/>
          <w:sz w:val="32"/>
          <w:szCs w:val="32"/>
          <w:lang w:val="en-US" w:eastAsia="zh-CN"/>
        </w:rPr>
        <w:t>2312.96</w:t>
      </w:r>
      <w:r>
        <w:rPr>
          <w:rFonts w:hint="eastAsia" w:ascii="仿宋_GB2312" w:hAnsi="宋体" w:eastAsia="仿宋_GB2312"/>
          <w:sz w:val="32"/>
          <w:szCs w:val="32"/>
        </w:rPr>
        <w:t>万元。</w:t>
      </w:r>
    </w:p>
    <w:p w14:paraId="23A56043">
      <w:pPr>
        <w:pStyle w:val="4"/>
        <w:keepNext w:val="0"/>
        <w:keepLines w:val="0"/>
        <w:pageBreakBefore w:val="0"/>
        <w:widowControl w:val="0"/>
        <w:kinsoku/>
        <w:overflowPunct/>
        <w:topLinePunct w:val="0"/>
        <w:autoSpaceDE/>
        <w:autoSpaceDN/>
        <w:bidi w:val="0"/>
        <w:adjustRightInd/>
        <w:spacing w:line="560" w:lineRule="exact"/>
        <w:ind w:left="0" w:leftChars="0" w:right="0" w:rightChars="0" w:firstLine="640" w:firstLineChars="200"/>
        <w:textAlignment w:val="auto"/>
        <w:rPr>
          <w:rFonts w:hint="eastAsia" w:ascii="仿宋_GB2312" w:cs="黑体"/>
          <w:kern w:val="2"/>
          <w:sz w:val="32"/>
          <w:szCs w:val="32"/>
          <w:lang w:val="en-US" w:eastAsia="zh-CN" w:bidi="ar-SA"/>
        </w:rPr>
      </w:pPr>
      <w:r>
        <w:rPr>
          <w:rFonts w:hint="eastAsia" w:ascii="仿宋_GB2312" w:hAnsi="宋体"/>
          <w:sz w:val="32"/>
          <w:szCs w:val="32"/>
          <w:lang w:val="en-US" w:eastAsia="zh-CN"/>
        </w:rPr>
        <w:t>2024年镇级</w:t>
      </w:r>
      <w:r>
        <w:rPr>
          <w:rFonts w:hint="eastAsia" w:ascii="仿宋_GB2312" w:hAnsi="宋体" w:eastAsia="仿宋_GB2312" w:cs="黑体"/>
          <w:kern w:val="2"/>
          <w:sz w:val="32"/>
          <w:szCs w:val="32"/>
          <w:lang w:val="en-US" w:eastAsia="zh-CN" w:bidi="ar-SA"/>
        </w:rPr>
        <w:t>一般公共预算</w:t>
      </w:r>
      <w:r>
        <w:rPr>
          <w:rFonts w:hint="eastAsia" w:ascii="仿宋_GB2312" w:hAnsi="宋体" w:cs="黑体"/>
          <w:kern w:val="2"/>
          <w:sz w:val="32"/>
          <w:szCs w:val="32"/>
          <w:lang w:val="en-US" w:eastAsia="zh-CN" w:bidi="ar-SA"/>
        </w:rPr>
        <w:t>总</w:t>
      </w:r>
      <w:r>
        <w:rPr>
          <w:rFonts w:hint="eastAsia" w:ascii="仿宋_GB2312" w:hAnsi="宋体" w:eastAsia="仿宋_GB2312" w:cs="黑体"/>
          <w:kern w:val="2"/>
          <w:sz w:val="32"/>
          <w:szCs w:val="32"/>
          <w:lang w:val="en-US" w:eastAsia="zh-CN" w:bidi="ar-SA"/>
        </w:rPr>
        <w:t>支出</w:t>
      </w:r>
      <w:r>
        <w:rPr>
          <w:rFonts w:hint="eastAsia" w:ascii="仿宋_GB2312" w:hAnsi="宋体" w:cs="黑体"/>
          <w:kern w:val="2"/>
          <w:sz w:val="32"/>
          <w:szCs w:val="32"/>
          <w:lang w:val="en-US" w:eastAsia="zh-CN" w:bidi="ar-SA"/>
        </w:rPr>
        <w:t>60084.05万元。其中：</w:t>
      </w:r>
      <w:r>
        <w:rPr>
          <w:rFonts w:hint="eastAsia" w:ascii="仿宋_GB2312" w:hAnsi="宋体" w:eastAsia="仿宋_GB2312" w:cs="黑体"/>
          <w:kern w:val="2"/>
          <w:sz w:val="32"/>
          <w:szCs w:val="32"/>
          <w:lang w:val="en-US" w:eastAsia="zh-CN" w:bidi="ar-SA"/>
        </w:rPr>
        <w:t>一般公共预算</w:t>
      </w:r>
      <w:r>
        <w:rPr>
          <w:rFonts w:hint="eastAsia" w:ascii="仿宋_GB2312" w:hAnsi="宋体" w:cs="黑体"/>
          <w:kern w:val="2"/>
          <w:sz w:val="32"/>
          <w:szCs w:val="32"/>
          <w:lang w:val="en-US" w:eastAsia="zh-CN" w:bidi="ar-SA"/>
        </w:rPr>
        <w:t>支出55966.33</w:t>
      </w:r>
      <w:r>
        <w:rPr>
          <w:rFonts w:hint="eastAsia" w:ascii="仿宋_GB2312" w:hAnsi="宋体" w:eastAsia="仿宋_GB2312" w:cs="黑体"/>
          <w:kern w:val="2"/>
          <w:sz w:val="32"/>
          <w:szCs w:val="32"/>
          <w:lang w:val="en-US" w:eastAsia="zh-CN" w:bidi="ar-SA"/>
        </w:rPr>
        <w:t>万元，</w:t>
      </w:r>
      <w:r>
        <w:rPr>
          <w:rFonts w:hint="eastAsia" w:ascii="仿宋_GB2312" w:eastAsia="仿宋_GB2312" w:cs="黑体"/>
          <w:kern w:val="2"/>
          <w:sz w:val="32"/>
          <w:szCs w:val="32"/>
          <w:lang w:val="en-US" w:eastAsia="zh-CN" w:bidi="ar-SA"/>
        </w:rPr>
        <w:t>上解支出</w:t>
      </w:r>
      <w:r>
        <w:rPr>
          <w:rFonts w:hint="eastAsia" w:ascii="仿宋_GB2312" w:cs="黑体"/>
          <w:kern w:val="2"/>
          <w:sz w:val="32"/>
          <w:szCs w:val="32"/>
          <w:lang w:val="en-US" w:eastAsia="zh-CN" w:bidi="ar-SA"/>
        </w:rPr>
        <w:t>4117.72</w:t>
      </w:r>
      <w:r>
        <w:rPr>
          <w:rFonts w:hint="eastAsia" w:ascii="仿宋_GB2312" w:eastAsia="仿宋_GB2312" w:cs="黑体"/>
          <w:kern w:val="2"/>
          <w:sz w:val="32"/>
          <w:szCs w:val="32"/>
          <w:lang w:val="en-US" w:eastAsia="zh-CN" w:bidi="ar-SA"/>
        </w:rPr>
        <w:t>万元</w:t>
      </w:r>
      <w:r>
        <w:rPr>
          <w:rFonts w:hint="eastAsia" w:ascii="仿宋_GB2312" w:cs="黑体"/>
          <w:kern w:val="2"/>
          <w:sz w:val="32"/>
          <w:szCs w:val="32"/>
          <w:lang w:val="en-US" w:eastAsia="zh-CN" w:bidi="ar-SA"/>
        </w:rPr>
        <w:t>。</w:t>
      </w:r>
    </w:p>
    <w:p w14:paraId="14826414">
      <w:pPr>
        <w:pStyle w:val="4"/>
        <w:keepNext w:val="0"/>
        <w:keepLines w:val="0"/>
        <w:pageBreakBefore w:val="0"/>
        <w:widowControl w:val="0"/>
        <w:kinsoku/>
        <w:overflowPunct/>
        <w:topLinePunct w:val="0"/>
        <w:autoSpaceDE/>
        <w:autoSpaceDN/>
        <w:bidi w:val="0"/>
        <w:adjustRightInd/>
        <w:spacing w:line="560" w:lineRule="exact"/>
        <w:ind w:left="0" w:leftChars="0" w:right="0" w:rightChars="0" w:firstLine="640" w:firstLineChars="200"/>
        <w:textAlignment w:val="auto"/>
        <w:rPr>
          <w:rFonts w:hint="eastAsia" w:ascii="仿宋_GB2312" w:cs="黑体"/>
          <w:kern w:val="2"/>
          <w:sz w:val="32"/>
          <w:szCs w:val="32"/>
          <w:lang w:val="en-US" w:eastAsia="zh-CN" w:bidi="ar-SA"/>
        </w:rPr>
      </w:pPr>
      <w:bookmarkStart w:id="0" w:name="_GoBack"/>
      <w:bookmarkEnd w:id="0"/>
      <w:r>
        <w:rPr>
          <w:rFonts w:hint="eastAsia" w:ascii="仿宋_GB2312" w:cs="黑体"/>
          <w:kern w:val="2"/>
          <w:sz w:val="32"/>
          <w:szCs w:val="32"/>
          <w:lang w:val="en-US" w:eastAsia="zh-CN" w:bidi="ar-SA"/>
        </w:rPr>
        <w:t>结转下年使用2074.38万元。</w:t>
      </w:r>
    </w:p>
    <w:p w14:paraId="06253E0F">
      <w:pPr>
        <w:keepNext w:val="0"/>
        <w:keepLines w:val="0"/>
        <w:pageBreakBefore w:val="0"/>
        <w:widowControl w:val="0"/>
        <w:kinsoku/>
        <w:overflowPunct/>
        <w:topLinePunct w:val="0"/>
        <w:autoSpaceDE/>
        <w:autoSpaceDN/>
        <w:bidi w:val="0"/>
        <w:adjustRightInd/>
        <w:spacing w:line="560" w:lineRule="exact"/>
        <w:ind w:left="0" w:leftChars="0" w:right="0" w:rightChars="0" w:firstLine="640" w:firstLineChars="200"/>
        <w:textAlignment w:val="auto"/>
        <w:rPr>
          <w:rFonts w:hint="default"/>
          <w:lang w:val="en-US" w:eastAsia="zh-CN"/>
        </w:rPr>
      </w:pPr>
      <w:r>
        <w:rPr>
          <w:rFonts w:hint="eastAsia" w:ascii="仿宋_GB2312" w:hAnsi="仿宋_GB2312" w:eastAsia="仿宋_GB2312" w:cs="仿宋_GB2312"/>
          <w:kern w:val="2"/>
          <w:sz w:val="32"/>
          <w:szCs w:val="32"/>
          <w:lang w:val="en-US" w:eastAsia="zh-CN" w:bidi="ar-SA"/>
        </w:rPr>
        <w:t>镇级一般公共预算收支平衡。</w:t>
      </w:r>
    </w:p>
    <w:p w14:paraId="4A34389E">
      <w:pPr>
        <w:keepNext w:val="0"/>
        <w:keepLines w:val="0"/>
        <w:pageBreakBefore w:val="0"/>
        <w:widowControl w:val="0"/>
        <w:numPr>
          <w:ilvl w:val="0"/>
          <w:numId w:val="0"/>
        </w:numPr>
        <w:kinsoku/>
        <w:overflowPunct/>
        <w:topLinePunct w:val="0"/>
        <w:autoSpaceDE/>
        <w:autoSpaceDN/>
        <w:bidi w:val="0"/>
        <w:adjustRightInd/>
        <w:spacing w:line="560" w:lineRule="exact"/>
        <w:ind w:left="0" w:leftChars="0" w:right="0" w:rightChars="0" w:firstLine="640" w:firstLineChars="200"/>
        <w:textAlignment w:val="auto"/>
        <w:outlineLvl w:val="2"/>
        <w:rPr>
          <w:rFonts w:hint="eastAsia" w:ascii="仿宋_GB2312" w:hAnsi="仿宋_GB2312" w:eastAsia="仿宋_GB2312" w:cs="仿宋_GB2312"/>
          <w:b w:val="0"/>
          <w:bCs/>
          <w:spacing w:val="0"/>
          <w:kern w:val="2"/>
          <w:sz w:val="32"/>
          <w:szCs w:val="32"/>
          <w:highlight w:val="none"/>
          <w:lang w:val="en-US" w:eastAsia="zh-CN" w:bidi="ar-SA"/>
        </w:rPr>
      </w:pPr>
      <w:r>
        <w:rPr>
          <w:rFonts w:hint="eastAsia" w:ascii="仿宋_GB2312" w:hAnsi="仿宋_GB2312" w:eastAsia="仿宋_GB2312" w:cs="仿宋_GB2312"/>
          <w:b w:val="0"/>
          <w:bCs/>
          <w:spacing w:val="0"/>
          <w:kern w:val="2"/>
          <w:sz w:val="32"/>
          <w:szCs w:val="32"/>
          <w:highlight w:val="none"/>
          <w:lang w:val="en-US" w:eastAsia="zh-CN" w:bidi="ar-SA"/>
        </w:rPr>
        <w:t>1.主要收入科目决算情况</w:t>
      </w:r>
    </w:p>
    <w:p w14:paraId="6E097E88">
      <w:pPr>
        <w:keepNext w:val="0"/>
        <w:keepLines w:val="0"/>
        <w:pageBreakBefore w:val="0"/>
        <w:widowControl w:val="0"/>
        <w:numPr>
          <w:ilvl w:val="0"/>
          <w:numId w:val="0"/>
        </w:numPr>
        <w:kinsoku/>
        <w:overflowPunct/>
        <w:topLinePunct w:val="0"/>
        <w:autoSpaceDE/>
        <w:autoSpaceDN/>
        <w:bidi w:val="0"/>
        <w:adjustRightInd/>
        <w:spacing w:line="560" w:lineRule="exact"/>
        <w:ind w:left="0" w:leftChars="0" w:right="0" w:rightChars="0" w:firstLine="640" w:firstLineChars="200"/>
        <w:textAlignment w:val="auto"/>
        <w:rPr>
          <w:rFonts w:hint="default"/>
          <w:highlight w:val="yellow"/>
          <w:lang w:val="en-US" w:eastAsia="zh-CN"/>
        </w:rPr>
      </w:pPr>
      <w:r>
        <w:rPr>
          <w:rFonts w:hint="eastAsia" w:ascii="仿宋_GB2312" w:hAnsi="仿宋_GB2312" w:eastAsia="仿宋_GB2312" w:cs="仿宋_GB2312"/>
          <w:b w:val="0"/>
          <w:bCs/>
          <w:spacing w:val="0"/>
          <w:kern w:val="2"/>
          <w:sz w:val="32"/>
          <w:szCs w:val="32"/>
          <w:highlight w:val="none"/>
          <w:lang w:val="en-US" w:eastAsia="zh-CN" w:bidi="ar-SA"/>
        </w:rPr>
        <w:t>从收入决算具体情况看，2024年完成财政收入4436.67万元，其中土地增值税486万元，增值税2241.25万元，企</w:t>
      </w:r>
      <w:r>
        <w:rPr>
          <w:rFonts w:hint="eastAsia" w:ascii="仿宋_GB2312" w:hAnsi="仿宋_GB2312" w:eastAsia="仿宋_GB2312" w:cs="仿宋_GB2312"/>
          <w:b w:val="0"/>
          <w:bCs/>
          <w:sz w:val="32"/>
          <w:szCs w:val="32"/>
          <w:highlight w:val="none"/>
          <w:lang w:val="en-US" w:eastAsia="zh-CN"/>
        </w:rPr>
        <w:t>业所得税438.75万元，房产税651.67万元，印花税154.7万</w:t>
      </w:r>
      <w:r>
        <w:rPr>
          <w:rFonts w:hint="eastAsia" w:ascii="仿宋_GB2312" w:hAnsi="仿宋_GB2312" w:eastAsia="仿宋_GB2312" w:cs="仿宋_GB2312"/>
          <w:b w:val="0"/>
          <w:bCs/>
          <w:spacing w:val="0"/>
          <w:kern w:val="2"/>
          <w:sz w:val="32"/>
          <w:szCs w:val="32"/>
          <w:highlight w:val="none"/>
          <w:lang w:val="en-US" w:eastAsia="zh-CN" w:bidi="ar-SA"/>
        </w:rPr>
        <w:t>元，城市维护建设税440.3万元，城镇土地使用税24万元。</w:t>
      </w:r>
    </w:p>
    <w:p w14:paraId="2A8A337B">
      <w:pPr>
        <w:pStyle w:val="11"/>
        <w:keepNext w:val="0"/>
        <w:keepLines w:val="0"/>
        <w:pageBreakBefore w:val="0"/>
        <w:widowControl w:val="0"/>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overflowPunct/>
        <w:topLinePunct w:val="0"/>
        <w:autoSpaceDE/>
        <w:autoSpaceDN/>
        <w:bidi w:val="0"/>
        <w:adjustRightInd/>
        <w:spacing w:before="0" w:beforeAutospacing="0" w:after="0" w:afterAutospacing="0" w:line="560" w:lineRule="exact"/>
        <w:ind w:left="0" w:leftChars="0" w:right="0" w:rightChars="0" w:firstLine="640" w:firstLineChars="200"/>
        <w:jc w:val="both"/>
        <w:textAlignment w:val="auto"/>
        <w:outlineLvl w:val="2"/>
        <w:rPr>
          <w:rFonts w:hint="eastAsia" w:ascii="仿宋_GB2312" w:hAnsi="宋体" w:eastAsia="仿宋_GB2312" w:cs="黑体"/>
          <w:kern w:val="2"/>
          <w:sz w:val="32"/>
          <w:szCs w:val="32"/>
          <w:lang w:val="en-US" w:eastAsia="zh-CN" w:bidi="ar-SA"/>
        </w:rPr>
      </w:pPr>
      <w:r>
        <w:rPr>
          <w:rFonts w:hint="eastAsia" w:ascii="仿宋_GB2312" w:hAnsi="宋体" w:eastAsia="仿宋_GB2312" w:cs="黑体"/>
          <w:kern w:val="2"/>
          <w:sz w:val="32"/>
          <w:szCs w:val="32"/>
          <w:lang w:val="en-US" w:eastAsia="zh-CN" w:bidi="ar-SA"/>
        </w:rPr>
        <w:t>2.主要支出科目决算情况</w:t>
      </w:r>
    </w:p>
    <w:p w14:paraId="3E2A780C">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outlineLvl w:val="9"/>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highlight w:val="none"/>
        </w:rPr>
        <w:t>一般公共服务支出</w:t>
      </w:r>
      <w:r>
        <w:rPr>
          <w:rFonts w:hint="eastAsia" w:ascii="仿宋_GB2312" w:hAnsi="仿宋_GB2312" w:eastAsia="仿宋_GB2312" w:cs="仿宋_GB2312"/>
          <w:sz w:val="32"/>
          <w:szCs w:val="32"/>
          <w:highlight w:val="none"/>
          <w:lang w:val="en-US" w:eastAsia="zh-CN"/>
        </w:rPr>
        <w:t>13302.93</w:t>
      </w:r>
      <w:r>
        <w:rPr>
          <w:rFonts w:hint="eastAsia" w:ascii="仿宋_GB2312" w:hAnsi="仿宋_GB2312" w:eastAsia="仿宋_GB2312" w:cs="仿宋_GB2312"/>
          <w:sz w:val="32"/>
          <w:szCs w:val="32"/>
          <w:highlight w:val="none"/>
        </w:rPr>
        <w:t>万元</w:t>
      </w:r>
      <w:r>
        <w:rPr>
          <w:rFonts w:hint="eastAsia" w:ascii="仿宋_GB2312" w:hAnsi="仿宋_GB2312" w:eastAsia="仿宋_GB2312" w:cs="仿宋_GB2312"/>
          <w:sz w:val="32"/>
          <w:szCs w:val="32"/>
          <w:highlight w:val="none"/>
          <w:lang w:eastAsia="zh-CN"/>
        </w:rPr>
        <w:t>，完成</w:t>
      </w:r>
      <w:r>
        <w:rPr>
          <w:rFonts w:hint="eastAsia" w:ascii="仿宋_GB2312" w:hAnsi="仿宋_GB2312" w:eastAsia="仿宋_GB2312" w:cs="仿宋_GB2312"/>
          <w:sz w:val="32"/>
          <w:szCs w:val="32"/>
          <w:highlight w:val="none"/>
          <w:lang w:val="en-US" w:eastAsia="zh-CN"/>
        </w:rPr>
        <w:t>调整预算</w:t>
      </w:r>
      <w:r>
        <w:rPr>
          <w:rFonts w:hint="eastAsia" w:ascii="仿宋_GB2312" w:hAnsi="仿宋_GB2312" w:eastAsia="仿宋_GB2312" w:cs="仿宋_GB2312"/>
          <w:sz w:val="32"/>
          <w:szCs w:val="32"/>
          <w:highlight w:val="none"/>
          <w:lang w:eastAsia="zh-CN"/>
        </w:rPr>
        <w:t>的</w:t>
      </w:r>
      <w:r>
        <w:rPr>
          <w:rFonts w:hint="eastAsia" w:ascii="仿宋_GB2312" w:hAnsi="仿宋_GB2312" w:eastAsia="仿宋_GB2312" w:cs="仿宋_GB2312"/>
          <w:sz w:val="32"/>
          <w:szCs w:val="32"/>
          <w:highlight w:val="none"/>
          <w:lang w:val="en-US" w:eastAsia="zh-CN"/>
        </w:rPr>
        <w:t>86.33%。</w:t>
      </w:r>
      <w:r>
        <w:rPr>
          <w:rFonts w:hint="eastAsia" w:ascii="仿宋_GB2312" w:hAnsi="仿宋_GB2312" w:eastAsia="仿宋_GB2312" w:cs="仿宋_GB2312"/>
          <w:sz w:val="32"/>
          <w:szCs w:val="32"/>
          <w:highlight w:val="none"/>
          <w:lang w:eastAsia="zh-CN"/>
        </w:rPr>
        <w:t>主要用于</w:t>
      </w:r>
      <w:r>
        <w:rPr>
          <w:rFonts w:hint="eastAsia" w:ascii="仿宋_GB2312" w:hAnsi="仿宋_GB2312" w:eastAsia="仿宋_GB2312" w:cs="仿宋_GB2312"/>
          <w:sz w:val="32"/>
          <w:szCs w:val="32"/>
          <w:highlight w:val="none"/>
          <w:lang w:val="en-US" w:eastAsia="zh-CN"/>
        </w:rPr>
        <w:t>在编人员工资、</w:t>
      </w:r>
      <w:r>
        <w:rPr>
          <w:rFonts w:hint="eastAsia" w:ascii="仿宋_GB2312" w:hAnsi="仿宋_GB2312" w:eastAsia="仿宋_GB2312" w:cs="仿宋_GB2312"/>
          <w:sz w:val="32"/>
          <w:szCs w:val="32"/>
          <w:highlight w:val="none"/>
          <w:lang w:eastAsia="zh-CN"/>
        </w:rPr>
        <w:t>村（社区）党组织服务群众经费、</w:t>
      </w:r>
      <w:r>
        <w:rPr>
          <w:rFonts w:hint="eastAsia" w:ascii="仿宋_GB2312" w:hAnsi="仿宋_GB2312" w:eastAsia="仿宋_GB2312" w:cs="仿宋_GB2312"/>
          <w:sz w:val="32"/>
          <w:szCs w:val="32"/>
          <w:highlight w:val="none"/>
          <w:lang w:val="en-US" w:eastAsia="zh-CN"/>
        </w:rPr>
        <w:t>镇区运行维护费、外围防线队伍经费</w:t>
      </w:r>
      <w:r>
        <w:rPr>
          <w:rFonts w:hint="eastAsia" w:ascii="仿宋_GB2312" w:hAnsi="仿宋_GB2312" w:eastAsia="仿宋_GB2312" w:cs="仿宋_GB2312"/>
          <w:sz w:val="32"/>
          <w:szCs w:val="32"/>
          <w:highlight w:val="none"/>
          <w:lang w:eastAsia="zh-CN"/>
        </w:rPr>
        <w:t>等。</w:t>
      </w:r>
    </w:p>
    <w:p w14:paraId="65032092">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outlineLvl w:val="9"/>
        <w:rPr>
          <w:rFonts w:hint="default" w:ascii="仿宋_GB2312" w:hAnsi="仿宋_GB2312" w:eastAsia="仿宋_GB2312" w:cs="仿宋_GB2312"/>
          <w:sz w:val="32"/>
          <w:szCs w:val="32"/>
          <w:highlight w:val="none"/>
          <w:lang w:val="en-US"/>
        </w:rPr>
      </w:pPr>
      <w:r>
        <w:rPr>
          <w:rFonts w:hint="eastAsia" w:ascii="仿宋_GB2312" w:hAnsi="仿宋_GB2312" w:eastAsia="仿宋_GB2312" w:cs="仿宋_GB2312"/>
          <w:sz w:val="32"/>
          <w:szCs w:val="32"/>
          <w:highlight w:val="none"/>
          <w:lang w:eastAsia="zh-CN"/>
        </w:rPr>
        <w:t>公共安全支出</w:t>
      </w:r>
      <w:r>
        <w:rPr>
          <w:rFonts w:hint="eastAsia" w:ascii="仿宋_GB2312" w:hAnsi="仿宋_GB2312" w:eastAsia="仿宋_GB2312" w:cs="仿宋_GB2312"/>
          <w:sz w:val="32"/>
          <w:szCs w:val="32"/>
          <w:highlight w:val="none"/>
          <w:lang w:val="en-US" w:eastAsia="zh-CN"/>
        </w:rPr>
        <w:t>44.30万元，</w:t>
      </w:r>
      <w:r>
        <w:rPr>
          <w:rFonts w:hint="eastAsia" w:ascii="仿宋_GB2312" w:hAnsi="仿宋_GB2312" w:eastAsia="仿宋_GB2312" w:cs="仿宋_GB2312"/>
          <w:sz w:val="32"/>
          <w:szCs w:val="32"/>
          <w:highlight w:val="none"/>
          <w:lang w:eastAsia="zh-CN"/>
        </w:rPr>
        <w:t>完成</w:t>
      </w:r>
      <w:r>
        <w:rPr>
          <w:rFonts w:hint="eastAsia" w:ascii="仿宋_GB2312" w:hAnsi="仿宋_GB2312" w:eastAsia="仿宋_GB2312" w:cs="仿宋_GB2312"/>
          <w:sz w:val="32"/>
          <w:szCs w:val="32"/>
          <w:highlight w:val="none"/>
          <w:lang w:val="en-US" w:eastAsia="zh-CN"/>
        </w:rPr>
        <w:t>调整预算</w:t>
      </w:r>
      <w:r>
        <w:rPr>
          <w:rFonts w:hint="eastAsia" w:ascii="仿宋_GB2312" w:hAnsi="仿宋_GB2312" w:eastAsia="仿宋_GB2312" w:cs="仿宋_GB2312"/>
          <w:sz w:val="32"/>
          <w:szCs w:val="32"/>
          <w:highlight w:val="none"/>
          <w:lang w:eastAsia="zh-CN"/>
        </w:rPr>
        <w:t>的</w:t>
      </w:r>
      <w:r>
        <w:rPr>
          <w:rFonts w:hint="eastAsia" w:ascii="仿宋_GB2312" w:hAnsi="仿宋_GB2312" w:eastAsia="仿宋_GB2312" w:cs="仿宋_GB2312"/>
          <w:sz w:val="32"/>
          <w:szCs w:val="32"/>
          <w:highlight w:val="none"/>
          <w:lang w:val="en-US" w:eastAsia="zh-CN"/>
        </w:rPr>
        <w:t>141.98%。主要用于法律服务经费、人民调节员经费。</w:t>
      </w:r>
    </w:p>
    <w:p w14:paraId="48CC60DE">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outlineLvl w:val="9"/>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教育支出</w:t>
      </w:r>
      <w:r>
        <w:rPr>
          <w:rFonts w:hint="eastAsia" w:ascii="仿宋_GB2312" w:hAnsi="仿宋_GB2312" w:eastAsia="仿宋_GB2312" w:cs="仿宋_GB2312"/>
          <w:sz w:val="32"/>
          <w:szCs w:val="32"/>
          <w:highlight w:val="none"/>
          <w:lang w:val="en-US" w:eastAsia="zh-CN"/>
        </w:rPr>
        <w:t>368.04</w:t>
      </w:r>
      <w:r>
        <w:rPr>
          <w:rFonts w:hint="eastAsia" w:ascii="仿宋_GB2312" w:hAnsi="仿宋_GB2312" w:eastAsia="仿宋_GB2312" w:cs="仿宋_GB2312"/>
          <w:sz w:val="32"/>
          <w:szCs w:val="32"/>
          <w:highlight w:val="none"/>
        </w:rPr>
        <w:t>万元</w:t>
      </w:r>
      <w:r>
        <w:rPr>
          <w:rFonts w:hint="eastAsia" w:ascii="仿宋_GB2312" w:hAnsi="仿宋_GB2312" w:eastAsia="仿宋_GB2312" w:cs="仿宋_GB2312"/>
          <w:sz w:val="32"/>
          <w:szCs w:val="32"/>
          <w:highlight w:val="none"/>
          <w:lang w:eastAsia="zh-CN"/>
        </w:rPr>
        <w:t>，完成</w:t>
      </w:r>
      <w:r>
        <w:rPr>
          <w:rFonts w:hint="eastAsia" w:ascii="仿宋_GB2312" w:hAnsi="仿宋_GB2312" w:eastAsia="仿宋_GB2312" w:cs="仿宋_GB2312"/>
          <w:sz w:val="32"/>
          <w:szCs w:val="32"/>
          <w:highlight w:val="none"/>
          <w:lang w:val="en-US" w:eastAsia="zh-CN"/>
        </w:rPr>
        <w:t>调整预算</w:t>
      </w:r>
      <w:r>
        <w:rPr>
          <w:rFonts w:hint="eastAsia" w:ascii="仿宋_GB2312" w:hAnsi="仿宋_GB2312" w:eastAsia="仿宋_GB2312" w:cs="仿宋_GB2312"/>
          <w:sz w:val="32"/>
          <w:szCs w:val="32"/>
          <w:highlight w:val="none"/>
          <w:lang w:eastAsia="zh-CN"/>
        </w:rPr>
        <w:t>的</w:t>
      </w:r>
      <w:r>
        <w:rPr>
          <w:rFonts w:hint="eastAsia" w:ascii="仿宋_GB2312" w:hAnsi="仿宋_GB2312" w:eastAsia="仿宋_GB2312" w:cs="仿宋_GB2312"/>
          <w:sz w:val="32"/>
          <w:szCs w:val="32"/>
          <w:highlight w:val="none"/>
          <w:lang w:val="en-US" w:eastAsia="zh-CN"/>
        </w:rPr>
        <w:t>100%。主要用于西区幼儿园项目</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lang w:val="en-US" w:eastAsia="zh-CN"/>
        </w:rPr>
        <w:t>校园保安服务项目</w:t>
      </w:r>
      <w:r>
        <w:rPr>
          <w:rFonts w:hint="eastAsia" w:ascii="仿宋_GB2312" w:hAnsi="仿宋_GB2312" w:eastAsia="仿宋_GB2312" w:cs="仿宋_GB2312"/>
          <w:sz w:val="32"/>
          <w:szCs w:val="32"/>
          <w:highlight w:val="none"/>
          <w:lang w:eastAsia="zh-CN"/>
        </w:rPr>
        <w:t>等。</w:t>
      </w:r>
    </w:p>
    <w:p w14:paraId="7A5C4458">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outlineLvl w:val="9"/>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highlight w:val="none"/>
        </w:rPr>
        <w:t>文化旅游体育与传媒支出</w:t>
      </w:r>
      <w:r>
        <w:rPr>
          <w:rFonts w:hint="eastAsia" w:ascii="仿宋_GB2312" w:hAnsi="仿宋_GB2312" w:eastAsia="仿宋_GB2312" w:cs="仿宋_GB2312"/>
          <w:sz w:val="32"/>
          <w:szCs w:val="32"/>
          <w:highlight w:val="none"/>
          <w:lang w:val="en-US" w:eastAsia="zh-CN"/>
        </w:rPr>
        <w:t>432.81</w:t>
      </w:r>
      <w:r>
        <w:rPr>
          <w:rFonts w:hint="eastAsia" w:ascii="仿宋_GB2312" w:hAnsi="仿宋_GB2312" w:eastAsia="仿宋_GB2312" w:cs="仿宋_GB2312"/>
          <w:sz w:val="32"/>
          <w:szCs w:val="32"/>
          <w:highlight w:val="none"/>
        </w:rPr>
        <w:t>万元</w:t>
      </w:r>
      <w:r>
        <w:rPr>
          <w:rFonts w:hint="eastAsia" w:ascii="仿宋_GB2312" w:hAnsi="仿宋_GB2312" w:eastAsia="仿宋_GB2312" w:cs="仿宋_GB2312"/>
          <w:sz w:val="32"/>
          <w:szCs w:val="32"/>
          <w:highlight w:val="none"/>
          <w:lang w:val="en-US" w:eastAsia="zh-CN"/>
        </w:rPr>
        <w:t>,</w:t>
      </w:r>
      <w:r>
        <w:rPr>
          <w:rFonts w:hint="eastAsia" w:ascii="仿宋_GB2312" w:hAnsi="仿宋_GB2312" w:eastAsia="仿宋_GB2312" w:cs="仿宋_GB2312"/>
          <w:sz w:val="32"/>
          <w:szCs w:val="32"/>
          <w:highlight w:val="none"/>
          <w:lang w:eastAsia="zh-CN"/>
        </w:rPr>
        <w:t>完成</w:t>
      </w:r>
      <w:r>
        <w:rPr>
          <w:rFonts w:hint="eastAsia" w:ascii="仿宋_GB2312" w:hAnsi="仿宋_GB2312" w:eastAsia="仿宋_GB2312" w:cs="仿宋_GB2312"/>
          <w:sz w:val="32"/>
          <w:szCs w:val="32"/>
          <w:highlight w:val="none"/>
          <w:lang w:val="en-US" w:eastAsia="zh-CN"/>
        </w:rPr>
        <w:t>调整预算</w:t>
      </w:r>
      <w:r>
        <w:rPr>
          <w:rFonts w:hint="eastAsia" w:ascii="仿宋_GB2312" w:hAnsi="仿宋_GB2312" w:eastAsia="仿宋_GB2312" w:cs="仿宋_GB2312"/>
          <w:sz w:val="32"/>
          <w:szCs w:val="32"/>
          <w:highlight w:val="none"/>
          <w:lang w:eastAsia="zh-CN"/>
        </w:rPr>
        <w:t>的</w:t>
      </w:r>
      <w:r>
        <w:rPr>
          <w:rFonts w:hint="eastAsia" w:ascii="仿宋_GB2312" w:hAnsi="仿宋_GB2312" w:eastAsia="仿宋_GB2312" w:cs="仿宋_GB2312"/>
          <w:sz w:val="32"/>
          <w:szCs w:val="32"/>
          <w:highlight w:val="none"/>
          <w:lang w:val="en-US" w:eastAsia="zh-CN"/>
        </w:rPr>
        <w:t>376.36%。</w:t>
      </w:r>
      <w:r>
        <w:rPr>
          <w:rFonts w:hint="eastAsia" w:ascii="仿宋_GB2312" w:hAnsi="仿宋_GB2312" w:eastAsia="仿宋_GB2312" w:cs="仿宋_GB2312"/>
          <w:sz w:val="32"/>
          <w:szCs w:val="32"/>
          <w:highlight w:val="none"/>
          <w:lang w:eastAsia="zh-CN"/>
        </w:rPr>
        <w:t>主要</w:t>
      </w:r>
      <w:r>
        <w:rPr>
          <w:rFonts w:hint="eastAsia" w:ascii="仿宋_GB2312" w:hAnsi="仿宋_GB2312" w:eastAsia="仿宋_GB2312" w:cs="仿宋_GB2312"/>
          <w:sz w:val="32"/>
          <w:szCs w:val="32"/>
          <w:highlight w:val="none"/>
          <w:lang w:val="en-US" w:eastAsia="zh-CN"/>
        </w:rPr>
        <w:t>用于政府宣传运行经费、新时代文明实践所经费</w:t>
      </w:r>
      <w:r>
        <w:rPr>
          <w:rFonts w:hint="eastAsia" w:ascii="仿宋_GB2312" w:hAnsi="仿宋_GB2312" w:eastAsia="仿宋_GB2312" w:cs="仿宋_GB2312"/>
          <w:sz w:val="32"/>
          <w:szCs w:val="32"/>
          <w:highlight w:val="none"/>
          <w:lang w:eastAsia="zh-CN"/>
        </w:rPr>
        <w:t>等。</w:t>
      </w:r>
    </w:p>
    <w:p w14:paraId="6FB90ACD">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outlineLvl w:val="9"/>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社会保障和就业支出</w:t>
      </w:r>
      <w:r>
        <w:rPr>
          <w:rFonts w:hint="eastAsia" w:ascii="仿宋_GB2312" w:hAnsi="仿宋_GB2312" w:eastAsia="仿宋_GB2312" w:cs="仿宋_GB2312"/>
          <w:sz w:val="32"/>
          <w:szCs w:val="32"/>
          <w:highlight w:val="none"/>
          <w:lang w:val="en-US" w:eastAsia="zh-CN"/>
        </w:rPr>
        <w:t>2003.21</w:t>
      </w:r>
      <w:r>
        <w:rPr>
          <w:rFonts w:hint="eastAsia" w:ascii="仿宋_GB2312" w:hAnsi="仿宋_GB2312" w:eastAsia="仿宋_GB2312" w:cs="仿宋_GB2312"/>
          <w:sz w:val="32"/>
          <w:szCs w:val="32"/>
          <w:highlight w:val="none"/>
        </w:rPr>
        <w:t>万元，</w:t>
      </w:r>
      <w:r>
        <w:rPr>
          <w:rFonts w:hint="eastAsia" w:ascii="仿宋_GB2312" w:hAnsi="仿宋_GB2312" w:eastAsia="仿宋_GB2312" w:cs="仿宋_GB2312"/>
          <w:sz w:val="32"/>
          <w:szCs w:val="32"/>
          <w:highlight w:val="none"/>
          <w:lang w:eastAsia="zh-CN"/>
        </w:rPr>
        <w:t>完成</w:t>
      </w:r>
      <w:r>
        <w:rPr>
          <w:rFonts w:hint="eastAsia" w:ascii="仿宋_GB2312" w:hAnsi="仿宋_GB2312" w:eastAsia="仿宋_GB2312" w:cs="仿宋_GB2312"/>
          <w:sz w:val="32"/>
          <w:szCs w:val="32"/>
          <w:highlight w:val="none"/>
          <w:lang w:val="en-US" w:eastAsia="zh-CN"/>
        </w:rPr>
        <w:t>调整预算</w:t>
      </w:r>
      <w:r>
        <w:rPr>
          <w:rFonts w:hint="eastAsia" w:ascii="仿宋_GB2312" w:hAnsi="仿宋_GB2312" w:eastAsia="仿宋_GB2312" w:cs="仿宋_GB2312"/>
          <w:sz w:val="32"/>
          <w:szCs w:val="32"/>
          <w:highlight w:val="none"/>
          <w:lang w:eastAsia="zh-CN"/>
        </w:rPr>
        <w:t>的</w:t>
      </w:r>
      <w:r>
        <w:rPr>
          <w:rFonts w:hint="eastAsia" w:ascii="仿宋_GB2312" w:hAnsi="仿宋_GB2312" w:eastAsia="仿宋_GB2312" w:cs="仿宋_GB2312"/>
          <w:sz w:val="32"/>
          <w:szCs w:val="32"/>
          <w:highlight w:val="none"/>
          <w:lang w:val="en-US" w:eastAsia="zh-CN"/>
        </w:rPr>
        <w:t>113.3%。</w:t>
      </w:r>
      <w:r>
        <w:rPr>
          <w:rFonts w:hint="eastAsia" w:ascii="仿宋_GB2312" w:hAnsi="仿宋_GB2312" w:eastAsia="仿宋_GB2312" w:cs="仿宋_GB2312"/>
          <w:sz w:val="32"/>
          <w:szCs w:val="32"/>
          <w:highlight w:val="none"/>
          <w:lang w:eastAsia="zh-CN"/>
        </w:rPr>
        <w:t>主要</w:t>
      </w:r>
      <w:r>
        <w:rPr>
          <w:rFonts w:hint="eastAsia" w:ascii="仿宋_GB2312" w:hAnsi="仿宋_GB2312" w:eastAsia="仿宋_GB2312" w:cs="仿宋_GB2312"/>
          <w:sz w:val="32"/>
          <w:szCs w:val="32"/>
          <w:highlight w:val="none"/>
          <w:lang w:val="en-US" w:eastAsia="zh-CN"/>
        </w:rPr>
        <w:t>用于在编人员保险、公募业务经费、公益性就业岗位补贴、义务兵优待、支持残疾人事业支出</w:t>
      </w:r>
      <w:r>
        <w:rPr>
          <w:rFonts w:hint="eastAsia" w:ascii="仿宋_GB2312" w:hAnsi="仿宋_GB2312" w:eastAsia="仿宋_GB2312" w:cs="仿宋_GB2312"/>
          <w:sz w:val="32"/>
          <w:szCs w:val="32"/>
          <w:highlight w:val="none"/>
          <w:lang w:eastAsia="zh-CN"/>
        </w:rPr>
        <w:t>等。</w:t>
      </w:r>
    </w:p>
    <w:p w14:paraId="463C513D">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outlineLvl w:val="9"/>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highlight w:val="none"/>
        </w:rPr>
        <w:t>卫生健康支出</w:t>
      </w:r>
      <w:r>
        <w:rPr>
          <w:rFonts w:hint="eastAsia" w:ascii="仿宋_GB2312" w:hAnsi="仿宋_GB2312" w:eastAsia="仿宋_GB2312" w:cs="仿宋_GB2312"/>
          <w:sz w:val="32"/>
          <w:szCs w:val="32"/>
          <w:highlight w:val="none"/>
          <w:lang w:val="en-US" w:eastAsia="zh-CN"/>
        </w:rPr>
        <w:t>7712.68</w:t>
      </w:r>
      <w:r>
        <w:rPr>
          <w:rFonts w:hint="eastAsia" w:ascii="仿宋_GB2312" w:hAnsi="仿宋_GB2312" w:eastAsia="仿宋_GB2312" w:cs="仿宋_GB2312"/>
          <w:sz w:val="32"/>
          <w:szCs w:val="32"/>
          <w:highlight w:val="none"/>
        </w:rPr>
        <w:t>万元，</w:t>
      </w:r>
      <w:r>
        <w:rPr>
          <w:rFonts w:hint="eastAsia" w:ascii="仿宋_GB2312" w:hAnsi="仿宋_GB2312" w:eastAsia="仿宋_GB2312" w:cs="仿宋_GB2312"/>
          <w:sz w:val="32"/>
          <w:szCs w:val="32"/>
          <w:highlight w:val="none"/>
          <w:lang w:eastAsia="zh-CN"/>
        </w:rPr>
        <w:t>完成</w:t>
      </w:r>
      <w:r>
        <w:rPr>
          <w:rFonts w:hint="eastAsia" w:ascii="仿宋_GB2312" w:hAnsi="仿宋_GB2312" w:eastAsia="仿宋_GB2312" w:cs="仿宋_GB2312"/>
          <w:sz w:val="32"/>
          <w:szCs w:val="32"/>
          <w:highlight w:val="none"/>
          <w:lang w:val="en-US" w:eastAsia="zh-CN"/>
        </w:rPr>
        <w:t>调整预算</w:t>
      </w:r>
      <w:r>
        <w:rPr>
          <w:rFonts w:hint="eastAsia" w:ascii="仿宋_GB2312" w:hAnsi="仿宋_GB2312" w:eastAsia="仿宋_GB2312" w:cs="仿宋_GB2312"/>
          <w:sz w:val="32"/>
          <w:szCs w:val="32"/>
          <w:highlight w:val="none"/>
          <w:lang w:eastAsia="zh-CN"/>
        </w:rPr>
        <w:t>的</w:t>
      </w:r>
      <w:r>
        <w:rPr>
          <w:rFonts w:hint="eastAsia" w:ascii="仿宋_GB2312" w:hAnsi="仿宋_GB2312" w:eastAsia="仿宋_GB2312" w:cs="仿宋_GB2312"/>
          <w:sz w:val="32"/>
          <w:szCs w:val="32"/>
          <w:highlight w:val="none"/>
          <w:lang w:val="en-US" w:eastAsia="zh-CN"/>
        </w:rPr>
        <w:t>113.2%。</w:t>
      </w:r>
      <w:r>
        <w:rPr>
          <w:rFonts w:hint="eastAsia" w:ascii="仿宋_GB2312" w:hAnsi="仿宋_GB2312" w:eastAsia="仿宋_GB2312" w:cs="仿宋_GB2312"/>
          <w:sz w:val="32"/>
          <w:szCs w:val="32"/>
          <w:highlight w:val="none"/>
          <w:lang w:eastAsia="zh-CN"/>
        </w:rPr>
        <w:t>主要</w:t>
      </w:r>
      <w:r>
        <w:rPr>
          <w:rFonts w:hint="eastAsia" w:ascii="仿宋_GB2312" w:hAnsi="仿宋_GB2312" w:eastAsia="仿宋_GB2312" w:cs="仿宋_GB2312"/>
          <w:sz w:val="32"/>
          <w:szCs w:val="32"/>
          <w:highlight w:val="none"/>
          <w:lang w:val="en-US" w:eastAsia="zh-CN"/>
        </w:rPr>
        <w:t>用于在编人员医疗保险、</w:t>
      </w:r>
      <w:r>
        <w:rPr>
          <w:rFonts w:hint="eastAsia" w:ascii="仿宋_GB2312" w:hAnsi="仿宋_GB2312" w:eastAsia="仿宋_GB2312" w:cs="仿宋_GB2312"/>
          <w:sz w:val="32"/>
          <w:szCs w:val="32"/>
          <w:highlight w:val="none"/>
          <w:lang w:eastAsia="zh-CN"/>
        </w:rPr>
        <w:t>基层医疗卫生服务能力提升项目经费、</w:t>
      </w:r>
      <w:r>
        <w:rPr>
          <w:rFonts w:hint="eastAsia" w:ascii="仿宋_GB2312" w:hAnsi="仿宋_GB2312" w:eastAsia="仿宋_GB2312" w:cs="仿宋_GB2312"/>
          <w:sz w:val="32"/>
          <w:szCs w:val="32"/>
          <w:highlight w:val="none"/>
          <w:lang w:val="en-US" w:eastAsia="zh-CN"/>
        </w:rPr>
        <w:t>计生奖扶经费</w:t>
      </w:r>
      <w:r>
        <w:rPr>
          <w:rFonts w:hint="eastAsia" w:ascii="仿宋_GB2312" w:hAnsi="仿宋_GB2312" w:eastAsia="仿宋_GB2312" w:cs="仿宋_GB2312"/>
          <w:sz w:val="32"/>
          <w:szCs w:val="32"/>
          <w:highlight w:val="none"/>
          <w:lang w:eastAsia="zh-CN"/>
        </w:rPr>
        <w:t>、基本公共卫生经费、</w:t>
      </w:r>
      <w:r>
        <w:rPr>
          <w:rFonts w:hint="eastAsia" w:ascii="仿宋_GB2312" w:hAnsi="仿宋_GB2312" w:eastAsia="仿宋_GB2312" w:cs="仿宋_GB2312"/>
          <w:sz w:val="32"/>
          <w:szCs w:val="32"/>
          <w:highlight w:val="none"/>
          <w:lang w:val="en-US" w:eastAsia="zh-CN"/>
        </w:rPr>
        <w:t>职工健康体检费</w:t>
      </w:r>
      <w:r>
        <w:rPr>
          <w:rFonts w:hint="eastAsia" w:ascii="仿宋_GB2312" w:hAnsi="仿宋_GB2312" w:eastAsia="仿宋_GB2312" w:cs="仿宋_GB2312"/>
          <w:sz w:val="32"/>
          <w:szCs w:val="32"/>
          <w:highlight w:val="none"/>
          <w:lang w:eastAsia="zh-CN"/>
        </w:rPr>
        <w:t>等。</w:t>
      </w:r>
    </w:p>
    <w:p w14:paraId="73F1AF75">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outlineLvl w:val="9"/>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highlight w:val="none"/>
        </w:rPr>
        <w:t>节能环保支出</w:t>
      </w:r>
      <w:r>
        <w:rPr>
          <w:rFonts w:hint="eastAsia" w:ascii="仿宋_GB2312" w:hAnsi="仿宋_GB2312" w:eastAsia="仿宋_GB2312" w:cs="仿宋_GB2312"/>
          <w:sz w:val="32"/>
          <w:szCs w:val="32"/>
          <w:highlight w:val="none"/>
          <w:lang w:val="en-US" w:eastAsia="zh-CN"/>
        </w:rPr>
        <w:t>1533.50</w:t>
      </w:r>
      <w:r>
        <w:rPr>
          <w:rFonts w:hint="eastAsia" w:ascii="仿宋_GB2312" w:hAnsi="仿宋_GB2312" w:eastAsia="仿宋_GB2312" w:cs="仿宋_GB2312"/>
          <w:sz w:val="32"/>
          <w:szCs w:val="32"/>
          <w:highlight w:val="none"/>
        </w:rPr>
        <w:t>万元，</w:t>
      </w:r>
      <w:r>
        <w:rPr>
          <w:rFonts w:hint="eastAsia" w:ascii="仿宋_GB2312" w:hAnsi="仿宋_GB2312" w:eastAsia="仿宋_GB2312" w:cs="仿宋_GB2312"/>
          <w:sz w:val="32"/>
          <w:szCs w:val="32"/>
          <w:highlight w:val="none"/>
          <w:lang w:eastAsia="zh-CN"/>
        </w:rPr>
        <w:t>完成</w:t>
      </w:r>
      <w:r>
        <w:rPr>
          <w:rFonts w:hint="eastAsia" w:ascii="仿宋_GB2312" w:hAnsi="仿宋_GB2312" w:eastAsia="仿宋_GB2312" w:cs="仿宋_GB2312"/>
          <w:sz w:val="32"/>
          <w:szCs w:val="32"/>
          <w:highlight w:val="none"/>
          <w:lang w:val="en-US" w:eastAsia="zh-CN"/>
        </w:rPr>
        <w:t>调整预算</w:t>
      </w:r>
      <w:r>
        <w:rPr>
          <w:rFonts w:hint="eastAsia" w:ascii="仿宋_GB2312" w:hAnsi="仿宋_GB2312" w:eastAsia="仿宋_GB2312" w:cs="仿宋_GB2312"/>
          <w:sz w:val="32"/>
          <w:szCs w:val="32"/>
          <w:highlight w:val="none"/>
          <w:lang w:eastAsia="zh-CN"/>
        </w:rPr>
        <w:t>的</w:t>
      </w:r>
      <w:r>
        <w:rPr>
          <w:rFonts w:hint="eastAsia" w:ascii="仿宋_GB2312" w:hAnsi="仿宋_GB2312" w:eastAsia="仿宋_GB2312" w:cs="仿宋_GB2312"/>
          <w:sz w:val="32"/>
          <w:szCs w:val="32"/>
          <w:highlight w:val="none"/>
          <w:lang w:val="en-US" w:eastAsia="zh-CN"/>
        </w:rPr>
        <w:t>103.27%。主要用于</w:t>
      </w:r>
      <w:r>
        <w:rPr>
          <w:rFonts w:hint="eastAsia" w:ascii="仿宋_GB2312" w:hAnsi="仿宋_GB2312" w:eastAsia="仿宋_GB2312" w:cs="仿宋_GB2312"/>
          <w:sz w:val="32"/>
          <w:szCs w:val="32"/>
          <w:highlight w:val="none"/>
          <w:lang w:eastAsia="zh-CN"/>
        </w:rPr>
        <w:t>大兴区农村地区巩固无煤化成果电费补贴、</w:t>
      </w:r>
      <w:r>
        <w:rPr>
          <w:rFonts w:hint="eastAsia" w:ascii="仿宋_GB2312" w:hAnsi="仿宋_GB2312" w:eastAsia="仿宋_GB2312" w:cs="仿宋_GB2312"/>
          <w:sz w:val="32"/>
          <w:szCs w:val="32"/>
          <w:highlight w:val="none"/>
          <w:lang w:val="en-US" w:eastAsia="zh-CN"/>
        </w:rPr>
        <w:t>智慧生态信息系统、大气精细化治理项目、采育镇施家务、宁家湾等农村污水生态治理工程项目等</w:t>
      </w:r>
      <w:r>
        <w:rPr>
          <w:rFonts w:hint="eastAsia" w:ascii="仿宋_GB2312" w:hAnsi="仿宋_GB2312" w:eastAsia="仿宋_GB2312" w:cs="仿宋_GB2312"/>
          <w:sz w:val="32"/>
          <w:szCs w:val="32"/>
          <w:highlight w:val="none"/>
          <w:lang w:eastAsia="zh-CN"/>
        </w:rPr>
        <w:t>。</w:t>
      </w:r>
    </w:p>
    <w:p w14:paraId="0C635673">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outlineLvl w:val="9"/>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城乡社区支出</w:t>
      </w:r>
      <w:r>
        <w:rPr>
          <w:rFonts w:hint="eastAsia" w:ascii="仿宋_GB2312" w:hAnsi="仿宋_GB2312" w:eastAsia="仿宋_GB2312" w:cs="仿宋_GB2312"/>
          <w:sz w:val="32"/>
          <w:szCs w:val="32"/>
          <w:highlight w:val="none"/>
          <w:lang w:val="en-US" w:eastAsia="zh-CN"/>
        </w:rPr>
        <w:t>9834.13万</w:t>
      </w:r>
      <w:r>
        <w:rPr>
          <w:rFonts w:hint="eastAsia" w:ascii="仿宋_GB2312" w:hAnsi="仿宋_GB2312" w:eastAsia="仿宋_GB2312" w:cs="仿宋_GB2312"/>
          <w:sz w:val="32"/>
          <w:szCs w:val="32"/>
          <w:highlight w:val="none"/>
        </w:rPr>
        <w:t>元，</w:t>
      </w:r>
      <w:r>
        <w:rPr>
          <w:rFonts w:hint="eastAsia" w:ascii="仿宋_GB2312" w:hAnsi="仿宋_GB2312" w:eastAsia="仿宋_GB2312" w:cs="仿宋_GB2312"/>
          <w:sz w:val="32"/>
          <w:szCs w:val="32"/>
          <w:highlight w:val="none"/>
          <w:lang w:eastAsia="zh-CN"/>
        </w:rPr>
        <w:t>完成</w:t>
      </w:r>
      <w:r>
        <w:rPr>
          <w:rFonts w:hint="eastAsia" w:ascii="仿宋_GB2312" w:hAnsi="仿宋_GB2312" w:eastAsia="仿宋_GB2312" w:cs="仿宋_GB2312"/>
          <w:sz w:val="32"/>
          <w:szCs w:val="32"/>
          <w:highlight w:val="none"/>
          <w:lang w:val="en-US" w:eastAsia="zh-CN"/>
        </w:rPr>
        <w:t>调整预算</w:t>
      </w:r>
      <w:r>
        <w:rPr>
          <w:rFonts w:hint="eastAsia" w:ascii="仿宋_GB2312" w:hAnsi="仿宋_GB2312" w:eastAsia="仿宋_GB2312" w:cs="仿宋_GB2312"/>
          <w:sz w:val="32"/>
          <w:szCs w:val="32"/>
          <w:highlight w:val="none"/>
          <w:lang w:eastAsia="zh-CN"/>
        </w:rPr>
        <w:t>的</w:t>
      </w:r>
      <w:r>
        <w:rPr>
          <w:rFonts w:hint="eastAsia" w:ascii="仿宋_GB2312" w:hAnsi="仿宋_GB2312" w:eastAsia="仿宋_GB2312" w:cs="仿宋_GB2312"/>
          <w:sz w:val="32"/>
          <w:szCs w:val="32"/>
          <w:highlight w:val="none"/>
          <w:lang w:val="en-US" w:eastAsia="zh-CN"/>
        </w:rPr>
        <w:t>77.57%。</w:t>
      </w:r>
      <w:r>
        <w:rPr>
          <w:rFonts w:hint="eastAsia" w:ascii="仿宋_GB2312" w:hAnsi="仿宋_GB2312" w:eastAsia="仿宋_GB2312" w:cs="仿宋_GB2312"/>
          <w:sz w:val="32"/>
          <w:szCs w:val="32"/>
          <w:highlight w:val="none"/>
          <w:lang w:eastAsia="zh-CN"/>
        </w:rPr>
        <w:t>主要</w:t>
      </w:r>
      <w:r>
        <w:rPr>
          <w:rFonts w:hint="eastAsia" w:ascii="仿宋_GB2312" w:hAnsi="仿宋_GB2312" w:eastAsia="仿宋_GB2312" w:cs="仿宋_GB2312"/>
          <w:sz w:val="32"/>
          <w:szCs w:val="32"/>
          <w:highlight w:val="none"/>
          <w:lang w:val="en-US" w:eastAsia="zh-CN"/>
        </w:rPr>
        <w:t>用于社工工作经费、疏解整治促提升项目、政府编外人员经费、农村地区保洁员工资</w:t>
      </w:r>
      <w:r>
        <w:rPr>
          <w:rFonts w:hint="eastAsia" w:ascii="仿宋_GB2312" w:hAnsi="仿宋_GB2312" w:eastAsia="仿宋_GB2312" w:cs="仿宋_GB2312"/>
          <w:sz w:val="32"/>
          <w:szCs w:val="32"/>
          <w:highlight w:val="none"/>
          <w:lang w:eastAsia="zh-CN"/>
        </w:rPr>
        <w:t>等。</w:t>
      </w:r>
    </w:p>
    <w:p w14:paraId="47208126">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outlineLvl w:val="9"/>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highlight w:val="none"/>
        </w:rPr>
        <w:t>农林水支出</w:t>
      </w:r>
      <w:r>
        <w:rPr>
          <w:rFonts w:hint="eastAsia" w:ascii="仿宋_GB2312" w:hAnsi="仿宋_GB2312" w:eastAsia="仿宋_GB2312" w:cs="仿宋_GB2312"/>
          <w:sz w:val="32"/>
          <w:szCs w:val="32"/>
          <w:highlight w:val="none"/>
          <w:lang w:val="en-US" w:eastAsia="zh-CN"/>
        </w:rPr>
        <w:t>20466.81万</w:t>
      </w:r>
      <w:r>
        <w:rPr>
          <w:rFonts w:hint="eastAsia" w:ascii="仿宋_GB2312" w:hAnsi="仿宋_GB2312" w:eastAsia="仿宋_GB2312" w:cs="仿宋_GB2312"/>
          <w:sz w:val="32"/>
          <w:szCs w:val="32"/>
          <w:highlight w:val="none"/>
        </w:rPr>
        <w:t>元，</w:t>
      </w:r>
      <w:r>
        <w:rPr>
          <w:rFonts w:hint="eastAsia" w:ascii="仿宋_GB2312" w:hAnsi="仿宋_GB2312" w:eastAsia="仿宋_GB2312" w:cs="仿宋_GB2312"/>
          <w:sz w:val="32"/>
          <w:szCs w:val="32"/>
          <w:highlight w:val="none"/>
          <w:lang w:eastAsia="zh-CN"/>
        </w:rPr>
        <w:t>完成</w:t>
      </w:r>
      <w:r>
        <w:rPr>
          <w:rFonts w:hint="eastAsia" w:ascii="仿宋_GB2312" w:hAnsi="仿宋_GB2312" w:eastAsia="仿宋_GB2312" w:cs="仿宋_GB2312"/>
          <w:sz w:val="32"/>
          <w:szCs w:val="32"/>
          <w:highlight w:val="none"/>
          <w:lang w:val="en-US" w:eastAsia="zh-CN"/>
        </w:rPr>
        <w:t>调整预算</w:t>
      </w:r>
      <w:r>
        <w:rPr>
          <w:rFonts w:hint="eastAsia" w:ascii="仿宋_GB2312" w:hAnsi="仿宋_GB2312" w:eastAsia="仿宋_GB2312" w:cs="仿宋_GB2312"/>
          <w:sz w:val="32"/>
          <w:szCs w:val="32"/>
          <w:highlight w:val="none"/>
          <w:lang w:eastAsia="zh-CN"/>
        </w:rPr>
        <w:t>的</w:t>
      </w:r>
      <w:r>
        <w:rPr>
          <w:rFonts w:hint="eastAsia" w:ascii="仿宋_GB2312" w:hAnsi="仿宋_GB2312" w:eastAsia="仿宋_GB2312" w:cs="仿宋_GB2312"/>
          <w:sz w:val="32"/>
          <w:szCs w:val="32"/>
          <w:highlight w:val="none"/>
          <w:lang w:val="en-US" w:eastAsia="zh-CN"/>
        </w:rPr>
        <w:t>90.37%。</w:t>
      </w:r>
      <w:r>
        <w:rPr>
          <w:rFonts w:hint="eastAsia" w:ascii="仿宋_GB2312" w:hAnsi="仿宋_GB2312" w:eastAsia="仿宋_GB2312" w:cs="仿宋_GB2312"/>
          <w:sz w:val="32"/>
          <w:szCs w:val="32"/>
          <w:highlight w:val="none"/>
        </w:rPr>
        <w:t>主要</w:t>
      </w:r>
      <w:r>
        <w:rPr>
          <w:rFonts w:hint="eastAsia" w:ascii="仿宋_GB2312" w:hAnsi="仿宋_GB2312" w:eastAsia="仿宋_GB2312" w:cs="仿宋_GB2312"/>
          <w:sz w:val="32"/>
          <w:szCs w:val="32"/>
          <w:highlight w:val="none"/>
          <w:lang w:val="en-US" w:eastAsia="zh-CN"/>
        </w:rPr>
        <w:t>用于</w:t>
      </w:r>
      <w:r>
        <w:rPr>
          <w:rFonts w:hint="eastAsia" w:ascii="仿宋_GB2312" w:hAnsi="仿宋_GB2312" w:eastAsia="仿宋_GB2312" w:cs="仿宋_GB2312"/>
          <w:sz w:val="32"/>
          <w:szCs w:val="32"/>
          <w:highlight w:val="none"/>
        </w:rPr>
        <w:t>农村公益事业投入、村干部工资、</w:t>
      </w:r>
      <w:r>
        <w:rPr>
          <w:rFonts w:hint="eastAsia" w:ascii="仿宋_GB2312" w:hAnsi="仿宋_GB2312" w:eastAsia="仿宋_GB2312" w:cs="仿宋_GB2312"/>
          <w:sz w:val="32"/>
          <w:szCs w:val="32"/>
          <w:highlight w:val="none"/>
          <w:lang w:val="en-US" w:eastAsia="zh-CN"/>
        </w:rPr>
        <w:t>菜田补贴、生猪产业优化提升项目资金</w:t>
      </w:r>
      <w:r>
        <w:rPr>
          <w:rFonts w:hint="eastAsia" w:ascii="仿宋_GB2312" w:hAnsi="仿宋_GB2312" w:eastAsia="仿宋_GB2312" w:cs="仿宋_GB2312"/>
          <w:sz w:val="32"/>
          <w:szCs w:val="32"/>
          <w:highlight w:val="none"/>
          <w:lang w:eastAsia="zh-CN"/>
        </w:rPr>
        <w:t>、平原造林土地流转及养护</w:t>
      </w:r>
      <w:r>
        <w:rPr>
          <w:rFonts w:hint="eastAsia" w:ascii="仿宋_GB2312" w:hAnsi="仿宋_GB2312" w:eastAsia="仿宋_GB2312" w:cs="仿宋_GB2312"/>
          <w:sz w:val="32"/>
          <w:szCs w:val="32"/>
          <w:highlight w:val="none"/>
        </w:rPr>
        <w:t>等</w:t>
      </w:r>
      <w:r>
        <w:rPr>
          <w:rFonts w:hint="eastAsia" w:ascii="仿宋_GB2312" w:hAnsi="仿宋_GB2312" w:eastAsia="仿宋_GB2312" w:cs="仿宋_GB2312"/>
          <w:sz w:val="32"/>
          <w:szCs w:val="32"/>
          <w:highlight w:val="none"/>
          <w:lang w:eastAsia="zh-CN"/>
        </w:rPr>
        <w:t>。</w:t>
      </w:r>
    </w:p>
    <w:p w14:paraId="1D538C3E">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outlineLvl w:val="9"/>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自然资源海洋气象等</w:t>
      </w:r>
      <w:r>
        <w:rPr>
          <w:rFonts w:hint="eastAsia" w:ascii="仿宋_GB2312" w:hAnsi="仿宋_GB2312" w:eastAsia="仿宋_GB2312" w:cs="仿宋_GB2312"/>
          <w:sz w:val="32"/>
          <w:szCs w:val="32"/>
          <w:highlight w:val="none"/>
        </w:rPr>
        <w:t>支出</w:t>
      </w:r>
      <w:r>
        <w:rPr>
          <w:rFonts w:hint="eastAsia" w:ascii="仿宋_GB2312" w:hAnsi="仿宋_GB2312" w:eastAsia="仿宋_GB2312" w:cs="仿宋_GB2312"/>
          <w:sz w:val="32"/>
          <w:szCs w:val="32"/>
          <w:highlight w:val="none"/>
          <w:lang w:val="en-US" w:eastAsia="zh-CN"/>
        </w:rPr>
        <w:t>265.04</w:t>
      </w:r>
      <w:r>
        <w:rPr>
          <w:rFonts w:hint="eastAsia" w:ascii="仿宋_GB2312" w:hAnsi="仿宋_GB2312" w:eastAsia="仿宋_GB2312" w:cs="仿宋_GB2312"/>
          <w:sz w:val="32"/>
          <w:szCs w:val="32"/>
          <w:highlight w:val="none"/>
        </w:rPr>
        <w:t>万元，</w:t>
      </w:r>
      <w:r>
        <w:rPr>
          <w:rFonts w:hint="eastAsia" w:ascii="仿宋_GB2312" w:hAnsi="仿宋_GB2312" w:eastAsia="仿宋_GB2312" w:cs="仿宋_GB2312"/>
          <w:sz w:val="32"/>
          <w:szCs w:val="32"/>
          <w:highlight w:val="none"/>
          <w:lang w:eastAsia="zh-CN"/>
        </w:rPr>
        <w:t>完成</w:t>
      </w:r>
      <w:r>
        <w:rPr>
          <w:rFonts w:hint="eastAsia" w:ascii="仿宋_GB2312" w:hAnsi="仿宋_GB2312" w:eastAsia="仿宋_GB2312" w:cs="仿宋_GB2312"/>
          <w:sz w:val="32"/>
          <w:szCs w:val="32"/>
          <w:highlight w:val="none"/>
          <w:lang w:val="en-US" w:eastAsia="zh-CN"/>
        </w:rPr>
        <w:t>调整预算</w:t>
      </w:r>
      <w:r>
        <w:rPr>
          <w:rFonts w:hint="eastAsia" w:ascii="仿宋_GB2312" w:hAnsi="仿宋_GB2312" w:eastAsia="仿宋_GB2312" w:cs="仿宋_GB2312"/>
          <w:sz w:val="32"/>
          <w:szCs w:val="32"/>
          <w:highlight w:val="none"/>
          <w:lang w:eastAsia="zh-CN"/>
        </w:rPr>
        <w:t>的</w:t>
      </w:r>
      <w:r>
        <w:rPr>
          <w:rFonts w:hint="eastAsia" w:ascii="仿宋_GB2312" w:hAnsi="仿宋_GB2312" w:eastAsia="仿宋_GB2312" w:cs="仿宋_GB2312"/>
          <w:sz w:val="32"/>
          <w:szCs w:val="32"/>
          <w:highlight w:val="none"/>
          <w:lang w:val="en-US" w:eastAsia="zh-CN"/>
        </w:rPr>
        <w:t>99.5%。</w:t>
      </w:r>
      <w:r>
        <w:rPr>
          <w:rFonts w:hint="eastAsia" w:ascii="仿宋_GB2312" w:hAnsi="仿宋_GB2312" w:eastAsia="仿宋_GB2312" w:cs="仿宋_GB2312"/>
          <w:sz w:val="32"/>
          <w:szCs w:val="32"/>
          <w:highlight w:val="none"/>
          <w:lang w:eastAsia="zh-CN"/>
        </w:rPr>
        <w:t>主要</w:t>
      </w:r>
      <w:r>
        <w:rPr>
          <w:rFonts w:hint="eastAsia" w:ascii="仿宋_GB2312" w:hAnsi="仿宋_GB2312" w:eastAsia="仿宋_GB2312" w:cs="仿宋_GB2312"/>
          <w:sz w:val="32"/>
          <w:szCs w:val="32"/>
          <w:highlight w:val="none"/>
          <w:lang w:val="en-US" w:eastAsia="zh-CN"/>
        </w:rPr>
        <w:t>用于宅基地、集体建设用地地籍调查和确权登记。</w:t>
      </w:r>
    </w:p>
    <w:p w14:paraId="61A1443A">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outlineLvl w:val="9"/>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住房保障支出2.88万元，</w:t>
      </w:r>
      <w:r>
        <w:rPr>
          <w:rFonts w:hint="eastAsia" w:ascii="仿宋_GB2312" w:hAnsi="仿宋_GB2312" w:eastAsia="仿宋_GB2312" w:cs="仿宋_GB2312"/>
          <w:sz w:val="32"/>
          <w:szCs w:val="32"/>
          <w:highlight w:val="none"/>
          <w:lang w:eastAsia="zh-CN"/>
        </w:rPr>
        <w:t>完成</w:t>
      </w:r>
      <w:r>
        <w:rPr>
          <w:rFonts w:hint="eastAsia" w:ascii="仿宋_GB2312" w:hAnsi="仿宋_GB2312" w:eastAsia="仿宋_GB2312" w:cs="仿宋_GB2312"/>
          <w:sz w:val="32"/>
          <w:szCs w:val="32"/>
          <w:highlight w:val="none"/>
          <w:lang w:val="en-US" w:eastAsia="zh-CN"/>
        </w:rPr>
        <w:t>调整预算</w:t>
      </w:r>
      <w:r>
        <w:rPr>
          <w:rFonts w:hint="eastAsia" w:ascii="仿宋_GB2312" w:hAnsi="仿宋_GB2312" w:eastAsia="仿宋_GB2312" w:cs="仿宋_GB2312"/>
          <w:sz w:val="32"/>
          <w:szCs w:val="32"/>
          <w:highlight w:val="none"/>
          <w:lang w:eastAsia="zh-CN"/>
        </w:rPr>
        <w:t>的</w:t>
      </w:r>
      <w:r>
        <w:rPr>
          <w:rFonts w:hint="eastAsia" w:ascii="仿宋_GB2312" w:hAnsi="仿宋_GB2312" w:eastAsia="仿宋_GB2312" w:cs="仿宋_GB2312"/>
          <w:sz w:val="32"/>
          <w:szCs w:val="32"/>
          <w:highlight w:val="none"/>
          <w:lang w:val="en-US" w:eastAsia="zh-CN"/>
        </w:rPr>
        <w:t>100%。</w:t>
      </w:r>
      <w:r>
        <w:rPr>
          <w:rFonts w:hint="eastAsia" w:ascii="仿宋_GB2312" w:hAnsi="仿宋_GB2312" w:eastAsia="仿宋_GB2312" w:cs="仿宋_GB2312"/>
          <w:sz w:val="32"/>
          <w:szCs w:val="32"/>
          <w:highlight w:val="none"/>
          <w:lang w:eastAsia="zh-CN"/>
        </w:rPr>
        <w:t>主要</w:t>
      </w:r>
      <w:r>
        <w:rPr>
          <w:rFonts w:hint="eastAsia" w:ascii="仿宋_GB2312" w:hAnsi="仿宋_GB2312" w:eastAsia="仿宋_GB2312" w:cs="仿宋_GB2312"/>
          <w:sz w:val="32"/>
          <w:szCs w:val="32"/>
          <w:highlight w:val="none"/>
          <w:lang w:val="en-US" w:eastAsia="zh-CN"/>
        </w:rPr>
        <w:t>用于购房补贴等。</w:t>
      </w:r>
    </w:p>
    <w:p w14:paraId="041EF612">
      <w:pPr>
        <w:keepNext w:val="0"/>
        <w:keepLines w:val="0"/>
        <w:pageBreakBefore w:val="0"/>
        <w:widowControl w:val="0"/>
        <w:kinsoku/>
        <w:overflowPunct/>
        <w:topLinePunct w:val="0"/>
        <w:autoSpaceDE/>
        <w:autoSpaceDN/>
        <w:bidi w:val="0"/>
        <w:adjustRightInd/>
        <w:spacing w:line="560" w:lineRule="exact"/>
        <w:ind w:left="0" w:leftChars="0" w:right="0" w:rightChars="0" w:firstLine="640" w:firstLineChars="200"/>
        <w:jc w:val="left"/>
        <w:textAlignment w:val="auto"/>
        <w:outlineLvl w:val="1"/>
        <w:rPr>
          <w:rFonts w:ascii="楷体_GB2312" w:hAnsi="楷体_GB2312" w:eastAsia="楷体_GB2312" w:cs="楷体_GB2312"/>
          <w:b/>
          <w:bCs/>
          <w:sz w:val="32"/>
          <w:szCs w:val="32"/>
        </w:rPr>
      </w:pPr>
      <w:r>
        <w:rPr>
          <w:rFonts w:hint="eastAsia" w:ascii="楷体_GB2312" w:hAnsi="楷体_GB2312" w:eastAsia="楷体_GB2312" w:cs="楷体_GB2312"/>
          <w:sz w:val="32"/>
          <w:szCs w:val="32"/>
          <w:lang w:eastAsia="zh-CN"/>
        </w:rPr>
        <w:t>（二）镇级政府性基金预算收支决算情况</w:t>
      </w:r>
    </w:p>
    <w:p w14:paraId="2BB845DD">
      <w:pPr>
        <w:keepNext w:val="0"/>
        <w:keepLines w:val="0"/>
        <w:pageBreakBefore w:val="0"/>
        <w:widowControl w:val="0"/>
        <w:kinsoku/>
        <w:overflowPunct/>
        <w:topLinePunct w:val="0"/>
        <w:autoSpaceDE/>
        <w:autoSpaceDN/>
        <w:bidi w:val="0"/>
        <w:adjustRightInd/>
        <w:spacing w:line="560" w:lineRule="exact"/>
        <w:ind w:left="0" w:leftChars="0" w:right="0" w:rightChars="0" w:firstLine="640" w:firstLineChars="200"/>
        <w:textAlignment w:val="auto"/>
        <w:rPr>
          <w:rFonts w:ascii="仿宋_GB2312" w:hAnsi="宋体" w:eastAsia="仿宋_GB2312"/>
          <w:sz w:val="32"/>
          <w:szCs w:val="32"/>
        </w:rPr>
      </w:pPr>
      <w:r>
        <w:rPr>
          <w:rFonts w:hint="eastAsia" w:ascii="仿宋_GB2312" w:hAnsi="宋体" w:eastAsia="仿宋_GB2312"/>
          <w:sz w:val="32"/>
          <w:szCs w:val="32"/>
        </w:rPr>
        <w:t>202</w:t>
      </w:r>
      <w:r>
        <w:rPr>
          <w:rFonts w:hint="eastAsia" w:ascii="仿宋_GB2312" w:hAnsi="宋体" w:eastAsia="仿宋_GB2312"/>
          <w:sz w:val="32"/>
          <w:szCs w:val="32"/>
          <w:lang w:val="en-US" w:eastAsia="zh-CN"/>
        </w:rPr>
        <w:t>4</w:t>
      </w:r>
      <w:r>
        <w:rPr>
          <w:rFonts w:hint="eastAsia" w:ascii="仿宋_GB2312" w:hAnsi="宋体" w:eastAsia="仿宋_GB2312"/>
          <w:sz w:val="32"/>
          <w:szCs w:val="32"/>
        </w:rPr>
        <w:t>年</w:t>
      </w:r>
      <w:r>
        <w:rPr>
          <w:rFonts w:hint="eastAsia" w:ascii="仿宋_GB2312" w:hAnsi="宋体" w:eastAsia="仿宋_GB2312"/>
          <w:sz w:val="32"/>
          <w:szCs w:val="32"/>
          <w:lang w:val="en-US" w:eastAsia="zh-CN"/>
        </w:rPr>
        <w:t>镇级</w:t>
      </w:r>
      <w:r>
        <w:rPr>
          <w:rFonts w:hint="eastAsia" w:ascii="仿宋_GB2312" w:hAnsi="宋体" w:eastAsia="仿宋_GB2312"/>
          <w:sz w:val="32"/>
          <w:szCs w:val="32"/>
        </w:rPr>
        <w:t>政府性基金预算总收入</w:t>
      </w:r>
      <w:r>
        <w:rPr>
          <w:rFonts w:hint="eastAsia" w:ascii="仿宋_GB2312" w:hAnsi="宋体" w:eastAsia="仿宋_GB2312"/>
          <w:sz w:val="32"/>
          <w:szCs w:val="32"/>
          <w:lang w:val="en-US" w:eastAsia="zh-CN"/>
        </w:rPr>
        <w:t>13834.41</w:t>
      </w:r>
      <w:r>
        <w:rPr>
          <w:rFonts w:hint="eastAsia" w:ascii="仿宋_GB2312" w:hAnsi="宋体" w:eastAsia="仿宋_GB2312"/>
          <w:sz w:val="32"/>
          <w:szCs w:val="32"/>
        </w:rPr>
        <w:t>万元</w:t>
      </w:r>
      <w:r>
        <w:rPr>
          <w:rFonts w:hint="eastAsia" w:ascii="仿宋_GB2312" w:hAnsi="宋体" w:eastAsia="仿宋_GB2312"/>
          <w:sz w:val="32"/>
          <w:szCs w:val="32"/>
          <w:lang w:eastAsia="zh-CN"/>
        </w:rPr>
        <w:t>。</w:t>
      </w:r>
      <w:r>
        <w:rPr>
          <w:rFonts w:hint="eastAsia" w:ascii="仿宋_GB2312" w:hAnsi="宋体" w:eastAsia="仿宋_GB2312"/>
          <w:sz w:val="32"/>
          <w:szCs w:val="32"/>
          <w:lang w:val="en-US" w:eastAsia="zh-CN"/>
        </w:rPr>
        <w:t>其中，固定补助90万元，城镇运行管理转移支付3031.5万元，专项转移支付10712.91万元。</w:t>
      </w:r>
    </w:p>
    <w:p w14:paraId="47733980">
      <w:pPr>
        <w:keepNext w:val="0"/>
        <w:keepLines w:val="0"/>
        <w:pageBreakBefore w:val="0"/>
        <w:widowControl w:val="0"/>
        <w:kinsoku/>
        <w:overflowPunct/>
        <w:topLinePunct w:val="0"/>
        <w:autoSpaceDE/>
        <w:autoSpaceDN/>
        <w:bidi w:val="0"/>
        <w:adjustRightInd/>
        <w:spacing w:line="560" w:lineRule="exact"/>
        <w:ind w:left="0" w:leftChars="0" w:right="0" w:rightChars="0" w:firstLine="640" w:firstLineChars="200"/>
        <w:textAlignment w:val="auto"/>
        <w:rPr>
          <w:rFonts w:hint="default" w:ascii="仿宋_GB2312" w:hAnsi="仿宋_GB2312" w:eastAsia="仿宋_GB2312" w:cs="仿宋_GB2312"/>
          <w:sz w:val="32"/>
          <w:szCs w:val="32"/>
          <w:highlight w:val="none"/>
          <w:lang w:val="en-US" w:eastAsia="zh-CN"/>
        </w:rPr>
      </w:pPr>
      <w:r>
        <w:rPr>
          <w:rFonts w:hint="eastAsia" w:ascii="仿宋_GB2312" w:eastAsia="仿宋_GB2312"/>
          <w:sz w:val="32"/>
          <w:szCs w:val="32"/>
        </w:rPr>
        <w:t>202</w:t>
      </w:r>
      <w:r>
        <w:rPr>
          <w:rFonts w:hint="eastAsia" w:ascii="仿宋_GB2312" w:eastAsia="仿宋_GB2312"/>
          <w:sz w:val="32"/>
          <w:szCs w:val="32"/>
          <w:lang w:val="en-US" w:eastAsia="zh-CN"/>
        </w:rPr>
        <w:t>4</w:t>
      </w:r>
      <w:r>
        <w:rPr>
          <w:rFonts w:hint="eastAsia" w:ascii="仿宋_GB2312" w:eastAsia="仿宋_GB2312"/>
          <w:sz w:val="32"/>
          <w:szCs w:val="32"/>
        </w:rPr>
        <w:t>年</w:t>
      </w:r>
      <w:r>
        <w:rPr>
          <w:rFonts w:hint="eastAsia" w:ascii="仿宋_GB2312" w:eastAsia="仿宋_GB2312"/>
          <w:sz w:val="32"/>
          <w:szCs w:val="32"/>
          <w:lang w:val="en-US" w:eastAsia="zh-CN"/>
        </w:rPr>
        <w:t>镇级</w:t>
      </w:r>
      <w:r>
        <w:rPr>
          <w:rFonts w:hint="eastAsia" w:ascii="仿宋_GB2312" w:eastAsia="仿宋_GB2312"/>
          <w:sz w:val="32"/>
          <w:szCs w:val="32"/>
        </w:rPr>
        <w:t>政府性基金预算总支出</w:t>
      </w:r>
      <w:r>
        <w:rPr>
          <w:rFonts w:hint="eastAsia" w:ascii="仿宋_GB2312" w:hAnsi="宋体" w:eastAsia="仿宋_GB2312"/>
          <w:sz w:val="32"/>
          <w:szCs w:val="32"/>
          <w:lang w:val="en-US" w:eastAsia="zh-CN"/>
        </w:rPr>
        <w:t>13834.41</w:t>
      </w:r>
      <w:r>
        <w:rPr>
          <w:rFonts w:hint="eastAsia" w:ascii="仿宋_GB2312" w:eastAsia="仿宋_GB2312"/>
          <w:sz w:val="32"/>
          <w:szCs w:val="32"/>
        </w:rPr>
        <w:t>万元</w:t>
      </w:r>
      <w:r>
        <w:rPr>
          <w:rFonts w:hint="eastAsia" w:ascii="仿宋_GB2312" w:eastAsia="仿宋_GB2312"/>
          <w:sz w:val="32"/>
          <w:szCs w:val="32"/>
          <w:lang w:eastAsia="zh-CN"/>
        </w:rPr>
        <w:t>。</w:t>
      </w:r>
      <w:r>
        <w:rPr>
          <w:rFonts w:hint="eastAsia" w:ascii="仿宋_GB2312" w:hAnsi="仿宋_GB2312" w:eastAsia="仿宋_GB2312" w:cs="仿宋_GB2312"/>
          <w:sz w:val="32"/>
          <w:szCs w:val="32"/>
          <w:highlight w:val="none"/>
          <w:lang w:eastAsia="zh-CN"/>
        </w:rPr>
        <w:t>完成</w:t>
      </w:r>
      <w:r>
        <w:rPr>
          <w:rFonts w:hint="eastAsia" w:ascii="仿宋_GB2312" w:hAnsi="仿宋_GB2312" w:eastAsia="仿宋_GB2312" w:cs="仿宋_GB2312"/>
          <w:sz w:val="32"/>
          <w:szCs w:val="32"/>
          <w:highlight w:val="none"/>
          <w:lang w:val="en-US" w:eastAsia="zh-CN"/>
        </w:rPr>
        <w:t>调整预算</w:t>
      </w:r>
      <w:r>
        <w:rPr>
          <w:rFonts w:hint="eastAsia" w:ascii="仿宋_GB2312" w:hAnsi="仿宋_GB2312" w:eastAsia="仿宋_GB2312" w:cs="仿宋_GB2312"/>
          <w:sz w:val="32"/>
          <w:szCs w:val="32"/>
          <w:highlight w:val="none"/>
          <w:lang w:eastAsia="zh-CN"/>
        </w:rPr>
        <w:t>的</w:t>
      </w:r>
      <w:r>
        <w:rPr>
          <w:rFonts w:hint="eastAsia" w:ascii="仿宋_GB2312" w:hAnsi="仿宋_GB2312" w:eastAsia="仿宋_GB2312" w:cs="仿宋_GB2312"/>
          <w:sz w:val="32"/>
          <w:szCs w:val="32"/>
          <w:highlight w:val="none"/>
          <w:lang w:val="en-US" w:eastAsia="zh-CN"/>
        </w:rPr>
        <w:t>134.71%。</w:t>
      </w:r>
      <w:r>
        <w:rPr>
          <w:rFonts w:hint="eastAsia" w:ascii="仿宋_GB2312" w:hAnsi="宋体" w:eastAsia="仿宋_GB2312" w:cs="黑体"/>
          <w:kern w:val="2"/>
          <w:sz w:val="32"/>
          <w:szCs w:val="32"/>
          <w:lang w:val="en-US" w:eastAsia="zh-CN" w:bidi="ar-SA"/>
        </w:rPr>
        <w:t>其中：</w:t>
      </w:r>
      <w:r>
        <w:rPr>
          <w:rFonts w:hint="eastAsia" w:ascii="仿宋_GB2312" w:eastAsia="仿宋_GB2312"/>
          <w:sz w:val="32"/>
          <w:szCs w:val="32"/>
          <w:lang w:val="en-US" w:eastAsia="zh-CN"/>
        </w:rPr>
        <w:t>城乡社区支出13833.93万元，资源勘探工业信息等支出0.48万元</w:t>
      </w:r>
      <w:r>
        <w:rPr>
          <w:rFonts w:hint="eastAsia" w:ascii="仿宋_GB2312" w:hAnsi="宋体" w:eastAsia="仿宋_GB2312" w:cs="黑体"/>
          <w:kern w:val="2"/>
          <w:sz w:val="32"/>
          <w:szCs w:val="32"/>
          <w:lang w:val="en-US" w:eastAsia="zh-CN" w:bidi="ar-SA"/>
        </w:rPr>
        <w:t>。</w:t>
      </w:r>
      <w:r>
        <w:rPr>
          <w:rFonts w:hint="eastAsia" w:ascii="仿宋_GB2312" w:hAnsi="仿宋_GB2312" w:eastAsia="仿宋_GB2312" w:cs="仿宋_GB2312"/>
          <w:sz w:val="32"/>
          <w:szCs w:val="32"/>
          <w:highlight w:val="none"/>
          <w:lang w:eastAsia="zh-CN"/>
        </w:rPr>
        <w:t>主要</w:t>
      </w:r>
      <w:r>
        <w:rPr>
          <w:rFonts w:hint="eastAsia" w:ascii="仿宋_GB2312" w:hAnsi="仿宋_GB2312" w:eastAsia="仿宋_GB2312" w:cs="仿宋_GB2312"/>
          <w:sz w:val="32"/>
          <w:szCs w:val="32"/>
          <w:highlight w:val="none"/>
          <w:lang w:val="en-US" w:eastAsia="zh-CN"/>
        </w:rPr>
        <w:t>项目为</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lang w:val="en-US" w:eastAsia="zh-CN"/>
        </w:rPr>
        <w:t>卫生院消隐改造工程、乡村公路大修、第一中心小学分校项目</w:t>
      </w:r>
      <w:r>
        <w:rPr>
          <w:rFonts w:hint="eastAsia" w:ascii="仿宋_GB2312" w:hAnsi="仿宋_GB2312" w:eastAsia="仿宋_GB2312" w:cs="仿宋_GB2312"/>
          <w:sz w:val="32"/>
          <w:szCs w:val="32"/>
          <w:highlight w:val="none"/>
          <w:lang w:eastAsia="zh-CN"/>
        </w:rPr>
        <w:t>等。</w:t>
      </w:r>
      <w:r>
        <w:rPr>
          <w:rFonts w:hint="eastAsia" w:ascii="仿宋_GB2312" w:hAnsi="仿宋_GB2312" w:eastAsia="仿宋_GB2312" w:cs="仿宋_GB2312"/>
          <w:sz w:val="32"/>
          <w:szCs w:val="32"/>
          <w:highlight w:val="none"/>
          <w:lang w:val="en-US" w:eastAsia="zh-CN"/>
        </w:rPr>
        <w:t>政府性基金预算收支平衡。</w:t>
      </w:r>
    </w:p>
    <w:p w14:paraId="4E7C248D">
      <w:pPr>
        <w:keepNext w:val="0"/>
        <w:keepLines w:val="0"/>
        <w:pageBreakBefore w:val="0"/>
        <w:widowControl w:val="0"/>
        <w:numPr>
          <w:ilvl w:val="0"/>
          <w:numId w:val="0"/>
        </w:numPr>
        <w:kinsoku/>
        <w:wordWrap/>
        <w:overflowPunct/>
        <w:topLinePunct w:val="0"/>
        <w:autoSpaceDE/>
        <w:autoSpaceDN/>
        <w:bidi w:val="0"/>
        <w:adjustRightInd/>
        <w:spacing w:line="560" w:lineRule="exact"/>
        <w:ind w:left="0" w:leftChars="0" w:right="0" w:rightChars="0" w:firstLine="640" w:firstLineChars="200"/>
        <w:textAlignment w:val="auto"/>
        <w:outlineLvl w:val="1"/>
        <w:rPr>
          <w:rFonts w:hint="eastAsia" w:ascii="楷体_GB2312" w:hAnsi="楷体_GB2312" w:eastAsia="楷体_GB2312" w:cs="楷体_GB2312"/>
          <w:kern w:val="2"/>
          <w:sz w:val="32"/>
          <w:szCs w:val="32"/>
          <w:lang w:val="en-US" w:eastAsia="zh-CN" w:bidi="ar-SA"/>
        </w:rPr>
      </w:pPr>
      <w:r>
        <w:rPr>
          <w:rFonts w:hint="eastAsia" w:ascii="楷体_GB2312" w:hAnsi="楷体_GB2312" w:eastAsia="楷体_GB2312" w:cs="楷体_GB2312"/>
          <w:kern w:val="2"/>
          <w:sz w:val="32"/>
          <w:szCs w:val="32"/>
          <w:lang w:val="en-US" w:eastAsia="zh-CN" w:bidi="ar-SA"/>
        </w:rPr>
        <w:t>（三）其他重要事项的情况说明</w:t>
      </w:r>
    </w:p>
    <w:p w14:paraId="79012655">
      <w:pPr>
        <w:keepNext w:val="0"/>
        <w:keepLines w:val="0"/>
        <w:pageBreakBefore w:val="0"/>
        <w:widowControl w:val="0"/>
        <w:kinsoku/>
        <w:overflowPunct/>
        <w:topLinePunct w:val="0"/>
        <w:autoSpaceDE/>
        <w:autoSpaceDN/>
        <w:bidi w:val="0"/>
        <w:adjustRightInd/>
        <w:spacing w:line="560" w:lineRule="exact"/>
        <w:ind w:left="0" w:leftChars="0" w:right="0" w:rightChars="0" w:firstLine="640" w:firstLineChars="200"/>
        <w:textAlignment w:val="auto"/>
        <w:outlineLvl w:val="2"/>
        <w:rPr>
          <w:rFonts w:hint="eastAsia" w:ascii="楷体_GB2312" w:hAnsi="楷体_GB2312" w:eastAsia="楷体_GB2312" w:cs="楷体_GB2312"/>
          <w:b/>
          <w:bCs/>
          <w:sz w:val="32"/>
          <w:szCs w:val="32"/>
          <w:lang w:eastAsia="zh-CN"/>
        </w:rPr>
      </w:pPr>
      <w:r>
        <w:rPr>
          <w:rFonts w:hint="eastAsia" w:ascii="仿宋_GB2312" w:eastAsia="仿宋_GB2312"/>
          <w:sz w:val="32"/>
          <w:szCs w:val="32"/>
          <w:lang w:val="en-US" w:eastAsia="zh-CN"/>
        </w:rPr>
        <w:t>1.</w:t>
      </w:r>
      <w:r>
        <w:rPr>
          <w:rFonts w:hint="eastAsia" w:ascii="仿宋_GB2312" w:hAnsi="仿宋_GB2312" w:eastAsia="仿宋_GB2312" w:cs="仿宋_GB2312"/>
          <w:kern w:val="2"/>
          <w:sz w:val="32"/>
          <w:szCs w:val="32"/>
          <w:lang w:val="en-US" w:eastAsia="zh-CN" w:bidi="ar-SA"/>
        </w:rPr>
        <w:t>“三公”经费支出情况</w:t>
      </w:r>
      <w:r>
        <w:rPr>
          <w:rFonts w:hint="eastAsia" w:ascii="仿宋_GB2312" w:eastAsia="仿宋_GB2312"/>
          <w:sz w:val="32"/>
          <w:szCs w:val="32"/>
        </w:rPr>
        <w:t>　</w:t>
      </w:r>
    </w:p>
    <w:p w14:paraId="1B440171">
      <w:pPr>
        <w:keepNext w:val="0"/>
        <w:keepLines w:val="0"/>
        <w:pageBreakBefore w:val="0"/>
        <w:widowControl w:val="0"/>
        <w:kinsoku/>
        <w:overflowPunct/>
        <w:topLinePunct w:val="0"/>
        <w:autoSpaceDE/>
        <w:autoSpaceDN/>
        <w:bidi w:val="0"/>
        <w:adjustRightInd/>
        <w:spacing w:line="560" w:lineRule="exact"/>
        <w:ind w:left="0" w:leftChars="0" w:right="0" w:rightChars="0" w:firstLine="640" w:firstLineChars="200"/>
        <w:textAlignment w:val="auto"/>
        <w:rPr>
          <w:rFonts w:hint="eastAsia" w:ascii="仿宋_GB2312" w:eastAsia="仿宋_GB2312"/>
          <w:sz w:val="32"/>
          <w:szCs w:val="32"/>
        </w:rPr>
      </w:pPr>
      <w:r>
        <w:rPr>
          <w:rFonts w:hint="eastAsia" w:ascii="仿宋_GB2312" w:eastAsia="仿宋_GB2312"/>
          <w:sz w:val="32"/>
          <w:szCs w:val="32"/>
        </w:rPr>
        <w:t>202</w:t>
      </w:r>
      <w:r>
        <w:rPr>
          <w:rFonts w:hint="eastAsia" w:ascii="仿宋_GB2312" w:eastAsia="仿宋_GB2312"/>
          <w:sz w:val="32"/>
          <w:szCs w:val="32"/>
          <w:lang w:val="en-US" w:eastAsia="zh-CN"/>
        </w:rPr>
        <w:t>4</w:t>
      </w:r>
      <w:r>
        <w:rPr>
          <w:rFonts w:hint="eastAsia" w:ascii="仿宋_GB2312" w:eastAsia="仿宋_GB2312"/>
          <w:sz w:val="32"/>
          <w:szCs w:val="32"/>
        </w:rPr>
        <w:t>年“三公”经费财政拨款支出合计</w:t>
      </w:r>
      <w:r>
        <w:rPr>
          <w:rFonts w:hint="eastAsia" w:ascii="仿宋_GB2312" w:eastAsia="仿宋_GB2312"/>
          <w:sz w:val="32"/>
          <w:szCs w:val="32"/>
          <w:lang w:val="en-US" w:eastAsia="zh-CN"/>
        </w:rPr>
        <w:t>5.06</w:t>
      </w:r>
      <w:r>
        <w:rPr>
          <w:rFonts w:hint="eastAsia" w:ascii="仿宋_GB2312" w:eastAsia="仿宋_GB2312"/>
          <w:sz w:val="32"/>
          <w:szCs w:val="32"/>
        </w:rPr>
        <w:t>万元，</w:t>
      </w:r>
      <w:r>
        <w:rPr>
          <w:rFonts w:hint="eastAsia" w:ascii="仿宋_GB2312" w:eastAsia="仿宋_GB2312"/>
          <w:sz w:val="32"/>
          <w:szCs w:val="32"/>
          <w:lang w:val="en-US" w:eastAsia="zh-CN"/>
        </w:rPr>
        <w:t>较上年决算5.34</w:t>
      </w:r>
      <w:r>
        <w:rPr>
          <w:rFonts w:hint="eastAsia" w:ascii="仿宋_GB2312" w:eastAsia="仿宋_GB2312"/>
          <w:sz w:val="32"/>
          <w:szCs w:val="32"/>
        </w:rPr>
        <w:t>万元减少</w:t>
      </w:r>
      <w:r>
        <w:rPr>
          <w:rFonts w:hint="eastAsia" w:ascii="仿宋_GB2312" w:eastAsia="仿宋_GB2312"/>
          <w:sz w:val="32"/>
          <w:szCs w:val="32"/>
          <w:lang w:val="en-US" w:eastAsia="zh-CN"/>
        </w:rPr>
        <w:t>0.28</w:t>
      </w:r>
      <w:r>
        <w:rPr>
          <w:rFonts w:hint="eastAsia" w:ascii="仿宋_GB2312" w:eastAsia="仿宋_GB2312"/>
          <w:sz w:val="32"/>
          <w:szCs w:val="32"/>
        </w:rPr>
        <w:t>万元，下降</w:t>
      </w:r>
      <w:r>
        <w:rPr>
          <w:rFonts w:hint="eastAsia" w:ascii="仿宋_GB2312" w:eastAsia="仿宋_GB2312"/>
          <w:sz w:val="32"/>
          <w:szCs w:val="32"/>
          <w:lang w:val="en-US" w:eastAsia="zh-CN"/>
        </w:rPr>
        <w:t>5.24</w:t>
      </w:r>
      <w:r>
        <w:rPr>
          <w:rFonts w:hint="eastAsia" w:ascii="仿宋_GB2312" w:eastAsia="仿宋_GB2312"/>
          <w:sz w:val="32"/>
          <w:szCs w:val="32"/>
        </w:rPr>
        <w:t>%</w:t>
      </w:r>
      <w:r>
        <w:rPr>
          <w:rFonts w:hint="eastAsia" w:ascii="仿宋_GB2312" w:eastAsia="仿宋_GB2312"/>
          <w:sz w:val="32"/>
          <w:szCs w:val="32"/>
          <w:lang w:eastAsia="zh-CN"/>
        </w:rPr>
        <w:t>；</w:t>
      </w:r>
      <w:r>
        <w:rPr>
          <w:rFonts w:hint="eastAsia" w:ascii="仿宋_GB2312" w:eastAsia="仿宋_GB2312"/>
          <w:sz w:val="32"/>
          <w:szCs w:val="32"/>
          <w:lang w:val="en-US" w:eastAsia="zh-CN"/>
        </w:rPr>
        <w:t>较年初预算18.9万元减少13.84万元，下降73.23%。</w:t>
      </w:r>
      <w:r>
        <w:rPr>
          <w:rFonts w:hint="eastAsia" w:ascii="仿宋_GB2312" w:eastAsia="仿宋_GB2312"/>
          <w:sz w:val="32"/>
          <w:szCs w:val="32"/>
        </w:rPr>
        <w:t>其中，因公出国（境）费0.00</w:t>
      </w:r>
      <w:r>
        <w:rPr>
          <w:rFonts w:hint="eastAsia" w:ascii="仿宋_GB2312" w:eastAsia="仿宋_GB2312"/>
          <w:sz w:val="32"/>
          <w:szCs w:val="32"/>
          <w:lang w:val="en-US" w:eastAsia="zh-CN"/>
        </w:rPr>
        <w:t>万</w:t>
      </w:r>
      <w:r>
        <w:rPr>
          <w:rFonts w:hint="eastAsia" w:ascii="仿宋_GB2312" w:eastAsia="仿宋_GB2312"/>
          <w:sz w:val="32"/>
          <w:szCs w:val="32"/>
        </w:rPr>
        <w:t>元</w:t>
      </w:r>
      <w:r>
        <w:rPr>
          <w:rFonts w:hint="eastAsia" w:ascii="仿宋_GB2312" w:eastAsia="仿宋_GB2312"/>
          <w:sz w:val="32"/>
          <w:szCs w:val="32"/>
          <w:lang w:eastAsia="zh-CN"/>
        </w:rPr>
        <w:t>，</w:t>
      </w:r>
      <w:r>
        <w:rPr>
          <w:rFonts w:hint="eastAsia" w:ascii="仿宋_GB2312" w:eastAsia="仿宋_GB2312"/>
          <w:sz w:val="32"/>
          <w:szCs w:val="32"/>
          <w:lang w:val="en-US" w:eastAsia="zh-CN"/>
        </w:rPr>
        <w:t>年初未安排预算</w:t>
      </w:r>
      <w:r>
        <w:rPr>
          <w:rFonts w:hint="eastAsia" w:ascii="仿宋_GB2312" w:eastAsia="仿宋_GB2312"/>
          <w:sz w:val="32"/>
          <w:szCs w:val="32"/>
        </w:rPr>
        <w:t>；公务接待费0.00</w:t>
      </w:r>
      <w:r>
        <w:rPr>
          <w:rFonts w:hint="eastAsia" w:ascii="仿宋_GB2312" w:eastAsia="仿宋_GB2312"/>
          <w:sz w:val="32"/>
          <w:szCs w:val="32"/>
          <w:lang w:val="en-US" w:eastAsia="zh-CN"/>
        </w:rPr>
        <w:t>万</w:t>
      </w:r>
      <w:r>
        <w:rPr>
          <w:rFonts w:hint="eastAsia" w:ascii="仿宋_GB2312" w:eastAsia="仿宋_GB2312"/>
          <w:sz w:val="32"/>
          <w:szCs w:val="32"/>
        </w:rPr>
        <w:t>元</w:t>
      </w:r>
      <w:r>
        <w:rPr>
          <w:rFonts w:hint="eastAsia" w:ascii="仿宋_GB2312" w:eastAsia="仿宋_GB2312"/>
          <w:sz w:val="32"/>
          <w:szCs w:val="32"/>
          <w:lang w:eastAsia="zh-CN"/>
        </w:rPr>
        <w:t>，</w:t>
      </w:r>
      <w:r>
        <w:rPr>
          <w:rFonts w:hint="eastAsia" w:ascii="仿宋_GB2312" w:eastAsia="仿宋_GB2312"/>
          <w:sz w:val="32"/>
          <w:szCs w:val="32"/>
          <w:lang w:val="en-US" w:eastAsia="zh-CN"/>
        </w:rPr>
        <w:t>年初未安排预算</w:t>
      </w:r>
      <w:r>
        <w:rPr>
          <w:rFonts w:hint="eastAsia" w:ascii="仿宋_GB2312" w:eastAsia="仿宋_GB2312"/>
          <w:sz w:val="32"/>
          <w:szCs w:val="32"/>
        </w:rPr>
        <w:t>；公务用车购置</w:t>
      </w:r>
      <w:r>
        <w:rPr>
          <w:rFonts w:hint="eastAsia" w:ascii="仿宋_GB2312" w:eastAsia="仿宋_GB2312"/>
          <w:sz w:val="32"/>
          <w:szCs w:val="32"/>
          <w:lang w:val="en-US" w:eastAsia="zh-CN"/>
        </w:rPr>
        <w:t>0.00万元，年初未安排预算；公务用车</w:t>
      </w:r>
      <w:r>
        <w:rPr>
          <w:rFonts w:hint="eastAsia" w:ascii="仿宋_GB2312" w:eastAsia="仿宋_GB2312"/>
          <w:sz w:val="32"/>
          <w:szCs w:val="32"/>
        </w:rPr>
        <w:t>运行维护费</w:t>
      </w:r>
      <w:r>
        <w:rPr>
          <w:rFonts w:hint="eastAsia" w:ascii="仿宋_GB2312" w:eastAsia="仿宋_GB2312"/>
          <w:sz w:val="32"/>
          <w:szCs w:val="32"/>
          <w:lang w:val="en-US" w:eastAsia="zh-CN"/>
        </w:rPr>
        <w:t>5.06</w:t>
      </w:r>
      <w:r>
        <w:rPr>
          <w:rFonts w:hint="eastAsia" w:ascii="仿宋_GB2312" w:eastAsia="仿宋_GB2312"/>
          <w:sz w:val="32"/>
          <w:szCs w:val="32"/>
        </w:rPr>
        <w:t>万元</w:t>
      </w:r>
      <w:r>
        <w:rPr>
          <w:rFonts w:hint="eastAsia" w:ascii="仿宋_GB2312" w:eastAsia="仿宋_GB2312"/>
          <w:sz w:val="32"/>
          <w:szCs w:val="32"/>
          <w:lang w:eastAsia="zh-CN"/>
        </w:rPr>
        <w:t>，</w:t>
      </w:r>
      <w:r>
        <w:rPr>
          <w:rFonts w:hint="eastAsia" w:ascii="仿宋_GB2312" w:eastAsia="仿宋_GB2312"/>
          <w:sz w:val="32"/>
          <w:szCs w:val="32"/>
          <w:lang w:val="en-US" w:eastAsia="zh-CN"/>
        </w:rPr>
        <w:t>比年初预算数5.34万元减少0.28万元，下降5.24%，主要原因是加强公务用车日常使用管理，整体费用下降</w:t>
      </w:r>
      <w:r>
        <w:rPr>
          <w:rFonts w:hint="eastAsia" w:ascii="仿宋_GB2312" w:eastAsia="仿宋_GB2312"/>
          <w:sz w:val="32"/>
          <w:szCs w:val="32"/>
        </w:rPr>
        <w:t>。</w:t>
      </w:r>
    </w:p>
    <w:p w14:paraId="116ACF29">
      <w:pPr>
        <w:pStyle w:val="17"/>
        <w:keepNext w:val="0"/>
        <w:keepLines w:val="0"/>
        <w:pageBreakBefore w:val="0"/>
        <w:widowControl w:val="0"/>
        <w:numPr>
          <w:ilvl w:val="0"/>
          <w:numId w:val="0"/>
        </w:numPr>
        <w:kinsoku/>
        <w:overflowPunct/>
        <w:topLinePunct w:val="0"/>
        <w:autoSpaceDE/>
        <w:autoSpaceDN/>
        <w:bidi w:val="0"/>
        <w:adjustRightInd/>
        <w:spacing w:line="560" w:lineRule="exact"/>
        <w:ind w:left="0" w:leftChars="0" w:right="0" w:rightChars="0" w:firstLine="640" w:firstLineChars="200"/>
        <w:textAlignment w:val="auto"/>
        <w:outlineLvl w:val="2"/>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2.预备费支出情况</w:t>
      </w:r>
    </w:p>
    <w:p w14:paraId="777505FA">
      <w:pPr>
        <w:pStyle w:val="17"/>
        <w:keepNext w:val="0"/>
        <w:keepLines w:val="0"/>
        <w:pageBreakBefore w:val="0"/>
        <w:widowControl w:val="0"/>
        <w:numPr>
          <w:ilvl w:val="0"/>
          <w:numId w:val="0"/>
        </w:numPr>
        <w:kinsoku/>
        <w:overflowPunct/>
        <w:topLinePunct w:val="0"/>
        <w:autoSpaceDE/>
        <w:autoSpaceDN/>
        <w:bidi w:val="0"/>
        <w:adjustRightInd/>
        <w:spacing w:line="560" w:lineRule="exact"/>
        <w:ind w:left="0" w:leftChars="0" w:right="0" w:rightChars="0" w:firstLine="640" w:firstLineChars="200"/>
        <w:textAlignment w:val="auto"/>
        <w:rPr>
          <w:rFonts w:hint="eastAsia" w:ascii="仿宋_GB2312" w:hAnsi="Calibri" w:eastAsia="仿宋_GB2312" w:cs="黑体"/>
          <w:kern w:val="2"/>
          <w:sz w:val="32"/>
          <w:szCs w:val="32"/>
          <w:lang w:val="en-US" w:eastAsia="zh-CN" w:bidi="ar-SA"/>
        </w:rPr>
      </w:pPr>
      <w:r>
        <w:rPr>
          <w:rFonts w:hint="eastAsia" w:ascii="仿宋_GB2312" w:hAnsi="Calibri" w:eastAsia="仿宋_GB2312" w:cs="黑体"/>
          <w:kern w:val="2"/>
          <w:sz w:val="32"/>
          <w:szCs w:val="32"/>
          <w:lang w:val="en-US" w:eastAsia="zh-CN" w:bidi="ar-SA"/>
        </w:rPr>
        <w:t>2024年镇级年初预算预备费1000万元，</w:t>
      </w:r>
      <w:r>
        <w:rPr>
          <w:rFonts w:hint="eastAsia" w:ascii="仿宋_GB2312" w:hAnsi="仿宋_GB2312" w:eastAsia="仿宋_GB2312" w:cs="仿宋_GB2312"/>
          <w:sz w:val="32"/>
          <w:szCs w:val="32"/>
          <w:lang w:val="en-US" w:eastAsia="zh-CN"/>
        </w:rPr>
        <w:t>预算执行中转列相关科目，</w:t>
      </w:r>
      <w:r>
        <w:rPr>
          <w:rFonts w:hint="eastAsia" w:ascii="仿宋_GB2312" w:hAnsi="Calibri" w:eastAsia="仿宋_GB2312" w:cs="黑体"/>
          <w:kern w:val="2"/>
          <w:sz w:val="32"/>
          <w:szCs w:val="32"/>
          <w:lang w:val="en-US" w:eastAsia="zh-CN" w:bidi="ar-SA"/>
        </w:rPr>
        <w:t>主要用于村级年终兑现资金。</w:t>
      </w:r>
    </w:p>
    <w:p w14:paraId="6CD77866">
      <w:pPr>
        <w:pStyle w:val="9"/>
        <w:keepNext w:val="0"/>
        <w:keepLines w:val="0"/>
        <w:pageBreakBefore w:val="0"/>
        <w:widowControl w:val="0"/>
        <w:numPr>
          <w:ilvl w:val="0"/>
          <w:numId w:val="0"/>
        </w:numPr>
        <w:kinsoku/>
        <w:wordWrap/>
        <w:overflowPunct/>
        <w:topLinePunct w:val="0"/>
        <w:autoSpaceDE/>
        <w:autoSpaceDN/>
        <w:bidi w:val="0"/>
        <w:adjustRightInd/>
        <w:spacing w:line="560" w:lineRule="exact"/>
        <w:ind w:left="0" w:leftChars="0" w:right="0" w:rightChars="0" w:firstLine="640" w:firstLineChars="200"/>
        <w:textAlignment w:val="auto"/>
        <w:outlineLvl w:val="2"/>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3.转移支付资金情况</w:t>
      </w:r>
    </w:p>
    <w:p w14:paraId="312B2BB8">
      <w:pPr>
        <w:keepNext w:val="0"/>
        <w:keepLines w:val="0"/>
        <w:pageBreakBefore w:val="0"/>
        <w:widowControl w:val="0"/>
        <w:numPr>
          <w:ilvl w:val="0"/>
          <w:numId w:val="0"/>
        </w:numPr>
        <w:kinsoku/>
        <w:wordWrap/>
        <w:overflowPunct/>
        <w:topLinePunct w:val="0"/>
        <w:autoSpaceDE/>
        <w:autoSpaceDN/>
        <w:bidi w:val="0"/>
        <w:adjustRightInd/>
        <w:spacing w:line="560" w:lineRule="exact"/>
        <w:ind w:left="0" w:leftChars="0" w:right="0" w:rightChars="0" w:firstLine="640" w:firstLineChars="200"/>
        <w:textAlignment w:val="auto"/>
        <w:rPr>
          <w:rFonts w:hint="default"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2024年上级转移支付资金69243.21万元，其中：一般性转移支付33950.98万元；一般公共预算专项转移支付</w:t>
      </w:r>
      <w:r>
        <w:rPr>
          <w:rFonts w:hint="eastAsia" w:ascii="仿宋_GB2312" w:hAnsi="宋体" w:eastAsia="仿宋_GB2312"/>
          <w:sz w:val="32"/>
          <w:szCs w:val="32"/>
          <w:highlight w:val="none"/>
          <w:lang w:val="en-US" w:eastAsia="zh-CN"/>
        </w:rPr>
        <w:t>21457.82</w:t>
      </w:r>
      <w:r>
        <w:rPr>
          <w:rFonts w:hint="eastAsia" w:ascii="仿宋_GB2312" w:hAnsi="仿宋_GB2312" w:eastAsia="仿宋_GB2312" w:cs="仿宋_GB2312"/>
          <w:sz w:val="32"/>
          <w:szCs w:val="32"/>
          <w:highlight w:val="none"/>
          <w:lang w:val="en-US" w:eastAsia="zh-CN"/>
        </w:rPr>
        <w:t>万元；政府性基金转移支付</w:t>
      </w:r>
      <w:r>
        <w:rPr>
          <w:rFonts w:hint="eastAsia" w:ascii="仿宋_GB2312" w:hAnsi="宋体" w:eastAsia="仿宋_GB2312"/>
          <w:sz w:val="32"/>
          <w:szCs w:val="32"/>
          <w:highlight w:val="none"/>
          <w:lang w:val="en-US" w:eastAsia="zh-CN"/>
        </w:rPr>
        <w:t>3121.5</w:t>
      </w:r>
      <w:r>
        <w:rPr>
          <w:rFonts w:hint="eastAsia" w:ascii="仿宋_GB2312" w:hAnsi="仿宋_GB2312" w:eastAsia="仿宋_GB2312" w:cs="仿宋_GB2312"/>
          <w:sz w:val="32"/>
          <w:szCs w:val="32"/>
          <w:highlight w:val="none"/>
          <w:lang w:val="en-US" w:eastAsia="zh-CN"/>
        </w:rPr>
        <w:t>万元；政府性基金专项转移支付</w:t>
      </w:r>
      <w:r>
        <w:rPr>
          <w:rFonts w:hint="eastAsia" w:ascii="仿宋_GB2312" w:hAnsi="宋体" w:eastAsia="仿宋_GB2312"/>
          <w:sz w:val="32"/>
          <w:szCs w:val="32"/>
          <w:highlight w:val="none"/>
          <w:lang w:val="en-US" w:eastAsia="zh-CN"/>
        </w:rPr>
        <w:t>10712.91</w:t>
      </w:r>
      <w:r>
        <w:rPr>
          <w:rFonts w:hint="eastAsia" w:ascii="仿宋_GB2312" w:hAnsi="仿宋_GB2312" w:eastAsia="仿宋_GB2312" w:cs="仿宋_GB2312"/>
          <w:sz w:val="32"/>
          <w:szCs w:val="32"/>
          <w:highlight w:val="none"/>
          <w:lang w:val="en-US" w:eastAsia="zh-CN"/>
        </w:rPr>
        <w:t>万元。无对下级政府税收返还和一般性转移支出情况。</w:t>
      </w:r>
    </w:p>
    <w:p w14:paraId="49D68F4E">
      <w:pPr>
        <w:pStyle w:val="9"/>
        <w:keepNext w:val="0"/>
        <w:keepLines w:val="0"/>
        <w:pageBreakBefore w:val="0"/>
        <w:widowControl w:val="0"/>
        <w:numPr>
          <w:ilvl w:val="0"/>
          <w:numId w:val="0"/>
        </w:numPr>
        <w:kinsoku/>
        <w:wordWrap/>
        <w:overflowPunct/>
        <w:topLinePunct w:val="0"/>
        <w:autoSpaceDE/>
        <w:autoSpaceDN/>
        <w:bidi w:val="0"/>
        <w:adjustRightInd/>
        <w:spacing w:line="560" w:lineRule="exact"/>
        <w:ind w:left="0" w:leftChars="0" w:right="0" w:rightChars="0" w:firstLine="640" w:firstLineChars="200"/>
        <w:textAlignment w:val="auto"/>
        <w:outlineLvl w:val="2"/>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4.上年结转资金使用情况</w:t>
      </w:r>
    </w:p>
    <w:p w14:paraId="6ADF2465">
      <w:pPr>
        <w:keepNext w:val="0"/>
        <w:keepLines w:val="0"/>
        <w:pageBreakBefore w:val="0"/>
        <w:widowControl w:val="0"/>
        <w:numPr>
          <w:ilvl w:val="0"/>
          <w:numId w:val="0"/>
        </w:numPr>
        <w:kinsoku/>
        <w:wordWrap/>
        <w:overflowPunct/>
        <w:topLinePunct w:val="0"/>
        <w:autoSpaceDE/>
        <w:autoSpaceDN/>
        <w:bidi w:val="0"/>
        <w:adjustRightInd/>
        <w:spacing w:line="560" w:lineRule="exact"/>
        <w:ind w:left="0" w:leftChars="0" w:right="0" w:rightChars="0" w:firstLine="640" w:firstLineChars="20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2023年结转资金</w:t>
      </w:r>
      <w:r>
        <w:rPr>
          <w:rFonts w:hint="eastAsia" w:ascii="仿宋_GB2312" w:hAnsi="宋体" w:eastAsia="仿宋_GB2312"/>
          <w:sz w:val="32"/>
          <w:szCs w:val="32"/>
          <w:highlight w:val="none"/>
          <w:lang w:val="en-US" w:eastAsia="zh-CN"/>
        </w:rPr>
        <w:t>2312.96</w:t>
      </w:r>
      <w:r>
        <w:rPr>
          <w:rFonts w:hint="eastAsia" w:ascii="仿宋_GB2312" w:hAnsi="仿宋_GB2312" w:eastAsia="仿宋_GB2312" w:cs="仿宋_GB2312"/>
          <w:sz w:val="32"/>
          <w:szCs w:val="32"/>
          <w:highlight w:val="none"/>
          <w:lang w:val="en-US" w:eastAsia="zh-CN"/>
        </w:rPr>
        <w:t>万元，预算执行中转列相关科目，主要用于财源建设支出。</w:t>
      </w:r>
    </w:p>
    <w:p w14:paraId="0C9718CA">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right="0" w:rightChars="0" w:firstLine="640" w:firstLineChars="20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5.举借政府债务情况</w:t>
      </w:r>
    </w:p>
    <w:p w14:paraId="4C6455AF">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right="0" w:rightChars="0" w:firstLine="640" w:firstLineChars="200"/>
        <w:textAlignment w:val="auto"/>
        <w:rPr>
          <w:rFonts w:hint="default"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本单位不存在举借债务情况。</w:t>
      </w:r>
    </w:p>
    <w:p w14:paraId="5062DA59">
      <w:pPr>
        <w:pStyle w:val="4"/>
        <w:keepNext w:val="0"/>
        <w:keepLines w:val="0"/>
        <w:pageBreakBefore w:val="0"/>
        <w:widowControl w:val="0"/>
        <w:kinsoku/>
        <w:overflowPunct/>
        <w:topLinePunct w:val="0"/>
        <w:autoSpaceDE/>
        <w:autoSpaceDN/>
        <w:bidi w:val="0"/>
        <w:adjustRightInd/>
        <w:spacing w:line="560" w:lineRule="exact"/>
        <w:ind w:left="0" w:leftChars="0" w:right="0" w:rightChars="0" w:firstLine="640" w:firstLineChars="200"/>
        <w:textAlignment w:val="auto"/>
        <w:outlineLvl w:val="0"/>
        <w:rPr>
          <w:rFonts w:hint="eastAsia" w:ascii="黑体" w:hAnsi="黑体" w:eastAsia="黑体" w:cs="黑体"/>
          <w:kern w:val="2"/>
          <w:sz w:val="32"/>
          <w:szCs w:val="32"/>
          <w:highlight w:val="none"/>
          <w:lang w:val="en-US" w:eastAsia="zh-CN" w:bidi="ar-SA"/>
        </w:rPr>
      </w:pPr>
      <w:r>
        <w:rPr>
          <w:rFonts w:hint="eastAsia" w:ascii="黑体" w:hAnsi="黑体" w:eastAsia="黑体" w:cs="黑体"/>
          <w:b w:val="0"/>
          <w:bCs/>
          <w:spacing w:val="0"/>
          <w:sz w:val="32"/>
          <w:szCs w:val="32"/>
          <w:highlight w:val="none"/>
        </w:rPr>
        <w:t>二、</w:t>
      </w:r>
      <w:r>
        <w:rPr>
          <w:rFonts w:hint="eastAsia" w:ascii="黑体" w:hAnsi="黑体" w:eastAsia="黑体" w:cs="黑体"/>
          <w:b w:val="0"/>
          <w:bCs/>
          <w:spacing w:val="0"/>
          <w:sz w:val="32"/>
          <w:szCs w:val="32"/>
          <w:highlight w:val="none"/>
          <w:lang w:val="en-US" w:eastAsia="zh-CN"/>
        </w:rPr>
        <w:t>2025年预算调整情况</w:t>
      </w:r>
    </w:p>
    <w:p w14:paraId="428AEB52">
      <w:pPr>
        <w:keepNext w:val="0"/>
        <w:keepLines w:val="0"/>
        <w:pageBreakBefore w:val="0"/>
        <w:widowControl w:val="0"/>
        <w:suppressLineNumbers w:val="0"/>
        <w:kinsoku/>
        <w:overflowPunct/>
        <w:topLinePunct w:val="0"/>
        <w:autoSpaceDE/>
        <w:autoSpaceDN/>
        <w:bidi w:val="0"/>
        <w:adjustRightInd/>
        <w:spacing w:line="560" w:lineRule="exact"/>
        <w:ind w:left="0" w:leftChars="0" w:right="0" w:righ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根据《预算法》第六十七条“经全国人民代表大会批准的中央预算和经地方各级人民代表大会批准的地方各级预算，在执行中出现下列情况之一的应该进行调整:（一）需要增加或者减少财政预算总支出的；（二）需要调入预算稳定调节基金的；（</w:t>
      </w:r>
      <w:r>
        <w:rPr>
          <w:rFonts w:hint="eastAsia" w:ascii="仿宋_GB2312" w:hAnsi="仿宋_GB2312" w:eastAsia="仿宋_GB2312" w:cs="仿宋_GB2312"/>
          <w:color w:val="000000"/>
          <w:kern w:val="0"/>
          <w:sz w:val="32"/>
          <w:szCs w:val="32"/>
          <w:lang w:val="en-US" w:eastAsia="zh-CN" w:bidi="ar"/>
        </w:rPr>
        <w:t>三</w:t>
      </w:r>
      <w:r>
        <w:rPr>
          <w:rFonts w:hint="eastAsia" w:ascii="仿宋_GB2312" w:hAnsi="仿宋_GB2312" w:eastAsia="仿宋_GB2312" w:cs="仿宋_GB2312"/>
          <w:color w:val="auto"/>
          <w:sz w:val="32"/>
          <w:szCs w:val="32"/>
          <w:highlight w:val="none"/>
          <w:lang w:val="en-US" w:eastAsia="zh-CN"/>
        </w:rPr>
        <w:t>）需要调减预算安排的重点支出数额的; （四）需要增加举借债务</w:t>
      </w:r>
      <w:r>
        <w:rPr>
          <w:rFonts w:hint="eastAsia" w:ascii="仿宋_GB2312" w:hAnsi="仿宋_GB2312" w:eastAsia="仿宋_GB2312" w:cs="仿宋_GB2312"/>
          <w:color w:val="000000"/>
          <w:kern w:val="0"/>
          <w:sz w:val="32"/>
          <w:szCs w:val="32"/>
          <w:lang w:val="en-US" w:eastAsia="zh-CN" w:bidi="ar"/>
        </w:rPr>
        <w:t>数额的。”</w:t>
      </w:r>
      <w:r>
        <w:rPr>
          <w:rFonts w:hint="eastAsia" w:ascii="仿宋_GB2312" w:hAnsi="仿宋_GB2312" w:eastAsia="仿宋_GB2312" w:cs="仿宋_GB2312"/>
          <w:color w:val="auto"/>
          <w:sz w:val="32"/>
          <w:szCs w:val="32"/>
          <w:highlight w:val="none"/>
          <w:lang w:val="en-US" w:eastAsia="zh-CN"/>
        </w:rPr>
        <w:t>现提出镇级预算调整草案，提请镇人大审议和批准。</w:t>
      </w:r>
    </w:p>
    <w:p w14:paraId="2C1DC1C4">
      <w:pPr>
        <w:pStyle w:val="21"/>
        <w:keepNext w:val="0"/>
        <w:keepLines w:val="0"/>
        <w:pageBreakBefore w:val="0"/>
        <w:widowControl w:val="0"/>
        <w:numPr>
          <w:ilvl w:val="0"/>
          <w:numId w:val="0"/>
        </w:numPr>
        <w:kinsoku/>
        <w:wordWrap/>
        <w:overflowPunct/>
        <w:topLinePunct w:val="0"/>
        <w:autoSpaceDE/>
        <w:autoSpaceDN/>
        <w:bidi w:val="0"/>
        <w:adjustRightInd/>
        <w:snapToGrid w:val="0"/>
        <w:spacing w:after="0" w:line="560" w:lineRule="exact"/>
        <w:ind w:left="0" w:leftChars="0" w:right="0" w:rightChars="0" w:firstLine="640" w:firstLineChars="200"/>
        <w:textAlignment w:val="auto"/>
        <w:outlineLvl w:val="1"/>
        <w:rPr>
          <w:rFonts w:hint="eastAsia" w:ascii="楷体_GB2312" w:hAnsi="楷体_GB2312" w:eastAsia="楷体_GB2312" w:cs="楷体_GB2312"/>
          <w:b w:val="0"/>
          <w:bCs w:val="0"/>
          <w:color w:val="auto"/>
          <w:highlight w:val="none"/>
          <w:lang w:val="en-US" w:eastAsia="zh-CN"/>
        </w:rPr>
      </w:pPr>
      <w:r>
        <w:rPr>
          <w:rFonts w:hint="eastAsia" w:ascii="楷体_GB2312" w:hAnsi="楷体_GB2312" w:eastAsia="楷体_GB2312" w:cs="楷体_GB2312"/>
          <w:b w:val="0"/>
          <w:bCs w:val="0"/>
          <w:color w:val="auto"/>
          <w:highlight w:val="none"/>
          <w:lang w:val="en-US" w:eastAsia="zh-CN"/>
        </w:rPr>
        <w:t>（一）一般公共预算调整情况</w:t>
      </w:r>
    </w:p>
    <w:p w14:paraId="0ADB2BCF">
      <w:pPr>
        <w:pStyle w:val="21"/>
        <w:keepNext w:val="0"/>
        <w:keepLines w:val="0"/>
        <w:pageBreakBefore w:val="0"/>
        <w:widowControl w:val="0"/>
        <w:numPr>
          <w:ilvl w:val="0"/>
          <w:numId w:val="0"/>
        </w:numPr>
        <w:kinsoku/>
        <w:wordWrap/>
        <w:overflowPunct/>
        <w:topLinePunct w:val="0"/>
        <w:autoSpaceDE/>
        <w:autoSpaceDN/>
        <w:bidi w:val="0"/>
        <w:adjustRightInd/>
        <w:snapToGrid w:val="0"/>
        <w:spacing w:after="0" w:line="560" w:lineRule="exact"/>
        <w:ind w:left="0" w:leftChars="0" w:right="0" w:rightChars="0" w:firstLine="640" w:firstLineChars="200"/>
        <w:textAlignment w:val="auto"/>
        <w:rPr>
          <w:rFonts w:hint="eastAsia" w:ascii="仿宋_GB2312" w:eastAsia="仿宋_GB2312"/>
          <w:b w:val="0"/>
          <w:bCs w:val="0"/>
          <w:color w:val="auto"/>
          <w:highlight w:val="none"/>
          <w:lang w:val="en-US" w:eastAsia="zh-CN"/>
        </w:rPr>
      </w:pPr>
      <w:r>
        <w:rPr>
          <w:rFonts w:hint="eastAsia" w:ascii="仿宋_GB2312" w:eastAsia="仿宋_GB2312"/>
          <w:b w:val="0"/>
          <w:bCs w:val="0"/>
          <w:color w:val="auto"/>
          <w:highlight w:val="none"/>
          <w:lang w:val="en-US" w:eastAsia="zh-CN"/>
        </w:rPr>
        <w:t>受上级转移支付增加等因素影响，镇级一般公共预算总收支有所增加，因此对镇级一般公共预算进行如下调整。</w:t>
      </w:r>
    </w:p>
    <w:p w14:paraId="4B0FBCE7">
      <w:pPr>
        <w:keepNext w:val="0"/>
        <w:keepLines w:val="0"/>
        <w:pageBreakBefore w:val="0"/>
        <w:widowControl w:val="0"/>
        <w:suppressLineNumbers w:val="0"/>
        <w:kinsoku/>
        <w:overflowPunct/>
        <w:topLinePunct w:val="0"/>
        <w:autoSpaceDE/>
        <w:autoSpaceDN/>
        <w:bidi w:val="0"/>
        <w:adjustRightInd/>
        <w:spacing w:line="560" w:lineRule="exact"/>
        <w:ind w:left="0" w:leftChars="0" w:right="0" w:righ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1.一般公共预算收入调整情况</w:t>
      </w:r>
    </w:p>
    <w:p w14:paraId="5DE160CA">
      <w:pPr>
        <w:pStyle w:val="21"/>
        <w:keepNext w:val="0"/>
        <w:keepLines w:val="0"/>
        <w:pageBreakBefore w:val="0"/>
        <w:widowControl w:val="0"/>
        <w:numPr>
          <w:ilvl w:val="0"/>
          <w:numId w:val="0"/>
        </w:numPr>
        <w:kinsoku/>
        <w:wordWrap/>
        <w:overflowPunct/>
        <w:topLinePunct w:val="0"/>
        <w:autoSpaceDE/>
        <w:autoSpaceDN/>
        <w:bidi w:val="0"/>
        <w:adjustRightInd/>
        <w:snapToGrid w:val="0"/>
        <w:spacing w:after="0" w:line="560" w:lineRule="exact"/>
        <w:ind w:left="0" w:leftChars="0" w:right="0" w:rightChars="0" w:firstLine="640" w:firstLineChars="200"/>
        <w:textAlignment w:val="auto"/>
        <w:rPr>
          <w:rFonts w:hint="eastAsia" w:ascii="仿宋_GB2312" w:eastAsia="仿宋_GB2312"/>
          <w:b w:val="0"/>
          <w:bCs w:val="0"/>
          <w:color w:val="auto"/>
          <w:highlight w:val="none"/>
          <w:lang w:val="en-US" w:eastAsia="zh-CN"/>
        </w:rPr>
      </w:pPr>
      <w:r>
        <w:rPr>
          <w:rFonts w:hint="eastAsia" w:ascii="仿宋_GB2312" w:eastAsia="仿宋_GB2312"/>
          <w:b w:val="0"/>
          <w:bCs w:val="0"/>
          <w:color w:val="auto"/>
          <w:highlight w:val="none"/>
          <w:lang w:val="en-US" w:eastAsia="zh-CN"/>
        </w:rPr>
        <w:t>镇级一般公共预算总收入由年初预算的53611.89万元，调整为55996.84万元，增加2384.95万元。具体调整情况如下：</w:t>
      </w:r>
    </w:p>
    <w:p w14:paraId="4E825534">
      <w:pPr>
        <w:pStyle w:val="21"/>
        <w:keepNext w:val="0"/>
        <w:keepLines w:val="0"/>
        <w:pageBreakBefore w:val="0"/>
        <w:widowControl w:val="0"/>
        <w:numPr>
          <w:ilvl w:val="0"/>
          <w:numId w:val="0"/>
        </w:numPr>
        <w:kinsoku/>
        <w:wordWrap/>
        <w:overflowPunct/>
        <w:topLinePunct w:val="0"/>
        <w:autoSpaceDE/>
        <w:autoSpaceDN/>
        <w:bidi w:val="0"/>
        <w:adjustRightInd/>
        <w:snapToGrid w:val="0"/>
        <w:spacing w:after="0" w:line="560" w:lineRule="exact"/>
        <w:ind w:left="0" w:leftChars="0" w:right="0" w:rightChars="0" w:firstLine="640" w:firstLineChars="200"/>
        <w:textAlignment w:val="auto"/>
        <w:rPr>
          <w:rFonts w:hint="eastAsia" w:ascii="仿宋_GB2312" w:eastAsia="仿宋_GB2312"/>
          <w:b w:val="0"/>
          <w:bCs w:val="0"/>
          <w:color w:val="auto"/>
          <w:highlight w:val="none"/>
          <w:lang w:val="en-US" w:eastAsia="zh-CN"/>
        </w:rPr>
      </w:pPr>
      <w:r>
        <w:rPr>
          <w:rFonts w:hint="eastAsia" w:ascii="仿宋_GB2312" w:eastAsia="仿宋_GB2312"/>
          <w:b w:val="0"/>
          <w:bCs w:val="0"/>
          <w:color w:val="auto"/>
          <w:highlight w:val="none"/>
          <w:lang w:val="en-US" w:eastAsia="zh-CN"/>
        </w:rPr>
        <w:t>（1）上级转移支付收入减少75.98万元，主要是区级收回部分上年结转专项转移支付。</w:t>
      </w:r>
    </w:p>
    <w:p w14:paraId="643ACDC9">
      <w:pPr>
        <w:pStyle w:val="21"/>
        <w:keepNext w:val="0"/>
        <w:keepLines w:val="0"/>
        <w:pageBreakBefore w:val="0"/>
        <w:widowControl w:val="0"/>
        <w:numPr>
          <w:ilvl w:val="0"/>
          <w:numId w:val="0"/>
        </w:numPr>
        <w:kinsoku/>
        <w:wordWrap/>
        <w:overflowPunct/>
        <w:topLinePunct w:val="0"/>
        <w:autoSpaceDE/>
        <w:autoSpaceDN/>
        <w:bidi w:val="0"/>
        <w:adjustRightInd/>
        <w:snapToGrid w:val="0"/>
        <w:spacing w:after="0" w:line="560" w:lineRule="exact"/>
        <w:ind w:left="0" w:leftChars="0" w:right="0" w:rightChars="0" w:firstLine="640" w:firstLineChars="200"/>
        <w:textAlignment w:val="auto"/>
        <w:rPr>
          <w:rFonts w:hint="eastAsia" w:ascii="仿宋_GB2312" w:eastAsia="仿宋_GB2312"/>
          <w:b w:val="0"/>
          <w:bCs w:val="0"/>
          <w:color w:val="auto"/>
          <w:highlight w:val="none"/>
          <w:lang w:val="en-US" w:eastAsia="zh-CN"/>
        </w:rPr>
      </w:pPr>
      <w:r>
        <w:rPr>
          <w:rFonts w:hint="eastAsia" w:ascii="仿宋_GB2312" w:eastAsia="仿宋_GB2312"/>
          <w:b w:val="0"/>
          <w:bCs w:val="0"/>
          <w:color w:val="auto"/>
          <w:highlight w:val="none"/>
          <w:lang w:val="en-US" w:eastAsia="zh-CN"/>
        </w:rPr>
        <w:t>（2）上年结转收入由年初预算的1800万元，调整为2074.38万元，增加274.38万元。根据2024年区与镇财政结算单进行调整。</w:t>
      </w:r>
    </w:p>
    <w:p w14:paraId="15143F58">
      <w:pPr>
        <w:pStyle w:val="21"/>
        <w:keepNext w:val="0"/>
        <w:keepLines w:val="0"/>
        <w:pageBreakBefore w:val="0"/>
        <w:widowControl w:val="0"/>
        <w:numPr>
          <w:ilvl w:val="0"/>
          <w:numId w:val="0"/>
        </w:numPr>
        <w:kinsoku/>
        <w:wordWrap/>
        <w:overflowPunct/>
        <w:topLinePunct w:val="0"/>
        <w:autoSpaceDE/>
        <w:autoSpaceDN/>
        <w:bidi w:val="0"/>
        <w:adjustRightInd/>
        <w:snapToGrid w:val="0"/>
        <w:spacing w:after="0" w:line="560" w:lineRule="exact"/>
        <w:ind w:left="0" w:leftChars="0" w:right="0" w:rightChars="0" w:firstLine="640" w:firstLineChars="200"/>
        <w:textAlignment w:val="auto"/>
        <w:rPr>
          <w:rFonts w:hint="default" w:ascii="仿宋_GB2312" w:eastAsia="仿宋_GB2312"/>
          <w:b w:val="0"/>
          <w:bCs w:val="0"/>
          <w:color w:val="auto"/>
          <w:highlight w:val="none"/>
          <w:lang w:val="en-US" w:eastAsia="zh-CN"/>
        </w:rPr>
      </w:pPr>
      <w:r>
        <w:rPr>
          <w:rFonts w:hint="eastAsia" w:ascii="仿宋_GB2312" w:eastAsia="仿宋_GB2312"/>
          <w:b w:val="0"/>
          <w:bCs w:val="0"/>
          <w:color w:val="auto"/>
          <w:highlight w:val="none"/>
          <w:lang w:val="en-US" w:eastAsia="zh-CN"/>
        </w:rPr>
        <w:t>（3）其他一般性转移支付收入增加2186.55万元。主要包括：非税收入增加139.72万元；其他一般性转移支付收入增加2046.83万元。</w:t>
      </w:r>
    </w:p>
    <w:p w14:paraId="29A8460A">
      <w:pPr>
        <w:pStyle w:val="21"/>
        <w:keepNext w:val="0"/>
        <w:keepLines w:val="0"/>
        <w:pageBreakBefore w:val="0"/>
        <w:widowControl w:val="0"/>
        <w:numPr>
          <w:ilvl w:val="0"/>
          <w:numId w:val="0"/>
        </w:numPr>
        <w:kinsoku/>
        <w:wordWrap/>
        <w:overflowPunct/>
        <w:topLinePunct w:val="0"/>
        <w:autoSpaceDE/>
        <w:autoSpaceDN/>
        <w:bidi w:val="0"/>
        <w:adjustRightInd/>
        <w:snapToGrid w:val="0"/>
        <w:spacing w:after="0" w:line="560" w:lineRule="exact"/>
        <w:ind w:left="0" w:leftChars="0" w:right="0" w:rightChars="0" w:firstLine="640" w:firstLineChars="200"/>
        <w:textAlignment w:val="auto"/>
        <w:rPr>
          <w:rFonts w:hint="eastAsia" w:ascii="仿宋_GB2312" w:eastAsia="仿宋_GB2312"/>
          <w:b w:val="0"/>
          <w:bCs w:val="0"/>
          <w:color w:val="auto"/>
          <w:highlight w:val="none"/>
          <w:lang w:val="en-US" w:eastAsia="zh-CN"/>
        </w:rPr>
      </w:pPr>
      <w:r>
        <w:rPr>
          <w:rFonts w:hint="eastAsia" w:ascii="仿宋_GB2312" w:eastAsia="仿宋_GB2312"/>
          <w:b w:val="0"/>
          <w:bCs w:val="0"/>
          <w:color w:val="auto"/>
          <w:highlight w:val="none"/>
          <w:lang w:val="en-US" w:eastAsia="zh-CN"/>
        </w:rPr>
        <w:t>2.一般公共预算总支出调整情况</w:t>
      </w:r>
    </w:p>
    <w:p w14:paraId="49698B9E">
      <w:pPr>
        <w:pStyle w:val="21"/>
        <w:keepNext w:val="0"/>
        <w:keepLines w:val="0"/>
        <w:pageBreakBefore w:val="0"/>
        <w:widowControl w:val="0"/>
        <w:numPr>
          <w:ilvl w:val="0"/>
          <w:numId w:val="0"/>
        </w:numPr>
        <w:kinsoku/>
        <w:wordWrap/>
        <w:overflowPunct/>
        <w:topLinePunct w:val="0"/>
        <w:autoSpaceDE/>
        <w:autoSpaceDN/>
        <w:bidi w:val="0"/>
        <w:adjustRightInd/>
        <w:snapToGrid w:val="0"/>
        <w:spacing w:after="0" w:line="560" w:lineRule="exact"/>
        <w:ind w:left="0" w:leftChars="0" w:right="0" w:rightChars="0" w:firstLine="640" w:firstLineChars="200"/>
        <w:textAlignment w:val="auto"/>
        <w:rPr>
          <w:rFonts w:hint="default" w:ascii="楷体_GB2312" w:hAnsi="楷体_GB2312" w:eastAsia="楷体_GB2312" w:cs="楷体_GB2312"/>
          <w:b w:val="0"/>
          <w:bCs w:val="0"/>
          <w:color w:val="auto"/>
          <w:highlight w:val="none"/>
          <w:lang w:val="en-US" w:eastAsia="zh-CN"/>
        </w:rPr>
      </w:pPr>
      <w:r>
        <w:rPr>
          <w:rFonts w:hint="eastAsia" w:ascii="仿宋_GB2312" w:eastAsia="仿宋_GB2312"/>
          <w:b w:val="0"/>
          <w:bCs w:val="0"/>
          <w:color w:val="auto"/>
          <w:highlight w:val="none"/>
          <w:lang w:val="en-US" w:eastAsia="zh-CN"/>
        </w:rPr>
        <w:t>镇级一般公共预算总支出由年初预算的</w:t>
      </w:r>
      <w:r>
        <w:rPr>
          <w:rFonts w:hint="eastAsia" w:ascii="仿宋_GB2312" w:hAnsi="仿宋_GB2312" w:eastAsia="仿宋_GB2312" w:cs="仿宋_GB2312"/>
          <w:sz w:val="32"/>
          <w:szCs w:val="32"/>
          <w:highlight w:val="none"/>
          <w:lang w:val="en-US" w:eastAsia="zh-CN"/>
        </w:rPr>
        <w:t>53611.89</w:t>
      </w:r>
      <w:r>
        <w:rPr>
          <w:rFonts w:hint="eastAsia" w:ascii="仿宋_GB2312" w:eastAsia="仿宋_GB2312"/>
          <w:b w:val="0"/>
          <w:bCs w:val="0"/>
          <w:color w:val="auto"/>
          <w:highlight w:val="none"/>
          <w:lang w:val="en-US" w:eastAsia="zh-CN"/>
        </w:rPr>
        <w:t>万元，调整为55996.84万元，增加2384.95万元。主要包括：一般公共服务支出增加32.23万元，教育支出增加15万元，文化旅游体育与传媒支出增加70.14万元，社会保障和就业支出增加98.76万元，卫生健康支出增加192.61万元，城乡社区支出增加1873.31万元，农林水支出增加461.12万元，自然资源海洋气象等支出增加198.78万元，住房保障支出增加819.37万元，预备费减少1376.37万元。调整后一般公共预算收支平衡。</w:t>
      </w:r>
    </w:p>
    <w:p w14:paraId="3ADA0557">
      <w:pPr>
        <w:pStyle w:val="21"/>
        <w:keepNext w:val="0"/>
        <w:keepLines w:val="0"/>
        <w:pageBreakBefore w:val="0"/>
        <w:widowControl w:val="0"/>
        <w:numPr>
          <w:ilvl w:val="0"/>
          <w:numId w:val="0"/>
        </w:numPr>
        <w:kinsoku/>
        <w:wordWrap/>
        <w:overflowPunct/>
        <w:topLinePunct w:val="0"/>
        <w:autoSpaceDE/>
        <w:autoSpaceDN/>
        <w:bidi w:val="0"/>
        <w:adjustRightInd/>
        <w:snapToGrid w:val="0"/>
        <w:spacing w:after="0" w:line="560" w:lineRule="exact"/>
        <w:ind w:left="0" w:leftChars="0" w:right="0" w:rightChars="0" w:firstLine="640" w:firstLineChars="200"/>
        <w:textAlignment w:val="auto"/>
        <w:outlineLvl w:val="1"/>
        <w:rPr>
          <w:rFonts w:hint="eastAsia" w:ascii="楷体_GB2312" w:hAnsi="楷体_GB2312" w:eastAsia="楷体_GB2312" w:cs="楷体_GB2312"/>
          <w:b w:val="0"/>
          <w:bCs w:val="0"/>
          <w:color w:val="auto"/>
          <w:highlight w:val="none"/>
          <w:lang w:val="en-US" w:eastAsia="zh-CN"/>
        </w:rPr>
      </w:pPr>
      <w:r>
        <w:rPr>
          <w:rFonts w:hint="eastAsia" w:ascii="楷体_GB2312" w:hAnsi="楷体_GB2312" w:eastAsia="楷体_GB2312" w:cs="楷体_GB2312"/>
          <w:b w:val="0"/>
          <w:bCs w:val="0"/>
          <w:color w:val="auto"/>
          <w:highlight w:val="none"/>
          <w:lang w:val="en-US" w:eastAsia="zh-CN"/>
        </w:rPr>
        <w:t>（二）政府性基金预算调整情况</w:t>
      </w:r>
    </w:p>
    <w:p w14:paraId="1DB18979">
      <w:pPr>
        <w:pStyle w:val="21"/>
        <w:keepNext w:val="0"/>
        <w:keepLines w:val="0"/>
        <w:pageBreakBefore w:val="0"/>
        <w:widowControl w:val="0"/>
        <w:numPr>
          <w:ilvl w:val="0"/>
          <w:numId w:val="0"/>
        </w:numPr>
        <w:kinsoku/>
        <w:wordWrap/>
        <w:overflowPunct/>
        <w:topLinePunct w:val="0"/>
        <w:autoSpaceDE/>
        <w:autoSpaceDN/>
        <w:bidi w:val="0"/>
        <w:adjustRightInd/>
        <w:snapToGrid w:val="0"/>
        <w:spacing w:after="0" w:line="560" w:lineRule="exact"/>
        <w:ind w:left="0" w:leftChars="0" w:right="0" w:rightChars="0" w:firstLine="640" w:firstLineChars="200"/>
        <w:textAlignment w:val="auto"/>
        <w:rPr>
          <w:rFonts w:hint="eastAsia" w:ascii="仿宋_GB2312" w:hAnsi="仿宋_GB2312" w:eastAsia="仿宋_GB2312" w:cs="仿宋_GB2312"/>
          <w:b w:val="0"/>
          <w:bCs w:val="0"/>
          <w:color w:val="auto"/>
          <w:highlight w:val="yellow"/>
          <w:lang w:val="en-US" w:eastAsia="zh-CN"/>
        </w:rPr>
      </w:pPr>
      <w:r>
        <w:rPr>
          <w:rFonts w:hint="eastAsia" w:ascii="仿宋_GB2312" w:hAnsi="仿宋_GB2312" w:eastAsia="仿宋_GB2312" w:cs="仿宋_GB2312"/>
          <w:b w:val="0"/>
          <w:bCs w:val="0"/>
          <w:color w:val="auto"/>
          <w:highlight w:val="none"/>
          <w:lang w:val="en-US" w:eastAsia="zh-CN"/>
        </w:rPr>
        <w:t>受上级转移支付增加等因素影响，政府性基金预算总收支有所增加，因此对镇级政府性基金预算进行如下调整。</w:t>
      </w:r>
    </w:p>
    <w:p w14:paraId="1AF32B03">
      <w:pPr>
        <w:pStyle w:val="21"/>
        <w:keepNext w:val="0"/>
        <w:keepLines w:val="0"/>
        <w:pageBreakBefore w:val="0"/>
        <w:widowControl w:val="0"/>
        <w:numPr>
          <w:ilvl w:val="0"/>
          <w:numId w:val="0"/>
        </w:numPr>
        <w:kinsoku/>
        <w:wordWrap/>
        <w:overflowPunct/>
        <w:topLinePunct w:val="0"/>
        <w:autoSpaceDE/>
        <w:autoSpaceDN/>
        <w:bidi w:val="0"/>
        <w:adjustRightInd/>
        <w:snapToGrid w:val="0"/>
        <w:spacing w:after="0" w:line="560" w:lineRule="exact"/>
        <w:ind w:left="0" w:leftChars="0" w:right="0" w:rightChars="0" w:firstLine="640" w:firstLineChars="200"/>
        <w:textAlignment w:val="auto"/>
        <w:outlineLvl w:val="2"/>
        <w:rPr>
          <w:rFonts w:hint="eastAsia" w:ascii="仿宋_GB2312" w:hAnsi="仿宋_GB2312" w:eastAsia="仿宋_GB2312" w:cs="仿宋_GB2312"/>
          <w:b w:val="0"/>
          <w:bCs w:val="0"/>
          <w:color w:val="auto"/>
          <w:highlight w:val="none"/>
          <w:lang w:val="en-US" w:eastAsia="zh-CN"/>
        </w:rPr>
      </w:pPr>
      <w:r>
        <w:rPr>
          <w:rFonts w:hint="eastAsia" w:ascii="仿宋_GB2312" w:hAnsi="仿宋_GB2312" w:eastAsia="仿宋_GB2312" w:cs="仿宋_GB2312"/>
          <w:b w:val="0"/>
          <w:bCs w:val="0"/>
          <w:color w:val="auto"/>
          <w:highlight w:val="none"/>
          <w:lang w:val="en-US" w:eastAsia="zh-CN"/>
        </w:rPr>
        <w:t>1.政府性基金预算总收入调整</w:t>
      </w:r>
    </w:p>
    <w:p w14:paraId="529567FA">
      <w:pPr>
        <w:pStyle w:val="21"/>
        <w:keepNext w:val="0"/>
        <w:keepLines w:val="0"/>
        <w:pageBreakBefore w:val="0"/>
        <w:widowControl w:val="0"/>
        <w:numPr>
          <w:ilvl w:val="0"/>
          <w:numId w:val="0"/>
        </w:numPr>
        <w:kinsoku/>
        <w:wordWrap/>
        <w:overflowPunct/>
        <w:topLinePunct w:val="0"/>
        <w:autoSpaceDE/>
        <w:autoSpaceDN/>
        <w:bidi w:val="0"/>
        <w:adjustRightInd/>
        <w:snapToGrid w:val="0"/>
        <w:spacing w:after="0" w:line="560" w:lineRule="exact"/>
        <w:ind w:left="0" w:leftChars="0" w:right="0" w:rightChars="0" w:firstLine="640" w:firstLineChars="200"/>
        <w:textAlignment w:val="auto"/>
        <w:rPr>
          <w:rFonts w:hint="eastAsia" w:ascii="仿宋_GB2312" w:hAnsi="仿宋_GB2312" w:eastAsia="仿宋_GB2312" w:cs="仿宋_GB2312"/>
          <w:b w:val="0"/>
          <w:bCs w:val="0"/>
          <w:color w:val="auto"/>
          <w:highlight w:val="none"/>
          <w:lang w:val="en-US" w:eastAsia="zh-CN"/>
        </w:rPr>
      </w:pPr>
      <w:r>
        <w:rPr>
          <w:rFonts w:hint="eastAsia" w:ascii="仿宋_GB2312" w:hAnsi="仿宋_GB2312" w:eastAsia="仿宋_GB2312" w:cs="仿宋_GB2312"/>
          <w:b w:val="0"/>
          <w:bCs w:val="0"/>
          <w:color w:val="auto"/>
          <w:highlight w:val="none"/>
          <w:lang w:val="en-US" w:eastAsia="zh-CN"/>
        </w:rPr>
        <w:t>镇级政府性基金预算总收入由年初预算的</w:t>
      </w:r>
      <w:r>
        <w:rPr>
          <w:rFonts w:hint="eastAsia" w:ascii="仿宋_GB2312" w:hAnsi="仿宋_GB2312" w:eastAsia="仿宋_GB2312" w:cs="仿宋_GB2312"/>
          <w:b w:val="0"/>
          <w:bCs w:val="0"/>
          <w:sz w:val="32"/>
          <w:szCs w:val="32"/>
          <w:highlight w:val="none"/>
          <w:lang w:val="en-US" w:eastAsia="zh-CN"/>
        </w:rPr>
        <w:t>3400</w:t>
      </w:r>
      <w:r>
        <w:rPr>
          <w:rFonts w:hint="eastAsia" w:ascii="仿宋_GB2312" w:hAnsi="仿宋_GB2312" w:eastAsia="仿宋_GB2312" w:cs="仿宋_GB2312"/>
          <w:b w:val="0"/>
          <w:bCs w:val="0"/>
          <w:color w:val="auto"/>
          <w:highlight w:val="none"/>
          <w:lang w:val="en-US" w:eastAsia="zh-CN"/>
        </w:rPr>
        <w:t>万元，调整为9444.61万元，增加6044.61万元。主要是上级专项转移支付增加。</w:t>
      </w:r>
    </w:p>
    <w:p w14:paraId="3CABA0DC">
      <w:pPr>
        <w:pStyle w:val="21"/>
        <w:keepNext w:val="0"/>
        <w:keepLines w:val="0"/>
        <w:pageBreakBefore w:val="0"/>
        <w:widowControl w:val="0"/>
        <w:numPr>
          <w:ilvl w:val="0"/>
          <w:numId w:val="0"/>
        </w:numPr>
        <w:kinsoku/>
        <w:wordWrap/>
        <w:overflowPunct/>
        <w:topLinePunct w:val="0"/>
        <w:autoSpaceDE/>
        <w:autoSpaceDN/>
        <w:bidi w:val="0"/>
        <w:adjustRightInd/>
        <w:snapToGrid w:val="0"/>
        <w:spacing w:after="0" w:line="560" w:lineRule="exact"/>
        <w:ind w:left="0" w:leftChars="0" w:right="0" w:rightChars="0" w:firstLine="640" w:firstLineChars="200"/>
        <w:textAlignment w:val="auto"/>
        <w:outlineLvl w:val="2"/>
        <w:rPr>
          <w:rFonts w:hint="eastAsia" w:ascii="仿宋_GB2312" w:hAnsi="仿宋_GB2312" w:eastAsia="仿宋_GB2312" w:cs="仿宋_GB2312"/>
          <w:b w:val="0"/>
          <w:bCs w:val="0"/>
          <w:color w:val="auto"/>
          <w:highlight w:val="none"/>
          <w:lang w:val="en-US" w:eastAsia="zh-CN"/>
        </w:rPr>
      </w:pPr>
      <w:r>
        <w:rPr>
          <w:rFonts w:hint="eastAsia" w:ascii="仿宋_GB2312" w:hAnsi="仿宋_GB2312" w:eastAsia="仿宋_GB2312" w:cs="仿宋_GB2312"/>
          <w:b w:val="0"/>
          <w:bCs w:val="0"/>
          <w:color w:val="auto"/>
          <w:highlight w:val="none"/>
          <w:lang w:val="en-US" w:eastAsia="zh-CN"/>
        </w:rPr>
        <w:t>2.政府性基金预算总支出调整</w:t>
      </w:r>
    </w:p>
    <w:p w14:paraId="6AA0F0FF">
      <w:pPr>
        <w:pStyle w:val="21"/>
        <w:keepNext w:val="0"/>
        <w:keepLines w:val="0"/>
        <w:pageBreakBefore w:val="0"/>
        <w:widowControl w:val="0"/>
        <w:numPr>
          <w:ilvl w:val="0"/>
          <w:numId w:val="0"/>
        </w:numPr>
        <w:kinsoku/>
        <w:wordWrap/>
        <w:overflowPunct/>
        <w:topLinePunct w:val="0"/>
        <w:autoSpaceDE/>
        <w:autoSpaceDN/>
        <w:bidi w:val="0"/>
        <w:adjustRightInd/>
        <w:snapToGrid w:val="0"/>
        <w:spacing w:after="0" w:line="560" w:lineRule="exact"/>
        <w:ind w:left="0" w:leftChars="0" w:right="0" w:rightChars="0" w:firstLine="640" w:firstLineChars="200"/>
        <w:textAlignment w:val="auto"/>
        <w:rPr>
          <w:rFonts w:hint="default" w:ascii="仿宋_GB2312" w:hAnsi="仿宋_GB2312" w:eastAsia="仿宋_GB2312" w:cs="仿宋_GB2312"/>
          <w:b w:val="0"/>
          <w:bCs w:val="0"/>
          <w:color w:val="auto"/>
          <w:highlight w:val="none"/>
          <w:lang w:val="en-US" w:eastAsia="zh-CN"/>
        </w:rPr>
      </w:pPr>
      <w:r>
        <w:rPr>
          <w:rFonts w:hint="eastAsia" w:ascii="仿宋_GB2312" w:hAnsi="仿宋_GB2312" w:eastAsia="仿宋_GB2312" w:cs="仿宋_GB2312"/>
          <w:b w:val="0"/>
          <w:bCs w:val="0"/>
          <w:color w:val="auto"/>
          <w:highlight w:val="none"/>
          <w:lang w:val="en-US" w:eastAsia="zh-CN"/>
        </w:rPr>
        <w:t>镇级政府性基金预算总支出由年初预算的</w:t>
      </w:r>
      <w:r>
        <w:rPr>
          <w:rFonts w:hint="eastAsia" w:ascii="仿宋_GB2312" w:hAnsi="仿宋_GB2312" w:eastAsia="仿宋_GB2312" w:cs="仿宋_GB2312"/>
          <w:sz w:val="32"/>
          <w:szCs w:val="32"/>
          <w:highlight w:val="none"/>
          <w:lang w:val="en-US" w:eastAsia="zh-CN"/>
        </w:rPr>
        <w:t>3400</w:t>
      </w:r>
      <w:r>
        <w:rPr>
          <w:rFonts w:hint="eastAsia" w:ascii="仿宋_GB2312" w:hAnsi="仿宋_GB2312" w:eastAsia="仿宋_GB2312" w:cs="仿宋_GB2312"/>
          <w:b w:val="0"/>
          <w:bCs w:val="0"/>
          <w:color w:val="auto"/>
          <w:highlight w:val="none"/>
          <w:lang w:val="en-US" w:eastAsia="zh-CN"/>
        </w:rPr>
        <w:t>万元，调整为9444.61万元，增加6044.61万元。主要是专项支出增加。</w:t>
      </w:r>
      <w:r>
        <w:rPr>
          <w:rFonts w:hint="eastAsia" w:ascii="仿宋_GB2312" w:eastAsia="仿宋_GB2312"/>
          <w:b w:val="0"/>
          <w:bCs w:val="0"/>
          <w:color w:val="auto"/>
          <w:highlight w:val="none"/>
          <w:lang w:val="en-US" w:eastAsia="zh-CN"/>
        </w:rPr>
        <w:t>调整后</w:t>
      </w:r>
      <w:r>
        <w:rPr>
          <w:rFonts w:hint="eastAsia" w:ascii="仿宋_GB2312" w:hAnsi="仿宋_GB2312" w:eastAsia="仿宋_GB2312" w:cs="仿宋_GB2312"/>
          <w:b w:val="0"/>
          <w:bCs w:val="0"/>
          <w:color w:val="auto"/>
          <w:highlight w:val="none"/>
          <w:lang w:val="en-US" w:eastAsia="zh-CN"/>
        </w:rPr>
        <w:t>政府性基金预算</w:t>
      </w:r>
      <w:r>
        <w:rPr>
          <w:rFonts w:hint="eastAsia" w:ascii="仿宋_GB2312" w:eastAsia="仿宋_GB2312"/>
          <w:b w:val="0"/>
          <w:bCs w:val="0"/>
          <w:color w:val="auto"/>
          <w:highlight w:val="none"/>
          <w:lang w:val="en-US" w:eastAsia="zh-CN"/>
        </w:rPr>
        <w:t>收支平衡。</w:t>
      </w:r>
    </w:p>
    <w:p w14:paraId="4A0F6D56">
      <w:pPr>
        <w:pStyle w:val="21"/>
        <w:keepNext w:val="0"/>
        <w:keepLines w:val="0"/>
        <w:pageBreakBefore w:val="0"/>
        <w:widowControl w:val="0"/>
        <w:numPr>
          <w:ilvl w:val="0"/>
          <w:numId w:val="0"/>
        </w:numPr>
        <w:kinsoku/>
        <w:wordWrap/>
        <w:overflowPunct/>
        <w:topLinePunct w:val="0"/>
        <w:autoSpaceDE/>
        <w:autoSpaceDN/>
        <w:bidi w:val="0"/>
        <w:adjustRightInd/>
        <w:snapToGrid w:val="0"/>
        <w:spacing w:after="0" w:line="560" w:lineRule="exact"/>
        <w:ind w:left="0" w:leftChars="0" w:right="0" w:rightChars="0" w:firstLine="640" w:firstLineChars="200"/>
        <w:textAlignment w:val="auto"/>
        <w:outlineLvl w:val="1"/>
        <w:rPr>
          <w:rFonts w:hint="default" w:ascii="楷体_GB2312" w:hAnsi="楷体_GB2312" w:eastAsia="楷体_GB2312" w:cs="楷体_GB2312"/>
          <w:b w:val="0"/>
          <w:bCs w:val="0"/>
          <w:color w:val="auto"/>
          <w:highlight w:val="none"/>
          <w:lang w:val="en-US" w:eastAsia="zh-CN"/>
        </w:rPr>
      </w:pPr>
      <w:r>
        <w:rPr>
          <w:rFonts w:hint="eastAsia" w:ascii="楷体_GB2312" w:hAnsi="楷体_GB2312" w:eastAsia="楷体_GB2312" w:cs="楷体_GB2312"/>
          <w:b w:val="0"/>
          <w:bCs w:val="0"/>
          <w:color w:val="auto"/>
          <w:highlight w:val="none"/>
          <w:lang w:val="en-US" w:eastAsia="zh-CN"/>
        </w:rPr>
        <w:t>（三）项目间调剂情况</w:t>
      </w:r>
    </w:p>
    <w:p w14:paraId="301C5C94">
      <w:pPr>
        <w:pStyle w:val="4"/>
        <w:keepNext w:val="0"/>
        <w:keepLines w:val="0"/>
        <w:pageBreakBefore w:val="0"/>
        <w:widowControl w:val="0"/>
        <w:kinsoku/>
        <w:overflowPunct/>
        <w:topLinePunct w:val="0"/>
        <w:autoSpaceDE/>
        <w:autoSpaceDN/>
        <w:bidi w:val="0"/>
        <w:adjustRightInd/>
        <w:spacing w:line="560" w:lineRule="exact"/>
        <w:ind w:left="0" w:leftChars="0" w:right="0" w:rightChars="0" w:firstLine="640" w:firstLineChars="200"/>
        <w:textAlignment w:val="auto"/>
        <w:rPr>
          <w:rFonts w:hint="default"/>
          <w:highlight w:val="cyan"/>
          <w:lang w:val="en-US" w:eastAsia="zh-CN"/>
        </w:rPr>
      </w:pPr>
      <w:r>
        <w:rPr>
          <w:rFonts w:hint="eastAsia" w:ascii="仿宋_GB2312" w:eastAsia="仿宋_GB2312"/>
          <w:sz w:val="32"/>
          <w:szCs w:val="32"/>
          <w:highlight w:val="none"/>
        </w:rPr>
        <w:t>为了保证各部门正常运转，部分项目进行了调剂使用。</w:t>
      </w:r>
    </w:p>
    <w:p w14:paraId="1C897070">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outlineLvl w:val="0"/>
        <w:rPr>
          <w:rFonts w:hint="eastAsia" w:ascii="黑体" w:hAnsi="黑体" w:eastAsia="黑体" w:cs="黑体"/>
          <w:b w:val="0"/>
          <w:bCs/>
          <w:spacing w:val="0"/>
          <w:sz w:val="32"/>
          <w:szCs w:val="32"/>
          <w:highlight w:val="none"/>
          <w:lang w:val="en-US" w:eastAsia="zh-CN"/>
        </w:rPr>
      </w:pPr>
      <w:r>
        <w:rPr>
          <w:rFonts w:hint="eastAsia" w:ascii="黑体" w:hAnsi="黑体" w:eastAsia="黑体" w:cs="黑体"/>
          <w:b w:val="0"/>
          <w:bCs/>
          <w:spacing w:val="0"/>
          <w:sz w:val="32"/>
          <w:szCs w:val="32"/>
          <w:highlight w:val="none"/>
          <w:lang w:val="en-US" w:eastAsia="zh-CN"/>
        </w:rPr>
        <w:t>三</w:t>
      </w:r>
      <w:r>
        <w:rPr>
          <w:rFonts w:hint="eastAsia" w:ascii="黑体" w:hAnsi="黑体" w:eastAsia="黑体" w:cs="黑体"/>
          <w:b w:val="0"/>
          <w:bCs/>
          <w:spacing w:val="0"/>
          <w:sz w:val="32"/>
          <w:szCs w:val="32"/>
          <w:highlight w:val="none"/>
        </w:rPr>
        <w:t>、20</w:t>
      </w:r>
      <w:r>
        <w:rPr>
          <w:rFonts w:hint="eastAsia" w:ascii="黑体" w:hAnsi="黑体" w:eastAsia="黑体" w:cs="黑体"/>
          <w:b w:val="0"/>
          <w:bCs/>
          <w:spacing w:val="0"/>
          <w:sz w:val="32"/>
          <w:szCs w:val="32"/>
          <w:highlight w:val="none"/>
          <w:lang w:val="en-US" w:eastAsia="zh-CN"/>
        </w:rPr>
        <w:t>25</w:t>
      </w:r>
      <w:r>
        <w:rPr>
          <w:rFonts w:hint="eastAsia" w:ascii="黑体" w:hAnsi="黑体" w:eastAsia="黑体" w:cs="黑体"/>
          <w:b w:val="0"/>
          <w:bCs/>
          <w:spacing w:val="0"/>
          <w:sz w:val="32"/>
          <w:szCs w:val="32"/>
          <w:highlight w:val="none"/>
        </w:rPr>
        <w:t>年预算</w:t>
      </w:r>
      <w:r>
        <w:rPr>
          <w:rFonts w:hint="eastAsia" w:ascii="黑体" w:hAnsi="黑体" w:eastAsia="黑体" w:cs="黑体"/>
          <w:b w:val="0"/>
          <w:bCs/>
          <w:spacing w:val="0"/>
          <w:sz w:val="32"/>
          <w:szCs w:val="32"/>
          <w:highlight w:val="none"/>
          <w:lang w:val="en-US" w:eastAsia="zh-CN"/>
        </w:rPr>
        <w:t>上半年执行情况</w:t>
      </w:r>
    </w:p>
    <w:p w14:paraId="390893B1">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outlineLvl w:val="9"/>
        <w:rPr>
          <w:rFonts w:hint="eastAsia" w:ascii="仿宋_GB2312" w:hAnsi="仿宋_GB2312" w:eastAsia="仿宋_GB2312" w:cs="仿宋_GB2312"/>
          <w:spacing w:val="0"/>
          <w:sz w:val="32"/>
          <w:szCs w:val="32"/>
          <w:highlight w:val="none"/>
        </w:rPr>
      </w:pPr>
      <w:r>
        <w:rPr>
          <w:rFonts w:hint="eastAsia" w:ascii="仿宋_GB2312" w:hAnsi="仿宋_GB2312" w:eastAsia="仿宋_GB2312" w:cs="仿宋_GB2312"/>
          <w:sz w:val="32"/>
          <w:szCs w:val="32"/>
          <w:highlight w:val="none"/>
          <w:shd w:val="clear" w:color="auto" w:fill="FFFFFF"/>
        </w:rPr>
        <w:t>202</w:t>
      </w:r>
      <w:r>
        <w:rPr>
          <w:rFonts w:hint="eastAsia" w:ascii="仿宋_GB2312" w:hAnsi="仿宋_GB2312" w:eastAsia="仿宋_GB2312" w:cs="仿宋_GB2312"/>
          <w:sz w:val="32"/>
          <w:szCs w:val="32"/>
          <w:highlight w:val="none"/>
          <w:shd w:val="clear" w:color="auto" w:fill="FFFFFF"/>
          <w:lang w:val="en-US" w:eastAsia="zh-CN"/>
        </w:rPr>
        <w:t>5</w:t>
      </w:r>
      <w:r>
        <w:rPr>
          <w:rFonts w:hint="eastAsia" w:ascii="仿宋_GB2312" w:hAnsi="仿宋_GB2312" w:eastAsia="仿宋_GB2312" w:cs="仿宋_GB2312"/>
          <w:sz w:val="32"/>
          <w:szCs w:val="32"/>
          <w:highlight w:val="none"/>
          <w:shd w:val="clear" w:color="auto" w:fill="FFFFFF"/>
        </w:rPr>
        <w:t>年</w:t>
      </w:r>
      <w:r>
        <w:rPr>
          <w:rFonts w:hint="eastAsia" w:ascii="仿宋_GB2312" w:hAnsi="仿宋_GB2312" w:eastAsia="仿宋_GB2312" w:cs="仿宋_GB2312"/>
          <w:sz w:val="32"/>
          <w:szCs w:val="32"/>
          <w:highlight w:val="none"/>
          <w:shd w:val="clear" w:color="auto" w:fill="FFFFFF"/>
          <w:lang w:eastAsia="zh-CN"/>
        </w:rPr>
        <w:t>，</w:t>
      </w:r>
      <w:r>
        <w:rPr>
          <w:rFonts w:hint="eastAsia" w:ascii="仿宋_GB2312" w:hAnsi="仿宋_GB2312" w:eastAsia="仿宋_GB2312" w:cs="仿宋_GB2312"/>
          <w:sz w:val="32"/>
          <w:szCs w:val="32"/>
          <w:highlight w:val="none"/>
          <w:shd w:val="clear" w:color="auto" w:fill="FFFFFF"/>
          <w:lang w:val="en-US" w:eastAsia="zh-CN"/>
        </w:rPr>
        <w:t>镇</w:t>
      </w:r>
      <w:r>
        <w:rPr>
          <w:rFonts w:hint="eastAsia" w:ascii="仿宋_GB2312" w:hAnsi="仿宋_GB2312" w:eastAsia="仿宋_GB2312" w:cs="仿宋_GB2312"/>
          <w:sz w:val="32"/>
          <w:szCs w:val="32"/>
          <w:highlight w:val="none"/>
          <w:shd w:val="clear" w:color="auto" w:fill="FFFFFF"/>
        </w:rPr>
        <w:t>财政</w:t>
      </w:r>
      <w:r>
        <w:rPr>
          <w:rFonts w:hint="eastAsia" w:ascii="仿宋_GB2312" w:hAnsi="仿宋_GB2312" w:eastAsia="仿宋_GB2312" w:cs="仿宋_GB2312"/>
          <w:sz w:val="32"/>
          <w:szCs w:val="32"/>
          <w:highlight w:val="none"/>
          <w:shd w:val="clear" w:color="auto" w:fill="FFFFFF"/>
          <w:lang w:val="en-US" w:eastAsia="zh-CN"/>
        </w:rPr>
        <w:t>继续</w:t>
      </w:r>
      <w:r>
        <w:rPr>
          <w:rFonts w:hint="eastAsia" w:ascii="仿宋_GB2312" w:hAnsi="仿宋_GB2312" w:eastAsia="仿宋_GB2312" w:cs="仿宋_GB2312"/>
          <w:sz w:val="32"/>
          <w:szCs w:val="32"/>
          <w:highlight w:val="none"/>
          <w:shd w:val="clear" w:color="auto" w:fill="FFFFFF"/>
        </w:rPr>
        <w:t>坚持以习近平新时代中国特色社会主义思想为指导，全面贯彻落实党的二十大精神，坚决落实党中央</w:t>
      </w:r>
      <w:r>
        <w:rPr>
          <w:rFonts w:hint="eastAsia" w:ascii="仿宋_GB2312" w:hAnsi="仿宋_GB2312" w:eastAsia="仿宋_GB2312" w:cs="仿宋_GB2312"/>
          <w:sz w:val="32"/>
          <w:szCs w:val="32"/>
          <w:highlight w:val="none"/>
          <w:shd w:val="clear" w:color="auto" w:fill="FFFFFF"/>
          <w:lang w:eastAsia="zh-CN"/>
        </w:rPr>
        <w:t>、</w:t>
      </w:r>
      <w:r>
        <w:rPr>
          <w:rFonts w:hint="eastAsia" w:ascii="仿宋_GB2312" w:hAnsi="仿宋_GB2312" w:eastAsia="仿宋_GB2312" w:cs="仿宋_GB2312"/>
          <w:sz w:val="32"/>
          <w:szCs w:val="32"/>
          <w:highlight w:val="none"/>
          <w:shd w:val="clear" w:color="auto" w:fill="FFFFFF"/>
          <w:lang w:val="en-US" w:eastAsia="zh-CN"/>
        </w:rPr>
        <w:t>北京市</w:t>
      </w:r>
      <w:r>
        <w:rPr>
          <w:rFonts w:hint="eastAsia" w:ascii="仿宋_GB2312" w:hAnsi="仿宋_GB2312" w:eastAsia="仿宋_GB2312" w:cs="仿宋_GB2312"/>
          <w:sz w:val="32"/>
          <w:szCs w:val="32"/>
          <w:highlight w:val="none"/>
          <w:shd w:val="clear" w:color="auto" w:fill="FFFFFF"/>
        </w:rPr>
        <w:t>的决策部署，</w:t>
      </w:r>
      <w:r>
        <w:rPr>
          <w:rFonts w:hint="eastAsia" w:ascii="仿宋_GB2312" w:hAnsi="仿宋_GB2312" w:eastAsia="仿宋_GB2312" w:cs="仿宋_GB2312"/>
          <w:i w:val="0"/>
          <w:iCs w:val="0"/>
          <w:caps w:val="0"/>
          <w:color w:val="000000"/>
          <w:spacing w:val="0"/>
          <w:sz w:val="32"/>
          <w:szCs w:val="32"/>
          <w:highlight w:val="none"/>
          <w:shd w:val="clear" w:color="090000" w:fill="FFFFFF"/>
        </w:rPr>
        <w:t>全面落实党政机关过紧日子的要求，加强财政资源统筹，保持适度支出强度，</w:t>
      </w:r>
      <w:r>
        <w:rPr>
          <w:rFonts w:hint="eastAsia" w:ascii="仿宋_GB2312" w:hAnsi="仿宋_GB2312" w:eastAsia="仿宋_GB2312" w:cs="仿宋_GB2312"/>
          <w:spacing w:val="0"/>
          <w:sz w:val="32"/>
          <w:szCs w:val="32"/>
          <w:highlight w:val="none"/>
          <w:lang w:val="en-US" w:eastAsia="zh-CN"/>
        </w:rPr>
        <w:t>调整优化财政支出结构，盘活存量资金，推动建立全面规范、公开透明的预决算制度，发挥财政职能作用，谱写新时代采育镇经济社会高质量发展的新篇章。</w:t>
      </w:r>
      <w:r>
        <w:rPr>
          <w:rFonts w:hint="eastAsia" w:ascii="仿宋_GB2312" w:hAnsi="仿宋_GB2312" w:eastAsia="仿宋_GB2312" w:cs="仿宋_GB2312"/>
          <w:spacing w:val="0"/>
          <w:sz w:val="32"/>
          <w:szCs w:val="32"/>
          <w:highlight w:val="none"/>
        </w:rPr>
        <w:t>　</w:t>
      </w:r>
    </w:p>
    <w:p w14:paraId="18C4D6EE">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outlineLvl w:val="1"/>
        <w:rPr>
          <w:rFonts w:hint="default" w:ascii="楷体_GB2312" w:hAnsi="楷体_GB2312" w:eastAsia="楷体_GB2312" w:cs="楷体_GB2312"/>
          <w:b w:val="0"/>
          <w:bCs/>
          <w:spacing w:val="0"/>
          <w:sz w:val="32"/>
          <w:szCs w:val="32"/>
          <w:highlight w:val="none"/>
          <w:lang w:val="en-US" w:eastAsia="zh-CN"/>
        </w:rPr>
      </w:pPr>
      <w:r>
        <w:rPr>
          <w:rFonts w:hint="eastAsia" w:ascii="楷体_GB2312" w:hAnsi="楷体_GB2312" w:eastAsia="楷体_GB2312" w:cs="楷体_GB2312"/>
          <w:b w:val="0"/>
          <w:bCs/>
          <w:spacing w:val="0"/>
          <w:sz w:val="32"/>
          <w:szCs w:val="32"/>
          <w:highlight w:val="none"/>
          <w:lang w:eastAsia="zh-CN"/>
        </w:rPr>
        <w:t>（一）</w:t>
      </w:r>
      <w:r>
        <w:rPr>
          <w:rFonts w:hint="eastAsia" w:ascii="楷体_GB2312" w:hAnsi="楷体_GB2312" w:eastAsia="楷体_GB2312" w:cs="楷体_GB2312"/>
          <w:b w:val="0"/>
          <w:bCs/>
          <w:spacing w:val="0"/>
          <w:sz w:val="32"/>
          <w:szCs w:val="32"/>
          <w:highlight w:val="none"/>
          <w:lang w:val="en-US" w:eastAsia="zh-CN"/>
        </w:rPr>
        <w:t>2025年上半年收支情况</w:t>
      </w:r>
    </w:p>
    <w:p w14:paraId="48D39408">
      <w:pPr>
        <w:keepNext w:val="0"/>
        <w:keepLines w:val="0"/>
        <w:pageBreakBefore w:val="0"/>
        <w:widowControl w:val="0"/>
        <w:tabs>
          <w:tab w:val="center" w:pos="6979"/>
        </w:tabs>
        <w:kinsoku/>
        <w:wordWrap/>
        <w:overflowPunct/>
        <w:topLinePunct w:val="0"/>
        <w:autoSpaceDE/>
        <w:autoSpaceDN/>
        <w:bidi w:val="0"/>
        <w:adjustRightInd/>
        <w:spacing w:line="560" w:lineRule="exact"/>
        <w:ind w:left="0" w:leftChars="0" w:right="0" w:rightChars="0" w:firstLine="640" w:firstLineChars="200"/>
        <w:textAlignment w:val="auto"/>
        <w:outlineLvl w:val="2"/>
        <w:rPr>
          <w:rFonts w:hint="eastAsia" w:ascii="仿宋_GB2312" w:eastAsia="仿宋_GB2312"/>
          <w:b w:val="0"/>
          <w:bCs w:val="0"/>
          <w:color w:val="auto"/>
          <w:sz w:val="32"/>
          <w:szCs w:val="32"/>
          <w:highlight w:val="none"/>
          <w:lang w:val="en-US" w:eastAsia="zh-CN"/>
        </w:rPr>
      </w:pPr>
      <w:r>
        <w:rPr>
          <w:rFonts w:hint="eastAsia" w:ascii="仿宋_GB2312" w:eastAsia="仿宋_GB2312"/>
          <w:b w:val="0"/>
          <w:bCs w:val="0"/>
          <w:color w:val="auto"/>
          <w:sz w:val="32"/>
          <w:szCs w:val="32"/>
          <w:highlight w:val="none"/>
          <w:lang w:val="en-US" w:eastAsia="zh-CN"/>
        </w:rPr>
        <w:t>1.收入预算执行情况</w:t>
      </w:r>
    </w:p>
    <w:p w14:paraId="1E22462A">
      <w:pPr>
        <w:keepNext w:val="0"/>
        <w:keepLines w:val="0"/>
        <w:pageBreakBefore w:val="0"/>
        <w:widowControl w:val="0"/>
        <w:tabs>
          <w:tab w:val="center" w:pos="6979"/>
        </w:tabs>
        <w:kinsoku/>
        <w:wordWrap/>
        <w:overflowPunct/>
        <w:topLinePunct w:val="0"/>
        <w:autoSpaceDE/>
        <w:autoSpaceDN/>
        <w:bidi w:val="0"/>
        <w:adjustRightInd/>
        <w:spacing w:line="560" w:lineRule="exact"/>
        <w:ind w:left="0" w:leftChars="0" w:right="0" w:rightChars="0" w:firstLine="640" w:firstLineChars="200"/>
        <w:textAlignment w:val="auto"/>
        <w:outlineLvl w:val="2"/>
        <w:rPr>
          <w:rFonts w:hint="eastAsia" w:ascii="仿宋_GB2312" w:eastAsia="仿宋_GB2312"/>
          <w:b w:val="0"/>
          <w:bCs w:val="0"/>
          <w:color w:val="auto"/>
          <w:sz w:val="32"/>
          <w:szCs w:val="32"/>
          <w:highlight w:val="none"/>
          <w:lang w:val="en-US" w:eastAsia="zh-CN"/>
        </w:rPr>
      </w:pPr>
      <w:r>
        <w:rPr>
          <w:rFonts w:hint="eastAsia" w:ascii="仿宋_GB2312" w:eastAsia="仿宋_GB2312"/>
          <w:b w:val="0"/>
          <w:bCs w:val="0"/>
          <w:color w:val="auto"/>
          <w:sz w:val="32"/>
          <w:szCs w:val="32"/>
          <w:highlight w:val="none"/>
          <w:lang w:val="en-US" w:eastAsia="zh-CN"/>
        </w:rPr>
        <w:t>采育镇2025年1-6月份税收收入累计完成12678万元，比上年同期的13722万元减少1044万元，下降7.61%。</w:t>
      </w:r>
    </w:p>
    <w:p w14:paraId="09D0A71F">
      <w:pPr>
        <w:keepNext w:val="0"/>
        <w:keepLines w:val="0"/>
        <w:pageBreakBefore w:val="0"/>
        <w:widowControl w:val="0"/>
        <w:tabs>
          <w:tab w:val="center" w:pos="6979"/>
        </w:tabs>
        <w:kinsoku/>
        <w:wordWrap/>
        <w:overflowPunct/>
        <w:topLinePunct w:val="0"/>
        <w:autoSpaceDE/>
        <w:autoSpaceDN/>
        <w:bidi w:val="0"/>
        <w:adjustRightInd/>
        <w:spacing w:line="560" w:lineRule="exact"/>
        <w:ind w:left="0" w:leftChars="0" w:right="0" w:rightChars="0" w:firstLine="640" w:firstLineChars="200"/>
        <w:textAlignment w:val="auto"/>
        <w:outlineLvl w:val="2"/>
        <w:rPr>
          <w:rFonts w:hint="eastAsia" w:ascii="仿宋_GB2312" w:eastAsia="仿宋_GB2312"/>
          <w:b w:val="0"/>
          <w:bCs w:val="0"/>
          <w:sz w:val="32"/>
          <w:szCs w:val="32"/>
          <w:lang w:val="en-US" w:eastAsia="zh-CN"/>
        </w:rPr>
      </w:pPr>
      <w:r>
        <w:rPr>
          <w:rFonts w:hint="eastAsia" w:ascii="仿宋_GB2312" w:eastAsia="仿宋_GB2312"/>
          <w:b w:val="0"/>
          <w:bCs w:val="0"/>
          <w:color w:val="auto"/>
          <w:sz w:val="32"/>
          <w:szCs w:val="32"/>
          <w:highlight w:val="none"/>
          <w:lang w:val="en-US" w:eastAsia="zh-CN"/>
        </w:rPr>
        <w:t>财政收入累计完成2303.88万元，比上年同期的2460.98万元减少157.1万元，下降6.38%。增值税完成1027.63万元，比上年同期的1166.13万元减少138.5万元，下降</w:t>
      </w:r>
      <w:r>
        <w:rPr>
          <w:rFonts w:hint="eastAsia" w:ascii="仿宋_GB2312" w:eastAsia="仿宋_GB2312"/>
          <w:b w:val="0"/>
          <w:bCs w:val="0"/>
          <w:sz w:val="32"/>
          <w:szCs w:val="32"/>
          <w:lang w:val="en-US" w:eastAsia="zh-CN"/>
        </w:rPr>
        <w:t>11.88%，企业所得税完成346.35万元，比去年同期的331.05万元增加15.3万元，增长4.62%，城市维护建设税完成175.7万元，比去年同期的245万元减少69.3万元，下降28.29%，房产税完成269.1万元，比去年同期的277.2万元减少8.1万元，</w:t>
      </w:r>
      <w:r>
        <w:rPr>
          <w:rFonts w:hint="eastAsia" w:ascii="仿宋_GB2312" w:eastAsia="仿宋_GB2312"/>
          <w:b w:val="0"/>
          <w:bCs w:val="0"/>
          <w:color w:val="auto"/>
          <w:sz w:val="32"/>
          <w:szCs w:val="32"/>
          <w:highlight w:val="none"/>
          <w:lang w:val="en-US" w:eastAsia="zh-CN"/>
        </w:rPr>
        <w:t>下降</w:t>
      </w:r>
      <w:r>
        <w:rPr>
          <w:rFonts w:hint="eastAsia" w:ascii="仿宋_GB2312" w:eastAsia="仿宋_GB2312"/>
          <w:b w:val="0"/>
          <w:bCs w:val="0"/>
          <w:sz w:val="32"/>
          <w:szCs w:val="32"/>
          <w:lang w:val="en-US" w:eastAsia="zh-CN"/>
        </w:rPr>
        <w:t>2.92%，印花税完成121.1万元，比去年同期的82.6万元增加38.5万元，增长46.61%，城镇土地使用税完成15.5万元，比同期的13万元增加2.5万元，增长19.23%，土地增值税完成348.5万元，比同期的346万元增加2.5万元，</w:t>
      </w:r>
      <w:r>
        <w:rPr>
          <w:rFonts w:hint="eastAsia" w:ascii="仿宋_GB2312" w:eastAsia="仿宋_GB2312"/>
          <w:b w:val="0"/>
          <w:bCs w:val="0"/>
          <w:color w:val="auto"/>
          <w:sz w:val="32"/>
          <w:szCs w:val="32"/>
          <w:highlight w:val="none"/>
          <w:lang w:val="en-US" w:eastAsia="zh-CN"/>
        </w:rPr>
        <w:t>增长</w:t>
      </w:r>
      <w:r>
        <w:rPr>
          <w:rFonts w:hint="eastAsia" w:ascii="仿宋_GB2312" w:eastAsia="仿宋_GB2312"/>
          <w:b w:val="0"/>
          <w:bCs w:val="0"/>
          <w:sz w:val="32"/>
          <w:szCs w:val="32"/>
          <w:lang w:val="en-US" w:eastAsia="zh-CN"/>
        </w:rPr>
        <w:t>0.72%。</w:t>
      </w:r>
    </w:p>
    <w:p w14:paraId="63D7AC45">
      <w:pPr>
        <w:keepNext w:val="0"/>
        <w:keepLines w:val="0"/>
        <w:pageBreakBefore w:val="0"/>
        <w:widowControl w:val="0"/>
        <w:tabs>
          <w:tab w:val="center" w:pos="6979"/>
        </w:tabs>
        <w:kinsoku/>
        <w:wordWrap/>
        <w:overflowPunct/>
        <w:topLinePunct w:val="0"/>
        <w:autoSpaceDE/>
        <w:autoSpaceDN/>
        <w:bidi w:val="0"/>
        <w:adjustRightInd/>
        <w:spacing w:line="560" w:lineRule="exact"/>
        <w:ind w:left="0" w:leftChars="0" w:right="0" w:rightChars="0" w:firstLine="640" w:firstLineChars="200"/>
        <w:textAlignment w:val="auto"/>
        <w:outlineLvl w:val="2"/>
        <w:rPr>
          <w:rFonts w:hint="eastAsia" w:ascii="仿宋_GB2312" w:eastAsia="仿宋_GB2312"/>
          <w:b w:val="0"/>
          <w:bCs w:val="0"/>
          <w:color w:val="auto"/>
          <w:sz w:val="32"/>
          <w:szCs w:val="32"/>
          <w:lang w:val="en-US" w:eastAsia="zh-CN"/>
        </w:rPr>
      </w:pPr>
      <w:r>
        <w:rPr>
          <w:rFonts w:hint="eastAsia" w:ascii="仿宋_GB2312" w:eastAsia="仿宋_GB2312"/>
          <w:b w:val="0"/>
          <w:bCs w:val="0"/>
          <w:color w:val="auto"/>
          <w:sz w:val="32"/>
          <w:szCs w:val="32"/>
          <w:lang w:val="en-US" w:eastAsia="zh-CN"/>
        </w:rPr>
        <w:t>采育镇2025年1-6月，一般公共预算总收入已完成50766.46万元，其中</w:t>
      </w:r>
      <w:r>
        <w:rPr>
          <w:rFonts w:hint="eastAsia" w:ascii="仿宋_GB2312" w:eastAsia="仿宋_GB2312"/>
          <w:b w:val="0"/>
          <w:bCs w:val="0"/>
          <w:color w:val="auto"/>
          <w:sz w:val="32"/>
          <w:szCs w:val="32"/>
          <w:highlight w:val="none"/>
          <w:lang w:val="en-US" w:eastAsia="zh-CN"/>
        </w:rPr>
        <w:t>：财政收入2303.88万元，上级转移支付收入46388.2</w:t>
      </w:r>
      <w:r>
        <w:rPr>
          <w:rFonts w:hint="eastAsia" w:ascii="仿宋_GB2312" w:eastAsia="仿宋_GB2312"/>
          <w:b w:val="0"/>
          <w:bCs w:val="0"/>
          <w:color w:val="auto"/>
          <w:sz w:val="32"/>
          <w:szCs w:val="32"/>
          <w:lang w:val="en-US" w:eastAsia="zh-CN"/>
        </w:rPr>
        <w:t>万元（其中专项转移支付收入17805.41万元），上年结转收入2074.38万元。</w:t>
      </w:r>
    </w:p>
    <w:p w14:paraId="1470B11D">
      <w:pPr>
        <w:keepNext w:val="0"/>
        <w:keepLines w:val="0"/>
        <w:pageBreakBefore w:val="0"/>
        <w:widowControl w:val="0"/>
        <w:tabs>
          <w:tab w:val="center" w:pos="6979"/>
        </w:tabs>
        <w:kinsoku/>
        <w:wordWrap/>
        <w:overflowPunct/>
        <w:topLinePunct w:val="0"/>
        <w:autoSpaceDE/>
        <w:autoSpaceDN/>
        <w:bidi w:val="0"/>
        <w:adjustRightInd/>
        <w:spacing w:line="560" w:lineRule="exact"/>
        <w:ind w:left="0" w:leftChars="0" w:right="0" w:rightChars="0" w:firstLine="640" w:firstLineChars="200"/>
        <w:textAlignment w:val="auto"/>
        <w:outlineLvl w:val="2"/>
        <w:rPr>
          <w:rFonts w:hint="eastAsia" w:ascii="仿宋_GB2312" w:eastAsia="仿宋_GB2312"/>
          <w:b w:val="0"/>
          <w:bCs w:val="0"/>
          <w:color w:val="auto"/>
          <w:sz w:val="32"/>
          <w:szCs w:val="32"/>
          <w:lang w:val="en-US" w:eastAsia="zh-CN"/>
        </w:rPr>
      </w:pPr>
      <w:r>
        <w:rPr>
          <w:rFonts w:hint="eastAsia" w:ascii="仿宋_GB2312" w:eastAsia="仿宋_GB2312"/>
          <w:b w:val="0"/>
          <w:bCs w:val="0"/>
          <w:color w:val="auto"/>
          <w:sz w:val="32"/>
          <w:szCs w:val="32"/>
          <w:lang w:val="en-US" w:eastAsia="zh-CN"/>
        </w:rPr>
        <w:t>采育镇2025年1-6月，政府性基金预算总收入已完成9444.61万元，为上级转移支付收入9444.61万元（其中专项转移支付收入6323.11万元）。</w:t>
      </w:r>
    </w:p>
    <w:p w14:paraId="645FD1E2">
      <w:pPr>
        <w:keepNext w:val="0"/>
        <w:keepLines w:val="0"/>
        <w:pageBreakBefore w:val="0"/>
        <w:widowControl w:val="0"/>
        <w:tabs>
          <w:tab w:val="center" w:pos="6979"/>
        </w:tabs>
        <w:kinsoku/>
        <w:wordWrap/>
        <w:overflowPunct/>
        <w:topLinePunct w:val="0"/>
        <w:autoSpaceDE/>
        <w:autoSpaceDN/>
        <w:bidi w:val="0"/>
        <w:adjustRightInd/>
        <w:spacing w:line="560" w:lineRule="exact"/>
        <w:ind w:left="0" w:leftChars="0" w:right="0" w:rightChars="0" w:firstLine="640" w:firstLineChars="200"/>
        <w:textAlignment w:val="auto"/>
        <w:outlineLvl w:val="2"/>
        <w:rPr>
          <w:rFonts w:hint="default" w:ascii="仿宋_GB2312" w:eastAsia="仿宋_GB2312"/>
          <w:b w:val="0"/>
          <w:bCs w:val="0"/>
          <w:color w:val="auto"/>
          <w:sz w:val="32"/>
          <w:szCs w:val="32"/>
          <w:lang w:val="en-US" w:eastAsia="zh-CN"/>
        </w:rPr>
      </w:pPr>
      <w:r>
        <w:rPr>
          <w:rFonts w:hint="eastAsia" w:ascii="仿宋_GB2312" w:eastAsia="仿宋_GB2312"/>
          <w:b w:val="0"/>
          <w:bCs w:val="0"/>
          <w:color w:val="auto"/>
          <w:sz w:val="32"/>
          <w:szCs w:val="32"/>
          <w:lang w:val="en-US" w:eastAsia="zh-CN"/>
        </w:rPr>
        <w:t>2.</w:t>
      </w:r>
      <w:r>
        <w:rPr>
          <w:rFonts w:hint="eastAsia" w:ascii="仿宋_GB2312" w:eastAsia="仿宋_GB2312"/>
          <w:b w:val="0"/>
          <w:bCs w:val="0"/>
          <w:color w:val="auto"/>
          <w:sz w:val="32"/>
          <w:szCs w:val="32"/>
        </w:rPr>
        <w:t>支出</w:t>
      </w:r>
      <w:r>
        <w:rPr>
          <w:rFonts w:hint="eastAsia" w:ascii="仿宋_GB2312" w:eastAsia="仿宋_GB2312"/>
          <w:b w:val="0"/>
          <w:bCs w:val="0"/>
          <w:color w:val="auto"/>
          <w:sz w:val="32"/>
          <w:szCs w:val="32"/>
          <w:lang w:val="en-US" w:eastAsia="zh-CN"/>
        </w:rPr>
        <w:t>预算执行情况</w:t>
      </w:r>
    </w:p>
    <w:p w14:paraId="22E96F49">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Times New Roman" w:eastAsia="仿宋_GB2312"/>
          <w:color w:val="auto"/>
          <w:spacing w:val="0"/>
          <w:sz w:val="32"/>
          <w:szCs w:val="32"/>
          <w:highlight w:val="none"/>
          <w:lang w:val="en-US" w:eastAsia="zh-CN"/>
        </w:rPr>
      </w:pPr>
      <w:r>
        <w:rPr>
          <w:rFonts w:hint="eastAsia" w:ascii="仿宋_GB2312" w:hAnsi="Times New Roman" w:eastAsia="仿宋_GB2312"/>
          <w:color w:val="auto"/>
          <w:spacing w:val="0"/>
          <w:sz w:val="32"/>
          <w:szCs w:val="32"/>
          <w:highlight w:val="none"/>
          <w:lang w:val="en-US" w:eastAsia="zh-CN"/>
        </w:rPr>
        <w:t>2025年1-6月，采育镇累计完成财政预算支出29218万元，比去年同期的26379万元增加2839万元，同比增长10.76%。</w:t>
      </w:r>
    </w:p>
    <w:p w14:paraId="06180869">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Times New Roman" w:eastAsia="仿宋_GB2312"/>
          <w:color w:val="auto"/>
          <w:spacing w:val="0"/>
          <w:sz w:val="32"/>
          <w:szCs w:val="32"/>
          <w:highlight w:val="none"/>
          <w:lang w:val="en-US" w:eastAsia="zh-CN"/>
        </w:rPr>
      </w:pPr>
      <w:r>
        <w:rPr>
          <w:rFonts w:hint="eastAsia" w:ascii="仿宋_GB2312" w:hAnsi="Times New Roman" w:eastAsia="仿宋_GB2312"/>
          <w:color w:val="auto"/>
          <w:spacing w:val="0"/>
          <w:sz w:val="32"/>
          <w:szCs w:val="32"/>
          <w:highlight w:val="none"/>
          <w:lang w:val="en-US" w:eastAsia="zh-CN"/>
        </w:rPr>
        <w:t xml:space="preserve">一般公共预算财政支出1-6月累计完成27036.79万元，比去年同期的22727.79万元增加4309万元，增长18.96%。主要支出包括：一般公共服务支出5724.05万元，主要为人员支出、财源建设运行专班、镇区运行维护费；公共安全支出18万元，主要为法律服务经费；教育支出15万，主要为校园房屋安全鉴定；文化旅游体育与传媒支出86.87万元，主要为宣传运行经费；社会保障和就业支出1318.79万元，主要为行政事业人员社会保险缴费、大学生支农人员经费；卫生健康支出2970.22万元，主要为卫生院人员支出、基本公共卫生经费；节能环保支出315.56万元，主要为大气精细化管理、“煤改电”设备更新项目；城乡社区支出4756.09万元，主要为政府编外人员经费、社工工作经费；农林水支出11006.2万元，主要为村级公益金、村干部基本报酬、大兴区平原生态林养护及土地流转项目支出；住房保障支出826.01万元，主要为购房补贴。  </w:t>
      </w:r>
    </w:p>
    <w:p w14:paraId="07B2B4D6">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Times New Roman" w:eastAsia="仿宋_GB2312"/>
          <w:color w:val="auto"/>
          <w:spacing w:val="0"/>
          <w:sz w:val="32"/>
          <w:szCs w:val="32"/>
          <w:lang w:eastAsia="zh-CN"/>
        </w:rPr>
      </w:pPr>
      <w:r>
        <w:rPr>
          <w:rFonts w:hint="eastAsia" w:ascii="仿宋_GB2312" w:hAnsi="Times New Roman" w:eastAsia="仿宋_GB2312"/>
          <w:color w:val="auto"/>
          <w:spacing w:val="0"/>
          <w:sz w:val="32"/>
          <w:szCs w:val="32"/>
          <w:highlight w:val="none"/>
          <w:lang w:eastAsia="zh-CN"/>
        </w:rPr>
        <w:t>政府性基金预算支出</w:t>
      </w:r>
      <w:r>
        <w:rPr>
          <w:rFonts w:hint="eastAsia" w:ascii="仿宋_GB2312" w:hAnsi="Times New Roman" w:eastAsia="仿宋_GB2312"/>
          <w:color w:val="auto"/>
          <w:spacing w:val="0"/>
          <w:sz w:val="32"/>
          <w:szCs w:val="32"/>
          <w:highlight w:val="none"/>
          <w:lang w:val="en-US" w:eastAsia="zh-CN"/>
        </w:rPr>
        <w:t>1-6月</w:t>
      </w:r>
      <w:r>
        <w:rPr>
          <w:rFonts w:hint="eastAsia" w:ascii="仿宋_GB2312" w:hAnsi="Times New Roman" w:eastAsia="仿宋_GB2312"/>
          <w:color w:val="auto"/>
          <w:spacing w:val="0"/>
          <w:sz w:val="32"/>
          <w:szCs w:val="32"/>
          <w:highlight w:val="none"/>
          <w:lang w:eastAsia="zh-CN"/>
        </w:rPr>
        <w:t>累计完成</w:t>
      </w:r>
      <w:r>
        <w:rPr>
          <w:rFonts w:hint="eastAsia" w:ascii="仿宋_GB2312" w:hAnsi="Times New Roman" w:eastAsia="仿宋_GB2312"/>
          <w:color w:val="auto"/>
          <w:spacing w:val="0"/>
          <w:sz w:val="32"/>
          <w:szCs w:val="32"/>
          <w:highlight w:val="none"/>
          <w:lang w:val="en-US" w:eastAsia="zh-CN"/>
        </w:rPr>
        <w:t>2181.14</w:t>
      </w:r>
      <w:r>
        <w:rPr>
          <w:rFonts w:hint="eastAsia" w:ascii="仿宋_GB2312" w:hAnsi="Times New Roman" w:eastAsia="仿宋_GB2312"/>
          <w:color w:val="auto"/>
          <w:spacing w:val="0"/>
          <w:sz w:val="32"/>
          <w:szCs w:val="32"/>
          <w:highlight w:val="none"/>
          <w:lang w:eastAsia="zh-CN"/>
        </w:rPr>
        <w:t>万元，比去年同期的</w:t>
      </w:r>
      <w:r>
        <w:rPr>
          <w:rFonts w:hint="eastAsia" w:ascii="仿宋_GB2312" w:hAnsi="Times New Roman" w:eastAsia="仿宋_GB2312"/>
          <w:color w:val="auto"/>
          <w:spacing w:val="0"/>
          <w:sz w:val="32"/>
          <w:szCs w:val="32"/>
          <w:highlight w:val="none"/>
          <w:lang w:val="en-US" w:eastAsia="zh-CN"/>
        </w:rPr>
        <w:t>3651</w:t>
      </w:r>
      <w:r>
        <w:rPr>
          <w:rFonts w:hint="eastAsia" w:ascii="仿宋_GB2312" w:hAnsi="Times New Roman" w:eastAsia="仿宋_GB2312"/>
          <w:color w:val="auto"/>
          <w:spacing w:val="0"/>
          <w:sz w:val="32"/>
          <w:szCs w:val="32"/>
          <w:highlight w:val="none"/>
          <w:lang w:eastAsia="zh-CN"/>
        </w:rPr>
        <w:t>万元，</w:t>
      </w:r>
      <w:r>
        <w:rPr>
          <w:rFonts w:hint="eastAsia" w:ascii="仿宋_GB2312" w:hAnsi="Times New Roman" w:eastAsia="仿宋_GB2312"/>
          <w:color w:val="auto"/>
          <w:spacing w:val="0"/>
          <w:sz w:val="32"/>
          <w:szCs w:val="32"/>
          <w:highlight w:val="none"/>
          <w:lang w:val="en-US" w:eastAsia="zh-CN"/>
        </w:rPr>
        <w:t>减少1469.86</w:t>
      </w:r>
      <w:r>
        <w:rPr>
          <w:rFonts w:hint="eastAsia" w:ascii="仿宋_GB2312" w:hAnsi="Times New Roman" w:eastAsia="仿宋_GB2312"/>
          <w:color w:val="auto"/>
          <w:spacing w:val="0"/>
          <w:sz w:val="32"/>
          <w:szCs w:val="32"/>
          <w:highlight w:val="none"/>
          <w:lang w:eastAsia="zh-CN"/>
        </w:rPr>
        <w:t>万元，</w:t>
      </w:r>
      <w:r>
        <w:rPr>
          <w:rFonts w:hint="eastAsia" w:ascii="仿宋_GB2312" w:hAnsi="Times New Roman" w:eastAsia="仿宋_GB2312"/>
          <w:color w:val="auto"/>
          <w:spacing w:val="0"/>
          <w:sz w:val="32"/>
          <w:szCs w:val="32"/>
          <w:highlight w:val="none"/>
          <w:lang w:val="en-US" w:eastAsia="zh-CN"/>
        </w:rPr>
        <w:t>减少40.26</w:t>
      </w:r>
      <w:r>
        <w:rPr>
          <w:rFonts w:hint="eastAsia" w:ascii="仿宋_GB2312" w:hAnsi="Times New Roman" w:eastAsia="仿宋_GB2312"/>
          <w:color w:val="auto"/>
          <w:spacing w:val="0"/>
          <w:sz w:val="32"/>
          <w:szCs w:val="32"/>
          <w:highlight w:val="none"/>
          <w:lang w:eastAsia="zh-CN"/>
        </w:rPr>
        <w:t>%，</w:t>
      </w:r>
      <w:r>
        <w:rPr>
          <w:rFonts w:hint="eastAsia" w:ascii="仿宋_GB2312" w:hAnsi="Times New Roman" w:eastAsia="仿宋_GB2312"/>
          <w:color w:val="auto"/>
          <w:spacing w:val="0"/>
          <w:sz w:val="32"/>
          <w:szCs w:val="32"/>
          <w:highlight w:val="none"/>
          <w:lang w:val="en-US" w:eastAsia="zh-CN"/>
        </w:rPr>
        <w:t>主要支出包括：城乡社区支出1946.57万元，主要为采育镇新市镇文化廊道建设工程、采育镇卫生院消隐改造工程等；资源勘探工业信息等支出234.57万元</w:t>
      </w:r>
      <w:r>
        <w:rPr>
          <w:rFonts w:hint="eastAsia" w:ascii="仿宋_GB2312" w:hAnsi="Times New Roman" w:eastAsia="仿宋_GB2312"/>
          <w:color w:val="auto"/>
          <w:spacing w:val="0"/>
          <w:sz w:val="32"/>
          <w:szCs w:val="32"/>
          <w:lang w:val="en-US" w:eastAsia="zh-CN"/>
        </w:rPr>
        <w:t>。</w:t>
      </w:r>
    </w:p>
    <w:p w14:paraId="0A24E2A0">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outlineLvl w:val="1"/>
        <w:rPr>
          <w:rFonts w:hint="eastAsia" w:ascii="楷体_GB2312" w:hAnsi="楷体_GB2312" w:eastAsia="楷体_GB2312" w:cs="楷体_GB2312"/>
          <w:b w:val="0"/>
          <w:bCs/>
          <w:color w:val="auto"/>
          <w:spacing w:val="0"/>
          <w:sz w:val="32"/>
          <w:szCs w:val="32"/>
          <w:highlight w:val="none"/>
        </w:rPr>
      </w:pPr>
      <w:r>
        <w:rPr>
          <w:rFonts w:hint="eastAsia" w:ascii="楷体_GB2312" w:hAnsi="楷体_GB2312" w:eastAsia="楷体_GB2312" w:cs="楷体_GB2312"/>
          <w:b w:val="0"/>
          <w:bCs/>
          <w:color w:val="auto"/>
          <w:spacing w:val="0"/>
          <w:sz w:val="32"/>
          <w:szCs w:val="32"/>
          <w:highlight w:val="none"/>
          <w:lang w:eastAsia="zh-CN"/>
        </w:rPr>
        <w:t>（</w:t>
      </w:r>
      <w:r>
        <w:rPr>
          <w:rFonts w:hint="eastAsia" w:ascii="楷体_GB2312" w:hAnsi="楷体_GB2312" w:eastAsia="楷体_GB2312" w:cs="楷体_GB2312"/>
          <w:b w:val="0"/>
          <w:bCs/>
          <w:color w:val="auto"/>
          <w:spacing w:val="0"/>
          <w:sz w:val="32"/>
          <w:szCs w:val="32"/>
          <w:highlight w:val="none"/>
          <w:lang w:val="en-US" w:eastAsia="zh-CN"/>
        </w:rPr>
        <w:t>二）</w:t>
      </w:r>
      <w:r>
        <w:rPr>
          <w:rFonts w:hint="eastAsia" w:ascii="楷体_GB2312" w:hAnsi="楷体_GB2312" w:eastAsia="楷体_GB2312" w:cs="楷体_GB2312"/>
          <w:b w:val="0"/>
          <w:bCs/>
          <w:color w:val="auto"/>
          <w:spacing w:val="0"/>
          <w:sz w:val="32"/>
          <w:szCs w:val="32"/>
          <w:highlight w:val="none"/>
          <w:lang w:eastAsia="zh-CN"/>
        </w:rPr>
        <w:t>确保完成</w:t>
      </w:r>
      <w:r>
        <w:rPr>
          <w:rFonts w:hint="eastAsia" w:ascii="楷体_GB2312" w:hAnsi="楷体_GB2312" w:eastAsia="楷体_GB2312" w:cs="楷体_GB2312"/>
          <w:b w:val="0"/>
          <w:bCs/>
          <w:color w:val="auto"/>
          <w:spacing w:val="0"/>
          <w:sz w:val="32"/>
          <w:szCs w:val="32"/>
          <w:highlight w:val="none"/>
        </w:rPr>
        <w:t>20</w:t>
      </w:r>
      <w:r>
        <w:rPr>
          <w:rFonts w:hint="eastAsia" w:ascii="楷体_GB2312" w:hAnsi="楷体_GB2312" w:eastAsia="楷体_GB2312" w:cs="楷体_GB2312"/>
          <w:b w:val="0"/>
          <w:bCs/>
          <w:color w:val="auto"/>
          <w:spacing w:val="0"/>
          <w:sz w:val="32"/>
          <w:szCs w:val="32"/>
          <w:highlight w:val="none"/>
          <w:lang w:val="en-US" w:eastAsia="zh-CN"/>
        </w:rPr>
        <w:t>25</w:t>
      </w:r>
      <w:r>
        <w:rPr>
          <w:rFonts w:hint="eastAsia" w:ascii="楷体_GB2312" w:hAnsi="楷体_GB2312" w:eastAsia="楷体_GB2312" w:cs="楷体_GB2312"/>
          <w:b w:val="0"/>
          <w:bCs/>
          <w:color w:val="auto"/>
          <w:spacing w:val="0"/>
          <w:sz w:val="32"/>
          <w:szCs w:val="32"/>
          <w:highlight w:val="none"/>
        </w:rPr>
        <w:t>年</w:t>
      </w:r>
      <w:r>
        <w:rPr>
          <w:rFonts w:hint="eastAsia" w:ascii="楷体_GB2312" w:hAnsi="楷体_GB2312" w:eastAsia="楷体_GB2312" w:cs="楷体_GB2312"/>
          <w:b w:val="0"/>
          <w:bCs/>
          <w:color w:val="auto"/>
          <w:spacing w:val="0"/>
          <w:sz w:val="32"/>
          <w:szCs w:val="32"/>
          <w:highlight w:val="none"/>
          <w:lang w:eastAsia="zh-CN"/>
        </w:rPr>
        <w:t>预算任务的主要措施</w:t>
      </w:r>
    </w:p>
    <w:p w14:paraId="5FDAE2E1">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Times New Roman" w:eastAsia="仿宋_GB2312"/>
          <w:color w:val="auto"/>
          <w:spacing w:val="0"/>
          <w:sz w:val="32"/>
          <w:szCs w:val="32"/>
          <w:highlight w:val="none"/>
          <w:lang w:val="en-US" w:eastAsia="zh-CN"/>
        </w:rPr>
      </w:pPr>
      <w:r>
        <w:rPr>
          <w:rFonts w:hint="eastAsia" w:ascii="仿宋_GB2312" w:hAnsi="Times New Roman" w:eastAsia="仿宋_GB2312"/>
          <w:color w:val="auto"/>
          <w:spacing w:val="0"/>
          <w:sz w:val="32"/>
          <w:szCs w:val="32"/>
          <w:highlight w:val="none"/>
          <w:lang w:val="en-US" w:eastAsia="zh-CN"/>
        </w:rPr>
        <w:t>1.强化税源管理。按照“依法征收、应收尽收”的原则，健全完善上下联动、横向互动、多方协作的收入共治机制，深入企业了解情况，走访重点企业。掌握企业纳税一手资料，并建立台账。强化财政、税务等部门协同机制，依法依规加强税收征管，挖掘非税收入潜力，实现各税种应收尽收，颗粒归仓，足额征收应征的预算收入，提高收入质量。</w:t>
      </w:r>
    </w:p>
    <w:p w14:paraId="59AE2FB4">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Times New Roman" w:eastAsia="仿宋_GB2312"/>
          <w:color w:val="auto"/>
          <w:spacing w:val="0"/>
          <w:sz w:val="32"/>
          <w:szCs w:val="32"/>
          <w:highlight w:val="none"/>
          <w:lang w:val="en-US" w:eastAsia="zh-CN"/>
        </w:rPr>
      </w:pPr>
      <w:r>
        <w:rPr>
          <w:rFonts w:hint="eastAsia" w:ascii="仿宋_GB2312" w:hAnsi="Times New Roman" w:eastAsia="仿宋_GB2312"/>
          <w:color w:val="auto"/>
          <w:spacing w:val="0"/>
          <w:sz w:val="32"/>
          <w:szCs w:val="32"/>
          <w:highlight w:val="none"/>
          <w:lang w:val="en-US" w:eastAsia="zh-CN"/>
        </w:rPr>
        <w:t>2.贯彻落实过紧日子要求。坚持党政机关过紧日子，将过紧日子的要求长期坚持下去。严把预算关口，加强预算执行监控，完善支出审核机制，压缩一切不必要的开支。强化过紧日子监督，与审计监督结合起来，加强监督检查，及时发现问题、堵塞漏洞、改进管理。积极调整财政支出结构，下大力气盘活、调整存量，集中财力办大事，全力保障党委、政府安排部署的大事要事。</w:t>
      </w:r>
    </w:p>
    <w:p w14:paraId="16F810A1">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Times New Roman" w:eastAsia="仿宋_GB2312"/>
          <w:color w:val="auto"/>
          <w:spacing w:val="0"/>
          <w:sz w:val="32"/>
          <w:szCs w:val="32"/>
          <w:highlight w:val="none"/>
          <w:lang w:val="en-US" w:eastAsia="zh-CN"/>
        </w:rPr>
      </w:pPr>
      <w:r>
        <w:rPr>
          <w:rFonts w:hint="eastAsia" w:ascii="仿宋_GB2312" w:hAnsi="Times New Roman" w:eastAsia="仿宋_GB2312"/>
          <w:color w:val="auto"/>
          <w:spacing w:val="0"/>
          <w:sz w:val="32"/>
          <w:szCs w:val="32"/>
          <w:highlight w:val="none"/>
          <w:lang w:val="en-US" w:eastAsia="zh-CN"/>
        </w:rPr>
        <w:t>3.提升财政管理效能。坚持《预算法》法定原则，实现预算编制、执行、核算、内控、绩效、监督等一体化全流程管理。全面深化预算绩效管理，加强重点绩效评价和评价结果应用，持续提高财政资金使用效益。推进财政信息公开，完善财政总预、决算公开、部门预、决算公开、“三公”经费预、决算公开的财政信息公开体系，扩大公开范围，细化公开内容，持续推动“阳光财政”建设。</w:t>
      </w:r>
    </w:p>
    <w:p w14:paraId="43D90C4F">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Times New Roman" w:eastAsia="仿宋_GB2312"/>
          <w:color w:val="auto"/>
          <w:spacing w:val="0"/>
          <w:sz w:val="32"/>
          <w:szCs w:val="32"/>
          <w:highlight w:val="none"/>
          <w:lang w:val="en-US" w:eastAsia="zh-CN"/>
        </w:rPr>
      </w:pPr>
      <w:r>
        <w:rPr>
          <w:rFonts w:hint="eastAsia" w:ascii="仿宋_GB2312" w:hAnsi="Times New Roman" w:eastAsia="仿宋_GB2312"/>
          <w:color w:val="auto"/>
          <w:spacing w:val="0"/>
          <w:sz w:val="32"/>
          <w:szCs w:val="32"/>
          <w:highlight w:val="none"/>
          <w:lang w:val="en-US" w:eastAsia="zh-CN"/>
        </w:rPr>
        <w:t>各位代表，2024年，我们迎难而上，砥砺前行，财政运行经受住了严峻考验，各项工作在攻坚克难中取得了新进展。同时，我们也清醒地认识到，当前财政运行中结构性矛盾依然突出，可持续性面临挑战，管理效能仍需提升。2025年是实现“十四五”规划目标任务的关键一年，做好财政工作责任重大、使命光荣。镇财政将进一步增强忧患意识、强化底线思维、发扬斗争精神，我们将在镇党委、镇政府的正确领导下，在镇人大的监督支持下，紧紧围绕中心工作，以更大力度开源节流，千方百计稳定财政收入；以更优结构保障重点，精打细算过好“紧日子”；以更实举措深化改革，提升财政资源配置效率；以更强担当防范风险，牢牢守住安全发展底线。我们将坚定信心，锐意进取，扎实工作，努力完成全年各项目标任务，为采育镇经济社会持续健康发展提供更加有力的支撑。</w:t>
      </w:r>
    </w:p>
    <w:p w14:paraId="78DF6A30">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Times New Roman" w:eastAsia="仿宋_GB2312"/>
          <w:color w:val="auto"/>
          <w:spacing w:val="0"/>
          <w:sz w:val="32"/>
          <w:szCs w:val="32"/>
          <w:highlight w:val="none"/>
          <w:lang w:val="en-US" w:eastAsia="zh-CN"/>
        </w:rPr>
      </w:pPr>
      <w:r>
        <w:rPr>
          <w:rFonts w:hint="eastAsia" w:ascii="仿宋_GB2312" w:hAnsi="Times New Roman" w:eastAsia="仿宋_GB2312"/>
          <w:color w:val="auto"/>
          <w:spacing w:val="0"/>
          <w:sz w:val="32"/>
          <w:szCs w:val="32"/>
          <w:highlight w:val="none"/>
          <w:lang w:val="en-US" w:eastAsia="zh-CN"/>
        </w:rPr>
        <w:t>以上报告，请予审议。</w:t>
      </w:r>
    </w:p>
    <w:sectPr>
      <w:footerReference r:id="rId3" w:type="default"/>
      <w:pgSz w:w="11906" w:h="16838"/>
      <w:pgMar w:top="2098" w:right="1474" w:bottom="1984" w:left="1587" w:header="851" w:footer="992" w:gutter="0"/>
      <w:pgBorders>
        <w:top w:val="none" w:sz="0" w:space="0"/>
        <w:left w:val="none" w:sz="0" w:space="0"/>
        <w:bottom w:val="none" w:sz="0" w:space="0"/>
        <w:right w:val="none" w:sz="0" w:space="0"/>
      </w:pgBorders>
      <w:pgNumType w:fmt="numberInDash"/>
      <w:cols w:space="720" w:num="1"/>
      <w:rtlGutter w:val="0"/>
      <w:docGrid w:type="lines" w:linePitch="57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等线">
    <w:panose1 w:val="02010600030101010101"/>
    <w:charset w:val="86"/>
    <w:family w:val="auto"/>
    <w:pitch w:val="default"/>
    <w:sig w:usb0="A00002BF" w:usb1="38CF7CFA" w:usb2="00000016" w:usb3="00000000" w:csb0="0004000F" w:csb1="00000000"/>
  </w:font>
  <w:font w:name="楷体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67222A7">
    <w:pPr>
      <w:pStyle w:val="7"/>
      <w:rPr>
        <w:sz w:val="28"/>
        <w:szCs w:val="28"/>
      </w:rPr>
    </w:pPr>
    <w:r>
      <w:rPr>
        <w:rFonts w:ascii="Calibri" w:hAnsi="Calibri" w:eastAsia="宋体" w:cs="黑体"/>
        <w:kern w:val="2"/>
        <w:sz w:val="18"/>
        <w:szCs w:val="22"/>
        <w:lang w:val="en-US" w:eastAsia="zh-CN" w:bidi="ar-SA"/>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wps:spPr>
                      <a:xfrm>
                        <a:off x="0" y="0"/>
                        <a:ext cx="1828800" cy="1828800"/>
                      </a:xfrm>
                      <a:prstGeom prst="rect">
                        <a:avLst/>
                      </a:prstGeom>
                      <a:noFill/>
                      <a:ln>
                        <a:noFill/>
                      </a:ln>
                    </wps:spPr>
                    <wps:txbx>
                      <w:txbxContent>
                        <w:p w14:paraId="17BA326E">
                          <w:pPr>
                            <w:pStyle w:val="7"/>
                            <w:rPr>
                              <w:rFonts w:hint="eastAsia" w:eastAsia="宋体"/>
                              <w:lang w:val="en-US" w:eastAsia="zh-CN"/>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p>
                      </w:txbxContent>
                    </wps:txbx>
                    <wps:bodyPr wrap="none" lIns="0" tIns="0" rIns="0" bIns="0" upright="1">
                      <a:spAutoFit/>
                    </wps:bodyPr>
                  </wps:wsp>
                </a:graphicData>
              </a:graphic>
            </wp:anchor>
          </w:drawing>
        </mc:Choice>
        <mc:Fallback>
          <w:pict>
            <v:rect id="文本框 1" o:spid="_x0000_s1026" o:spt="1"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">
              <v:fill on="f" focussize="0,0"/>
              <v:stroke on="f"/>
              <v:imagedata o:title=""/>
              <o:lock v:ext="edit" aspectratio="f"/>
              <v:textbox inset="0mm,0mm,0mm,0mm" style="mso-fit-shape-to-text:t;">
                <w:txbxContent>
                  <w:p w14:paraId="17BA326E">
                    <w:pPr>
                      <w:pStyle w:val="7"/>
                      <w:rPr>
                        <w:rFonts w:hint="eastAsia" w:eastAsia="宋体"/>
                        <w:lang w:val="en-US" w:eastAsia="zh-CN"/>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p>
                </w:txbxContent>
              </v:textbox>
            </v:rect>
          </w:pict>
        </mc:Fallback>
      </mc:AlternateContent>
    </w:r>
    <w:r>
      <w:rPr>
        <w:rFonts w:hint="eastAsia"/>
        <w:lang w:val="en-US" w:eastAsia="zh-CN"/>
      </w:rPr>
      <w:t xml:space="preserve"> </w: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F786D7E"/>
    <w:multiLevelType w:val="singleLevel"/>
    <w:tmpl w:val="1F786D7E"/>
    <w:lvl w:ilvl="0" w:tentative="0">
      <w:start w:val="2"/>
      <w:numFmt w:val="decimal"/>
      <w:pStyle w:val="19"/>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oNotDisplayPageBoundaries w:val="1"/>
  <w:bordersDoNotSurroundHeader w:val="0"/>
  <w:bordersDoNotSurroundFooter w:val="0"/>
  <w:documentProtection w:enforcement="0"/>
  <w:defaultTabStop w:val="420"/>
  <w:drawingGridVerticalSpacing w:val="290"/>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hkZTlhY2Q4YzMwZGYyZGE0ZWMyNzIxOWQ0Njc1MGQifQ=="/>
  </w:docVars>
  <w:rsids>
    <w:rsidRoot w:val="35A36FB0"/>
    <w:rsid w:val="00C67F17"/>
    <w:rsid w:val="012531F6"/>
    <w:rsid w:val="015C4102"/>
    <w:rsid w:val="018C5AE9"/>
    <w:rsid w:val="01BF5D05"/>
    <w:rsid w:val="0258709C"/>
    <w:rsid w:val="029015C2"/>
    <w:rsid w:val="02E1151B"/>
    <w:rsid w:val="032D5B2F"/>
    <w:rsid w:val="03344B3A"/>
    <w:rsid w:val="039A368D"/>
    <w:rsid w:val="039C4D9E"/>
    <w:rsid w:val="04491B72"/>
    <w:rsid w:val="057B0E7B"/>
    <w:rsid w:val="06BF75C9"/>
    <w:rsid w:val="06EF5D67"/>
    <w:rsid w:val="07A839F2"/>
    <w:rsid w:val="07EA5790"/>
    <w:rsid w:val="097B229A"/>
    <w:rsid w:val="09D75426"/>
    <w:rsid w:val="09EB1E3E"/>
    <w:rsid w:val="09EF6C13"/>
    <w:rsid w:val="0B177823"/>
    <w:rsid w:val="0B3D59F5"/>
    <w:rsid w:val="0C0B6AC2"/>
    <w:rsid w:val="0C2636D0"/>
    <w:rsid w:val="0C33440D"/>
    <w:rsid w:val="0CAC35CA"/>
    <w:rsid w:val="0DCE11E5"/>
    <w:rsid w:val="0E5138A3"/>
    <w:rsid w:val="0F7A3CB5"/>
    <w:rsid w:val="0FF154E5"/>
    <w:rsid w:val="10252215"/>
    <w:rsid w:val="10772724"/>
    <w:rsid w:val="11091B7F"/>
    <w:rsid w:val="11842CA3"/>
    <w:rsid w:val="11A86C7A"/>
    <w:rsid w:val="11EC1281"/>
    <w:rsid w:val="12C07A63"/>
    <w:rsid w:val="13135720"/>
    <w:rsid w:val="13A51F4B"/>
    <w:rsid w:val="13FF24A0"/>
    <w:rsid w:val="14A950BF"/>
    <w:rsid w:val="14DD604C"/>
    <w:rsid w:val="14F24F3A"/>
    <w:rsid w:val="14FC3E5F"/>
    <w:rsid w:val="15F10256"/>
    <w:rsid w:val="16AE77BD"/>
    <w:rsid w:val="175A37A9"/>
    <w:rsid w:val="17642CF4"/>
    <w:rsid w:val="17D72A35"/>
    <w:rsid w:val="17E572BA"/>
    <w:rsid w:val="18031C4D"/>
    <w:rsid w:val="182A5FF9"/>
    <w:rsid w:val="19086B8E"/>
    <w:rsid w:val="193C10CB"/>
    <w:rsid w:val="19F618AF"/>
    <w:rsid w:val="1A5C03DD"/>
    <w:rsid w:val="1A760F1A"/>
    <w:rsid w:val="1AAC6318"/>
    <w:rsid w:val="1AE965E1"/>
    <w:rsid w:val="1B1865D4"/>
    <w:rsid w:val="1C136A2D"/>
    <w:rsid w:val="1C3434C3"/>
    <w:rsid w:val="1C82484B"/>
    <w:rsid w:val="1CE50E03"/>
    <w:rsid w:val="1D350989"/>
    <w:rsid w:val="1DA17DCD"/>
    <w:rsid w:val="1DE446FA"/>
    <w:rsid w:val="1EB9790D"/>
    <w:rsid w:val="1EC73863"/>
    <w:rsid w:val="1F3735D8"/>
    <w:rsid w:val="1F4D460B"/>
    <w:rsid w:val="1FDF5A7B"/>
    <w:rsid w:val="20294D99"/>
    <w:rsid w:val="20352039"/>
    <w:rsid w:val="21E16BFF"/>
    <w:rsid w:val="21FA24E2"/>
    <w:rsid w:val="221E2731"/>
    <w:rsid w:val="228A1C17"/>
    <w:rsid w:val="229E6AE0"/>
    <w:rsid w:val="22A3174B"/>
    <w:rsid w:val="22ED11D2"/>
    <w:rsid w:val="23940132"/>
    <w:rsid w:val="24443A10"/>
    <w:rsid w:val="24464A7B"/>
    <w:rsid w:val="250C0FCD"/>
    <w:rsid w:val="25875AFA"/>
    <w:rsid w:val="25AE066D"/>
    <w:rsid w:val="26DE5AB5"/>
    <w:rsid w:val="270C517B"/>
    <w:rsid w:val="27A50DA5"/>
    <w:rsid w:val="27D020F6"/>
    <w:rsid w:val="287F6961"/>
    <w:rsid w:val="2895453F"/>
    <w:rsid w:val="28A57AA2"/>
    <w:rsid w:val="29A3203F"/>
    <w:rsid w:val="29AD6226"/>
    <w:rsid w:val="2A0D1370"/>
    <w:rsid w:val="2A593A29"/>
    <w:rsid w:val="2A6A5433"/>
    <w:rsid w:val="2AA23BF2"/>
    <w:rsid w:val="2B001351"/>
    <w:rsid w:val="2BCE57C2"/>
    <w:rsid w:val="2C534F80"/>
    <w:rsid w:val="2D9056F2"/>
    <w:rsid w:val="2F655DD0"/>
    <w:rsid w:val="304B7D4A"/>
    <w:rsid w:val="30D1332E"/>
    <w:rsid w:val="30ED7CF1"/>
    <w:rsid w:val="323A72C6"/>
    <w:rsid w:val="327B20AA"/>
    <w:rsid w:val="32B21FCA"/>
    <w:rsid w:val="332F5071"/>
    <w:rsid w:val="334B50DB"/>
    <w:rsid w:val="340B3506"/>
    <w:rsid w:val="34337579"/>
    <w:rsid w:val="343B2A57"/>
    <w:rsid w:val="34F35E1B"/>
    <w:rsid w:val="35110A0F"/>
    <w:rsid w:val="356B689E"/>
    <w:rsid w:val="35A36FB0"/>
    <w:rsid w:val="35D22B46"/>
    <w:rsid w:val="35E870F3"/>
    <w:rsid w:val="35EB79DF"/>
    <w:rsid w:val="366F49C4"/>
    <w:rsid w:val="371A785B"/>
    <w:rsid w:val="375770DE"/>
    <w:rsid w:val="383F4891"/>
    <w:rsid w:val="38601196"/>
    <w:rsid w:val="39AA4D51"/>
    <w:rsid w:val="39AD0219"/>
    <w:rsid w:val="39DA3597"/>
    <w:rsid w:val="39FF0275"/>
    <w:rsid w:val="3AFD67F6"/>
    <w:rsid w:val="3B457B92"/>
    <w:rsid w:val="3B7037DC"/>
    <w:rsid w:val="3BA0301A"/>
    <w:rsid w:val="3C663A24"/>
    <w:rsid w:val="3C9B3F0D"/>
    <w:rsid w:val="3CFA2DB0"/>
    <w:rsid w:val="3D222879"/>
    <w:rsid w:val="3DF245BE"/>
    <w:rsid w:val="3F1266E0"/>
    <w:rsid w:val="3F3A0307"/>
    <w:rsid w:val="3F5D1294"/>
    <w:rsid w:val="3FE95904"/>
    <w:rsid w:val="41432DC5"/>
    <w:rsid w:val="416D6359"/>
    <w:rsid w:val="416F7114"/>
    <w:rsid w:val="41804A4C"/>
    <w:rsid w:val="424A663D"/>
    <w:rsid w:val="42C82AE2"/>
    <w:rsid w:val="432440BC"/>
    <w:rsid w:val="434244D0"/>
    <w:rsid w:val="44656170"/>
    <w:rsid w:val="45256E1F"/>
    <w:rsid w:val="453F4552"/>
    <w:rsid w:val="4541567E"/>
    <w:rsid w:val="469C5295"/>
    <w:rsid w:val="47716CD4"/>
    <w:rsid w:val="480C7D86"/>
    <w:rsid w:val="486A50DB"/>
    <w:rsid w:val="491C4628"/>
    <w:rsid w:val="49C23113"/>
    <w:rsid w:val="49DB6EDE"/>
    <w:rsid w:val="49F136B9"/>
    <w:rsid w:val="49FC0B25"/>
    <w:rsid w:val="4A0363C7"/>
    <w:rsid w:val="4A1B5444"/>
    <w:rsid w:val="4AA2091E"/>
    <w:rsid w:val="4B043FCB"/>
    <w:rsid w:val="4B55036C"/>
    <w:rsid w:val="4BA601D9"/>
    <w:rsid w:val="4BAF6219"/>
    <w:rsid w:val="4BB00BCB"/>
    <w:rsid w:val="4CBB312B"/>
    <w:rsid w:val="4CCC3C6F"/>
    <w:rsid w:val="4D5A45CE"/>
    <w:rsid w:val="4D6E0C3E"/>
    <w:rsid w:val="4E3B6DC0"/>
    <w:rsid w:val="4E426377"/>
    <w:rsid w:val="4F2953A8"/>
    <w:rsid w:val="4F502317"/>
    <w:rsid w:val="4FD62C78"/>
    <w:rsid w:val="4FF13411"/>
    <w:rsid w:val="5003275A"/>
    <w:rsid w:val="500923D2"/>
    <w:rsid w:val="50C57D36"/>
    <w:rsid w:val="514834D7"/>
    <w:rsid w:val="51A715C3"/>
    <w:rsid w:val="51E03BC7"/>
    <w:rsid w:val="522A47BF"/>
    <w:rsid w:val="526B3F2A"/>
    <w:rsid w:val="53FE77F5"/>
    <w:rsid w:val="540F1FE3"/>
    <w:rsid w:val="55832158"/>
    <w:rsid w:val="55BE59B1"/>
    <w:rsid w:val="55D847C2"/>
    <w:rsid w:val="56983C42"/>
    <w:rsid w:val="57551807"/>
    <w:rsid w:val="57CF61AB"/>
    <w:rsid w:val="57E60AD3"/>
    <w:rsid w:val="58A60833"/>
    <w:rsid w:val="591B5778"/>
    <w:rsid w:val="59887BFB"/>
    <w:rsid w:val="5A12669A"/>
    <w:rsid w:val="5A8A0945"/>
    <w:rsid w:val="5B705917"/>
    <w:rsid w:val="5BD775DE"/>
    <w:rsid w:val="5CC626DF"/>
    <w:rsid w:val="5CF00329"/>
    <w:rsid w:val="5D973B51"/>
    <w:rsid w:val="5DEF15A4"/>
    <w:rsid w:val="5E391380"/>
    <w:rsid w:val="5E8F2D4E"/>
    <w:rsid w:val="5EE67715"/>
    <w:rsid w:val="5F1E585D"/>
    <w:rsid w:val="5F3302E6"/>
    <w:rsid w:val="5F9276CB"/>
    <w:rsid w:val="605E2366"/>
    <w:rsid w:val="615C43EA"/>
    <w:rsid w:val="61D442C5"/>
    <w:rsid w:val="61E1504C"/>
    <w:rsid w:val="62C7476E"/>
    <w:rsid w:val="6387086A"/>
    <w:rsid w:val="6484649B"/>
    <w:rsid w:val="64D352C3"/>
    <w:rsid w:val="650E5E54"/>
    <w:rsid w:val="661701F9"/>
    <w:rsid w:val="66671530"/>
    <w:rsid w:val="66FD74D3"/>
    <w:rsid w:val="67954732"/>
    <w:rsid w:val="67AF2CB3"/>
    <w:rsid w:val="67BE7B7A"/>
    <w:rsid w:val="67C455FF"/>
    <w:rsid w:val="67DD5C83"/>
    <w:rsid w:val="67FA4E77"/>
    <w:rsid w:val="68867738"/>
    <w:rsid w:val="68F54070"/>
    <w:rsid w:val="6946572A"/>
    <w:rsid w:val="69B53FB1"/>
    <w:rsid w:val="69E70A97"/>
    <w:rsid w:val="6A0C578B"/>
    <w:rsid w:val="6A813E93"/>
    <w:rsid w:val="6B0B6E42"/>
    <w:rsid w:val="6B160786"/>
    <w:rsid w:val="6B904B99"/>
    <w:rsid w:val="6C2055B4"/>
    <w:rsid w:val="6CBA368C"/>
    <w:rsid w:val="6D2B5C5C"/>
    <w:rsid w:val="6DF47EAA"/>
    <w:rsid w:val="6EA74F40"/>
    <w:rsid w:val="6FC0103C"/>
    <w:rsid w:val="71B013FC"/>
    <w:rsid w:val="72477710"/>
    <w:rsid w:val="72827920"/>
    <w:rsid w:val="73171838"/>
    <w:rsid w:val="73DA6117"/>
    <w:rsid w:val="74327906"/>
    <w:rsid w:val="74A17D9C"/>
    <w:rsid w:val="74DE19F7"/>
    <w:rsid w:val="74E20DD2"/>
    <w:rsid w:val="74FD54CF"/>
    <w:rsid w:val="75752300"/>
    <w:rsid w:val="757A2DD9"/>
    <w:rsid w:val="7599326B"/>
    <w:rsid w:val="75CF63FA"/>
    <w:rsid w:val="76191423"/>
    <w:rsid w:val="76AC546D"/>
    <w:rsid w:val="76D335A8"/>
    <w:rsid w:val="76EC126E"/>
    <w:rsid w:val="76F325A8"/>
    <w:rsid w:val="77866F8C"/>
    <w:rsid w:val="783A38D3"/>
    <w:rsid w:val="789909A3"/>
    <w:rsid w:val="78E32469"/>
    <w:rsid w:val="79E96CFB"/>
    <w:rsid w:val="7B356058"/>
    <w:rsid w:val="7BEF1BFB"/>
    <w:rsid w:val="7C1F4937"/>
    <w:rsid w:val="7C2154D6"/>
    <w:rsid w:val="7C6E3C72"/>
    <w:rsid w:val="7D0228CD"/>
    <w:rsid w:val="7D133070"/>
    <w:rsid w:val="7D1F5BA7"/>
    <w:rsid w:val="7DD15DDC"/>
    <w:rsid w:val="7E424982"/>
    <w:rsid w:val="7E8D63C4"/>
    <w:rsid w:val="7EE75651"/>
    <w:rsid w:val="7F470CBA"/>
    <w:rsid w:val="7F6464B4"/>
    <w:rsid w:val="7F8A5140"/>
    <w:rsid w:val="7FDE68D3"/>
    <w:rsid w:val="7FE17456"/>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paragraph" w:styleId="2">
    <w:name w:val="heading 1"/>
    <w:basedOn w:val="1"/>
    <w:next w:val="1"/>
    <w:qFormat/>
    <w:uiPriority w:val="9"/>
    <w:pPr>
      <w:outlineLvl w:val="0"/>
    </w:pPr>
    <w:rPr>
      <w:sz w:val="28"/>
      <w:szCs w:val="28"/>
    </w:rPr>
  </w:style>
  <w:style w:type="character" w:default="1" w:styleId="14">
    <w:name w:val="Default Paragraph Font"/>
    <w:semiHidden/>
    <w:qFormat/>
    <w:uiPriority w:val="0"/>
  </w:style>
  <w:style w:type="table" w:default="1" w:styleId="13">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ind w:firstLine="420" w:firstLineChars="200"/>
    </w:pPr>
  </w:style>
  <w:style w:type="paragraph" w:styleId="4">
    <w:name w:val="Body Text"/>
    <w:basedOn w:val="1"/>
    <w:next w:val="1"/>
    <w:qFormat/>
    <w:uiPriority w:val="0"/>
    <w:rPr>
      <w:rFonts w:eastAsia="仿宋_GB2312"/>
      <w:sz w:val="32"/>
    </w:rPr>
  </w:style>
  <w:style w:type="paragraph" w:styleId="5">
    <w:name w:val="toc 3"/>
    <w:basedOn w:val="1"/>
    <w:next w:val="1"/>
    <w:qFormat/>
    <w:uiPriority w:val="0"/>
    <w:pPr>
      <w:ind w:left="420"/>
    </w:pPr>
    <w:rPr>
      <w:rFonts w:ascii="等线" w:hAnsi="等线" w:eastAsia="等线"/>
      <w:b/>
      <w:sz w:val="30"/>
      <w:szCs w:val="30"/>
    </w:rPr>
  </w:style>
  <w:style w:type="paragraph" w:styleId="6">
    <w:name w:val="Body Text Indent 2"/>
    <w:basedOn w:val="1"/>
    <w:qFormat/>
    <w:uiPriority w:val="0"/>
    <w:pPr>
      <w:adjustRightInd w:val="0"/>
      <w:spacing w:line="560" w:lineRule="exact"/>
      <w:ind w:firstLine="640" w:firstLineChars="200"/>
    </w:pPr>
    <w:rPr>
      <w:rFonts w:ascii="楷体_GB2312" w:hAnsi="Times New Roman" w:eastAsia="楷体_GB2312"/>
      <w:sz w:val="32"/>
      <w:szCs w:val="32"/>
    </w:rPr>
  </w:style>
  <w:style w:type="paragraph" w:styleId="7">
    <w:name w:val="footer"/>
    <w:basedOn w:val="1"/>
    <w:qFormat/>
    <w:uiPriority w:val="0"/>
    <w:pPr>
      <w:tabs>
        <w:tab w:val="center" w:pos="4153"/>
        <w:tab w:val="right" w:pos="8306"/>
      </w:tabs>
      <w:snapToGrid w:val="0"/>
      <w:jc w:val="left"/>
    </w:pPr>
    <w:rPr>
      <w:sz w:val="18"/>
    </w:rPr>
  </w:style>
  <w:style w:type="paragraph" w:styleId="8">
    <w:name w:val="header"/>
    <w:basedOn w:val="1"/>
    <w:next w:val="1"/>
    <w:qFormat/>
    <w:uiPriority w:val="0"/>
    <w:pPr>
      <w:pBdr>
        <w:bottom w:val="single" w:color="auto" w:sz="6" w:space="1"/>
      </w:pBdr>
      <w:tabs>
        <w:tab w:val="center" w:pos="4153"/>
        <w:tab w:val="right" w:pos="8306"/>
      </w:tabs>
      <w:snapToGrid w:val="0"/>
      <w:jc w:val="center"/>
    </w:pPr>
    <w:rPr>
      <w:sz w:val="18"/>
      <w:szCs w:val="18"/>
    </w:rPr>
  </w:style>
  <w:style w:type="paragraph" w:styleId="9">
    <w:name w:val="toc 1"/>
    <w:basedOn w:val="1"/>
    <w:next w:val="1"/>
    <w:qFormat/>
    <w:uiPriority w:val="0"/>
    <w:pPr>
      <w:spacing w:line="288" w:lineRule="auto"/>
      <w:jc w:val="left"/>
    </w:pPr>
    <w:rPr>
      <w:rFonts w:ascii="宋体" w:hAnsi="Calibri" w:eastAsia="宋体" w:cs="Times New Roman"/>
      <w:color w:val="000000"/>
      <w:szCs w:val="21"/>
    </w:rPr>
  </w:style>
  <w:style w:type="paragraph" w:styleId="10">
    <w:name w:val="Subtitle"/>
    <w:basedOn w:val="1"/>
    <w:qFormat/>
    <w:uiPriority w:val="0"/>
    <w:pPr>
      <w:spacing w:before="240" w:beforeLines="0" w:beforeAutospacing="0" w:after="60" w:afterLines="0" w:afterAutospacing="0" w:line="312" w:lineRule="auto"/>
      <w:jc w:val="center"/>
      <w:outlineLvl w:val="1"/>
    </w:pPr>
    <w:rPr>
      <w:rFonts w:ascii="Arial" w:hAnsi="Arial"/>
      <w:b/>
      <w:kern w:val="28"/>
      <w:sz w:val="32"/>
    </w:rPr>
  </w:style>
  <w:style w:type="paragraph" w:styleId="11">
    <w:name w:val="Normal (Web)"/>
    <w:basedOn w:val="1"/>
    <w:qFormat/>
    <w:uiPriority w:val="0"/>
    <w:pPr>
      <w:spacing w:before="0" w:beforeAutospacing="1" w:after="0" w:afterAutospacing="1"/>
      <w:ind w:left="0" w:right="0"/>
      <w:jc w:val="left"/>
    </w:pPr>
    <w:rPr>
      <w:kern w:val="0"/>
      <w:sz w:val="24"/>
      <w:lang w:val="en-US" w:eastAsia="zh-CN"/>
    </w:rPr>
  </w:style>
  <w:style w:type="paragraph" w:styleId="12">
    <w:name w:val="Body Text First Indent"/>
    <w:basedOn w:val="4"/>
    <w:qFormat/>
    <w:uiPriority w:val="0"/>
    <w:pPr>
      <w:ind w:firstLine="420"/>
    </w:pPr>
  </w:style>
  <w:style w:type="character" w:styleId="15">
    <w:name w:val="Strong"/>
    <w:basedOn w:val="14"/>
    <w:qFormat/>
    <w:uiPriority w:val="0"/>
    <w:rPr>
      <w:b/>
    </w:rPr>
  </w:style>
  <w:style w:type="paragraph" w:customStyle="1" w:styleId="16">
    <w:name w:val="TOC 11"/>
    <w:next w:val="1"/>
    <w:qFormat/>
    <w:uiPriority w:val="0"/>
    <w:pPr>
      <w:wordWrap w:val="0"/>
      <w:jc w:val="both"/>
    </w:pPr>
    <w:rPr>
      <w:rFonts w:ascii="Times New Roman" w:hAnsi="Times New Roman" w:eastAsia="宋体" w:cs="Times New Roman"/>
      <w:sz w:val="21"/>
      <w:szCs w:val="22"/>
      <w:lang w:val="en-US" w:eastAsia="zh-CN" w:bidi="ar-SA"/>
    </w:rPr>
  </w:style>
  <w:style w:type="paragraph" w:customStyle="1" w:styleId="17">
    <w:name w:val="目录 11"/>
    <w:next w:val="1"/>
    <w:qFormat/>
    <w:uiPriority w:val="99"/>
    <w:pPr>
      <w:wordWrap w:val="0"/>
      <w:jc w:val="both"/>
    </w:pPr>
    <w:rPr>
      <w:rFonts w:ascii="Times New Roman" w:hAnsi="Times New Roman" w:eastAsia="宋体" w:cs="Times New Roman"/>
      <w:kern w:val="0"/>
      <w:sz w:val="21"/>
      <w:szCs w:val="22"/>
      <w:lang w:val="en-US" w:eastAsia="zh-CN" w:bidi="ar-SA"/>
    </w:rPr>
  </w:style>
  <w:style w:type="paragraph" w:customStyle="1" w:styleId="18">
    <w:name w:val="Pa0"/>
    <w:basedOn w:val="1"/>
    <w:next w:val="1"/>
    <w:qFormat/>
    <w:uiPriority w:val="99"/>
    <w:pPr>
      <w:autoSpaceDE w:val="0"/>
      <w:autoSpaceDN w:val="0"/>
      <w:adjustRightInd w:val="0"/>
      <w:spacing w:line="441" w:lineRule="atLeast"/>
      <w:jc w:val="left"/>
    </w:pPr>
    <w:rPr>
      <w:rFonts w:ascii="方正小标宋简体" w:eastAsia="方正小标宋简体"/>
      <w:kern w:val="0"/>
      <w:sz w:val="24"/>
      <w:szCs w:val="24"/>
    </w:rPr>
  </w:style>
  <w:style w:type="paragraph" w:customStyle="1" w:styleId="19">
    <w:name w:val="公文三层"/>
    <w:basedOn w:val="1"/>
    <w:next w:val="10"/>
    <w:qFormat/>
    <w:uiPriority w:val="0"/>
    <w:pPr>
      <w:numPr>
        <w:ilvl w:val="0"/>
        <w:numId w:val="1"/>
      </w:numPr>
      <w:spacing w:line="480" w:lineRule="auto"/>
      <w:ind w:firstLine="643" w:firstLineChars="200"/>
      <w:jc w:val="left"/>
    </w:pPr>
    <w:rPr>
      <w:rFonts w:hint="eastAsia" w:ascii="仿宋_GB2312" w:hAnsi="仿宋_GB2312" w:eastAsia="仿宋_GB2312" w:cs="仿宋_GB2312"/>
      <w:bCs/>
      <w:sz w:val="32"/>
      <w:szCs w:val="32"/>
    </w:rPr>
  </w:style>
  <w:style w:type="paragraph" w:customStyle="1" w:styleId="20">
    <w:name w:val="p0"/>
    <w:basedOn w:val="1"/>
    <w:qFormat/>
    <w:uiPriority w:val="0"/>
    <w:pPr>
      <w:widowControl/>
    </w:pPr>
    <w:rPr>
      <w:kern w:val="0"/>
      <w:szCs w:val="21"/>
    </w:rPr>
  </w:style>
  <w:style w:type="paragraph" w:customStyle="1" w:styleId="21">
    <w:name w:val="p17"/>
    <w:basedOn w:val="1"/>
    <w:qFormat/>
    <w:uiPriority w:val="0"/>
    <w:pPr>
      <w:widowControl/>
      <w:spacing w:after="120"/>
      <w:ind w:left="420"/>
    </w:pPr>
    <w:rPr>
      <w:kern w:val="0"/>
      <w:sz w:val="32"/>
      <w:szCs w:val="3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111</Company>
  <Pages>11</Pages>
  <Words>4682</Words>
  <Characters>5596</Characters>
  <Lines>0</Lines>
  <Paragraphs>0</Paragraphs>
  <TotalTime>141</TotalTime>
  <ScaleCrop>false</ScaleCrop>
  <LinksUpToDate>false</LinksUpToDate>
  <CharactersWithSpaces>5601</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2021-01-09T07:08:00Z</dcterms:created>
  <dc:creator>Administrator</dc:creator>
  <cp:lastModifiedBy>曾。梦想</cp:lastModifiedBy>
  <cp:lastPrinted>2025-07-28T07:29:00Z</cp:lastPrinted>
  <dcterms:modified xsi:type="dcterms:W3CDTF">2025-09-18T02:09:49Z</dcterms:modified>
  <dc:title>大兴区采育镇2021年财政预算</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A1B04B411A314720A9B59FF375ADB07E_13</vt:lpwstr>
  </property>
  <property fmtid="{D5CDD505-2E9C-101B-9397-08002B2CF9AE}" pid="4" name="KSOTemplateDocerSaveRecord">
    <vt:lpwstr>eyJoZGlkIjoiYjhkZTlhY2Q4YzMwZGYyZGE0ZWMyNzIxOWQ0Njc1MGQiLCJ1c2VySWQiOiIxNTk1NTYxNjU0In0=</vt:lpwstr>
  </property>
</Properties>
</file>