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Times New Roman" w:eastAsia="方正小标宋简体" w:cs="Times New Roman"/>
          <w:color w:val="auto"/>
          <w:sz w:val="44"/>
          <w:szCs w:val="24"/>
        </w:rPr>
      </w:pPr>
      <w:r>
        <w:rPr>
          <w:rFonts w:hint="eastAsia" w:ascii="方正小标宋简体" w:hAnsi="Times New Roman" w:eastAsia="方正小标宋简体" w:cs="Times New Roman"/>
          <w:color w:val="auto"/>
          <w:sz w:val="44"/>
          <w:szCs w:val="24"/>
        </w:rPr>
        <w:t>目 录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Times New Roman" w:hAnsi="Times New Roman" w:eastAsia="仿宋_GB2312" w:cs="Times New Roman"/>
          <w:b/>
          <w:bCs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24"/>
          <w:szCs w:val="24"/>
        </w:rPr>
        <w:t>第一部分:</w:t>
      </w:r>
      <w:r>
        <w:rPr>
          <w:rFonts w:hint="eastAsia" w:eastAsia="仿宋_GB2312" w:cs="Times New Roman"/>
          <w:b/>
          <w:bCs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4"/>
          <w:szCs w:val="24"/>
          <w:lang w:eastAsia="zh-CN"/>
        </w:rPr>
        <w:t>年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4"/>
          <w:szCs w:val="24"/>
        </w:rPr>
        <w:t>政府决算公开套表（详见附表）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一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年一般公共预算收入决算表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二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年一般公共预算支出决算表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三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年本级一般公共预算支出决算表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四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年一般公共预算基本支出决算表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五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年一般公共预算“三公经费”财政拨款支出决算表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六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年政府性基金预算收入决算表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七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年政府性基金支出决算表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八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年本级政府性基金支出决算表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九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年国有资本经营预算收入决算表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年国有资本经营支出决算表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十一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年本级国有资本经营支出决算表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十二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年社会保险基金预算收入决算表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十三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年社会保险基金预算支出决算表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十四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年一般公共预算税收返还和转移支付明细表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十五 大兴区长子营镇2025年一般公共预算专项转移支付明细表（分项目、分地区）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十六 大兴区长子营镇2025年政府性基金预算转移支付明细表（分地区）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十七 大兴区长子营镇202</w:t>
      </w:r>
      <w:r>
        <w:rPr>
          <w:rFonts w:hint="eastAsia" w:eastAsia="仿宋_GB2312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年政府性基金预算专项转移支付明细表（分项目、分地区）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十八 大兴区长子营镇2025年地方政府债务限额及余额预算情况表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十九 大兴区长子营镇2025年地方政府一般债务余额情况表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二十 大兴区长子营镇2025年地方政府专项债务余额情况表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二十一 大兴区长子营镇2025年地方政府债券发行及还本付息情况表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b/>
          <w:bCs/>
          <w:color w:val="auto"/>
          <w:sz w:val="24"/>
          <w:szCs w:val="24"/>
          <w:lang w:val="en-US" w:eastAsia="zh-CN"/>
        </w:rPr>
        <w:sectPr>
          <w:pgSz w:w="11906" w:h="16838"/>
          <w:pgMar w:top="1701" w:right="1474" w:bottom="1644" w:left="1587" w:header="851" w:footer="992" w:gutter="0"/>
          <w:pgNumType w:start="1"/>
          <w:cols w:space="0" w:num="1"/>
          <w:rtlGutter w:val="0"/>
          <w:docGrid w:type="lines" w:linePitch="312" w:charSpace="0"/>
        </w:sect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注：以上表格中数据由于四舍五入取舍造成的计算误差，均未作机械调</w:t>
      </w:r>
      <w:r>
        <w:rPr>
          <w:rFonts w:hint="eastAsia" w:eastAsia="仿宋_GB2312" w:cs="Times New Roman"/>
          <w:color w:val="auto"/>
          <w:sz w:val="24"/>
          <w:szCs w:val="24"/>
          <w:lang w:val="en-US" w:eastAsia="zh-CN"/>
        </w:rPr>
        <w:t>整。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ascii="Times New Roman" w:hAnsi="Times New Roman" w:eastAsia="仿宋_GB2312" w:cs="Times New Roman"/>
          <w:b/>
          <w:bCs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24"/>
          <w:szCs w:val="24"/>
        </w:rPr>
        <w:t>第二部分:大兴区政府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4"/>
          <w:szCs w:val="24"/>
          <w:lang w:eastAsia="zh-CN"/>
        </w:rPr>
        <w:t>决算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4"/>
          <w:szCs w:val="24"/>
        </w:rPr>
        <w:t>公开套表的说明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一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年一般公共预算收入决算表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二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年一般公共预算支出决算表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三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年本级一般公共预算支出决算表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四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年一般公共预算基本支出决算表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五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年一般公共预算“三公经费”财政拨款支出决算表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六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年政府性基金预算收入决算表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七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年政府性基金支出决算表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八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年本级政府性基金支出决算表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九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年国有资本经营预算收入决算表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年国有资本经营支出决算表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十一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年本级国有资本经营支出决算表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十二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年社会保险基金预算收入决算表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十三 大兴区长子营镇</w:t>
      </w:r>
      <w:r>
        <w:rPr>
          <w:rFonts w:hint="eastAsia" w:eastAsia="仿宋_GB2312" w:cs="Times New Roman"/>
          <w:color w:val="auto"/>
          <w:sz w:val="24"/>
          <w:szCs w:val="24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年社会保险基金预算支出决算表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十四 大兴区长子营镇2025年一般公共预算税收返还和转移支付明细表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十五 大兴区长子营镇2025年一般公共预算专项转移支付明细表（分项目、分地区）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十六 大兴区长子营镇2025年政府性基金预算转移支付明细表（分地区）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十七 大兴区长子营镇202</w:t>
      </w:r>
      <w:r>
        <w:rPr>
          <w:rFonts w:hint="eastAsia" w:eastAsia="仿宋_GB2312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年政府性基金预算专项转移支付明细表（分项目、分地区）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十八 大兴区长子营镇2025年地方政府债务限额及余额预算情况表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十九 大兴区长子营镇2025年地方政府一般债务余额情况表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二十 大兴区长子营镇2025年地方政府专项债务余额情况表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二十一 大兴区长子营镇2025年地方政府债券发行及还本付息情况表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二十</w:t>
      </w:r>
      <w:r>
        <w:rPr>
          <w:rFonts w:hint="eastAsia" w:eastAsia="仿宋_GB2312" w:cs="Times New Roman"/>
          <w:color w:val="auto"/>
          <w:sz w:val="24"/>
          <w:szCs w:val="24"/>
          <w:lang w:val="en-US" w:eastAsia="zh-CN"/>
        </w:rPr>
        <w:t xml:space="preserve">二 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其他重要事项的情况说明</w:t>
      </w:r>
    </w:p>
    <w:p>
      <w:pPr>
        <w:spacing w:line="620" w:lineRule="exact"/>
        <w:ind w:firstLine="480" w:firstLineChars="150"/>
        <w:jc w:val="left"/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</w:p>
    <w:p>
      <w:pPr>
        <w:spacing w:line="620" w:lineRule="exact"/>
        <w:jc w:val="center"/>
        <w:rPr>
          <w:rFonts w:ascii="方正小标宋简体" w:hAnsi="文星标宋" w:eastAsia="方正小标宋简体" w:cs="Tahoma"/>
          <w:color w:val="000000"/>
          <w:sz w:val="44"/>
          <w:szCs w:val="44"/>
        </w:rPr>
      </w:pPr>
    </w:p>
    <w:p>
      <w:pPr>
        <w:spacing w:line="620" w:lineRule="exact"/>
        <w:jc w:val="center"/>
        <w:rPr>
          <w:rFonts w:ascii="方正小标宋简体" w:hAnsi="文星标宋" w:eastAsia="方正小标宋简体" w:cs="Tahoma"/>
          <w:color w:val="000000"/>
          <w:sz w:val="44"/>
          <w:szCs w:val="44"/>
        </w:rPr>
      </w:pPr>
      <w:r>
        <w:rPr>
          <w:rFonts w:hint="eastAsia" w:ascii="方正小标宋简体" w:hAnsi="文星标宋" w:eastAsia="方正小标宋简体" w:cs="Tahoma"/>
          <w:color w:val="000000"/>
          <w:sz w:val="44"/>
          <w:szCs w:val="44"/>
        </w:rPr>
        <w:t>大兴区长子营镇</w:t>
      </w:r>
      <w:r>
        <w:rPr>
          <w:rFonts w:hint="eastAsia" w:ascii="方正小标宋简体" w:hAnsi="文星标宋" w:eastAsia="方正小标宋简体" w:cs="Tahoma"/>
          <w:color w:val="000000"/>
          <w:sz w:val="44"/>
          <w:szCs w:val="44"/>
          <w:lang w:eastAsia="zh-CN"/>
        </w:rPr>
        <w:t>决算</w:t>
      </w:r>
      <w:r>
        <w:rPr>
          <w:rFonts w:hint="eastAsia" w:ascii="方正小标宋简体" w:hAnsi="文星标宋" w:eastAsia="方正小标宋简体" w:cs="Tahoma"/>
          <w:color w:val="000000"/>
          <w:sz w:val="44"/>
          <w:szCs w:val="44"/>
        </w:rPr>
        <w:t>公开套表的说明</w:t>
      </w:r>
    </w:p>
    <w:p>
      <w:pPr>
        <w:spacing w:line="620" w:lineRule="exact"/>
        <w:jc w:val="left"/>
        <w:rPr>
          <w:rFonts w:ascii="仿宋_GB2312" w:hAnsi="Tahoma" w:eastAsia="仿宋_GB2312" w:cs="Tahoma"/>
          <w:color w:val="000000"/>
          <w:sz w:val="32"/>
          <w:szCs w:val="32"/>
        </w:rPr>
      </w:pPr>
    </w:p>
    <w:p>
      <w:pPr>
        <w:numPr>
          <w:ilvl w:val="0"/>
          <w:numId w:val="1"/>
        </w:numPr>
        <w:spacing w:line="620" w:lineRule="exact"/>
        <w:jc w:val="left"/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关于《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2025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年一般公共预算收入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决算表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lang w:eastAsia="zh-CN"/>
        </w:rPr>
        <w:t>》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lang w:val="en-US" w:eastAsia="zh-CN"/>
        </w:rPr>
        <w:t>的说明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 xml:space="preserve">  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2025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年一般公共预算收入完成49597.12万元，完成调整预算的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120.59%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。其中：返还性收入 3,659.03 万元，一般性转移支付收入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 xml:space="preserve"> 24,259.69 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 xml:space="preserve">万元，专项转移支付收入 14,490.18 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万元，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上年结转收入 7,188.22  万元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主要原因为专项转移支付收入增加。</w:t>
      </w:r>
    </w:p>
    <w:p>
      <w:pPr>
        <w:numPr>
          <w:ilvl w:val="0"/>
          <w:numId w:val="0"/>
        </w:numPr>
        <w:spacing w:line="620" w:lineRule="exact"/>
        <w:ind w:leftChars="0"/>
        <w:jc w:val="left"/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二、关于《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2025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年一般公共预算支出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决算表》</w:t>
      </w: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2025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年</w:t>
      </w:r>
      <w:r>
        <w:rPr>
          <w:rFonts w:hint="eastAsia" w:ascii="仿宋_GB2312" w:hAnsi="宋体" w:eastAsia="仿宋_GB2312" w:cs="宋体"/>
          <w:sz w:val="32"/>
          <w:szCs w:val="32"/>
        </w:rPr>
        <w:t>一般公共预算支出总计为42747.03万元，其中：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2025</w:t>
      </w:r>
      <w:r>
        <w:rPr>
          <w:rFonts w:hint="eastAsia" w:ascii="仿宋_GB2312" w:hAnsi="宋体" w:eastAsia="仿宋_GB2312" w:cs="宋体"/>
          <w:sz w:val="32"/>
          <w:szCs w:val="32"/>
        </w:rPr>
        <w:t>年一般公共预算支出决算数为 39,807.39 万元、上解支出决算数为2939.64  万元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预备费支出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为0万元</w:t>
      </w:r>
      <w:r>
        <w:rPr>
          <w:rFonts w:hint="eastAsia" w:ascii="仿宋_GB2312" w:hAnsi="宋体" w:eastAsia="仿宋_GB2312" w:cs="宋体"/>
          <w:sz w:val="32"/>
          <w:szCs w:val="32"/>
        </w:rPr>
        <w:t>。主要原因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为</w:t>
      </w:r>
      <w:r>
        <w:rPr>
          <w:rFonts w:hint="eastAsia" w:ascii="仿宋_GB2312" w:hAnsi="宋体" w:eastAsia="仿宋_GB2312" w:cs="宋体"/>
          <w:sz w:val="32"/>
          <w:szCs w:val="32"/>
        </w:rPr>
        <w:t>：一般公共预算支出为调整预算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的105.17%</w:t>
      </w:r>
      <w:r>
        <w:rPr>
          <w:rFonts w:hint="eastAsia" w:ascii="仿宋_GB2312" w:hAnsi="宋体" w:eastAsia="仿宋_GB2312" w:cs="宋体"/>
          <w:sz w:val="32"/>
          <w:szCs w:val="32"/>
        </w:rPr>
        <w:t>，支出较调整预算有所增加的原因详见《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大兴区长子营镇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2025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年一般公共预算支出决算表》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。</w:t>
      </w:r>
    </w:p>
    <w:p>
      <w:pPr>
        <w:spacing w:line="620" w:lineRule="exact"/>
        <w:jc w:val="left"/>
        <w:rPr>
          <w:rFonts w:hint="default" w:ascii="黑体" w:hAnsi="Tahoma" w:eastAsia="黑体" w:cs="Tahoma"/>
          <w:color w:val="000000"/>
          <w:sz w:val="32"/>
          <w:szCs w:val="32"/>
          <w:lang w:val="en-US" w:eastAsia="zh-CN"/>
        </w:rPr>
      </w:pPr>
      <w:r>
        <w:rPr>
          <w:rFonts w:hint="eastAsia" w:ascii="黑体" w:hAnsi="Tahoma" w:eastAsia="黑体" w:cs="Tahoma"/>
          <w:color w:val="000000"/>
          <w:sz w:val="32"/>
          <w:szCs w:val="32"/>
        </w:rPr>
        <w:t>三、</w:t>
      </w: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关于《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2025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年</w:t>
      </w: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本级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一般公共预算支出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决算表》</w:t>
      </w: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的说明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大兴区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长子营</w:t>
      </w:r>
      <w:r>
        <w:rPr>
          <w:rFonts w:hint="eastAsia" w:ascii="仿宋_GB2312" w:hAnsi="宋体" w:eastAsia="仿宋_GB2312" w:cs="宋体"/>
          <w:sz w:val="32"/>
          <w:szCs w:val="32"/>
        </w:rPr>
        <w:t>镇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2025</w:t>
      </w:r>
      <w:r>
        <w:rPr>
          <w:rFonts w:hint="eastAsia" w:ascii="仿宋_GB2312" w:hAnsi="宋体" w:eastAsia="仿宋_GB2312" w:cs="宋体"/>
          <w:sz w:val="32"/>
          <w:szCs w:val="32"/>
        </w:rPr>
        <w:t>年一般公共预算支出决算数为  39,807.39 万元，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2025</w:t>
      </w:r>
      <w:r>
        <w:rPr>
          <w:rFonts w:hint="eastAsia" w:ascii="仿宋_GB2312" w:hAnsi="宋体" w:eastAsia="仿宋_GB2312" w:cs="宋体"/>
          <w:sz w:val="32"/>
          <w:szCs w:val="32"/>
        </w:rPr>
        <w:t>年调整预算数为37,576.62 万元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完成调整预算的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105.94%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sz w:val="32"/>
          <w:szCs w:val="32"/>
        </w:rPr>
        <w:t>其中变动的主要原因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是</w:t>
      </w:r>
      <w:r>
        <w:rPr>
          <w:rFonts w:hint="eastAsia" w:ascii="仿宋_GB2312" w:hAnsi="宋体" w:eastAsia="仿宋_GB2312" w:cs="宋体"/>
          <w:sz w:val="32"/>
          <w:szCs w:val="32"/>
        </w:rPr>
        <w:t>：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一般公共服务支出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9,633.51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万元，调整预算数  10,178.53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万元，完成调整预算数94.65%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，主要用于基层党组织服务群众经费和政府人员经费、公用经费支出等，保障政府正常运转和基层党组织建设支出的需求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公共安全支出 31.00 万元，调整预算数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53.00 万元，完成调整预算数58.49%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，主要用于安全维稳等支出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；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3.教育支出 87.43 万元，主要用于教师节慰问；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文化旅游体育与传媒支出 330.88  万元，调整预算数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319.11 万元，完成调整预算数103.69%，主要用于基层文化建设支出增加。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社会保障和就业支出 1,863.34 万元，调整预算数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1,839.48 万元，完成调整预算数101.30%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，主要用于优抚社救、高龄老人津贴、居家养老补贴、丧葬补贴、就业事业等支出，保障弱势群体的生活需求。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卫生健康支出 3,685.86  万元，调整预算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3,186.02 万元，完成调整预算数115.69%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，主要用于公共卫生经费、优抚对象医疗、计生专干补助以及独生子女家庭奖励等支出。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节能环保支出 1,814.16 万元，调整预算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1,299.75万元，完成调整预算数139.58%，增加主要原因是河道生态修复、煤改电和大气方面专项资金增加。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城乡社区支出 3,448.69 万元，调整预算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4,888.90 万元，完成调整预算数70.54%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主要用于疏解整治促提升、城镇环境整治和城镇综合管理工作支出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农林水支出 17,914.36 万元，调整预算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15,155.59  万元，完成调整预算数118.20%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，主要用于平原造林养护、村级公益金、农村绿化美化、林木病虫害防控、农村基础设施建设和河道管护、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村干部工资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等支出。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资源勘探工业信息等支出 9.00 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，主要用于长子营镇能力提升设备采购项目支出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11.住房保障支出 590.75 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用于发放住房补贴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灾害防治及应急管理支出 398.41 万元，调整预算数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656.26  万元，完成调整预算数60.71%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主要用于应急管理事务、消防事务支出，主要用于消防事务支出、应急管理事务、市级疏解整治促提升资金支出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13.预备费支出为0万元。</w:t>
      </w:r>
    </w:p>
    <w:p>
      <w:pPr>
        <w:rPr>
          <w:rFonts w:hint="default" w:ascii="黑体" w:hAnsi="文星标宋" w:eastAsia="黑体" w:cs="Tahoma"/>
          <w:color w:val="000000"/>
          <w:sz w:val="32"/>
          <w:szCs w:val="32"/>
          <w:lang w:val="en-US" w:eastAsia="zh-CN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四、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关于《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大兴区长子营镇</w:t>
      </w: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2025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年一般公共预算基本支出</w:t>
      </w: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决算表》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的说明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2025年一般公共预算基本支出合计6920.22 万元，包含机关工资福利支出4785.64 万元，其中：工资奖金津补贴3467.34 万元，社会保障缴费976.78 万元，住房公积金341.52 万元；机关商品和服务支出435.93 万元，其中：办公经费415.45 万元，培训费0.32万元，公务用车运行维护费20.16 万元，维修（护）费15.00 万元；机关资本性支出0.82 万元，其中：设备购置0.82万元；对事业单位经常性补助1605.10 万元，其中：工资福利支出1603.96 万元，商品和服务支出1.14万元；对个人和家庭的补助92.73 万元，其中：社会福利和救助35.87 万元，离退休费56.86 万元。</w:t>
      </w:r>
    </w:p>
    <w:p>
      <w:pPr>
        <w:rPr>
          <w:rFonts w:hint="default" w:ascii="黑体" w:hAnsi="文星标宋" w:eastAsia="黑体" w:cs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</w:rPr>
        <w:t>五、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lang w:val="en-US" w:eastAsia="zh-CN"/>
        </w:rPr>
        <w:t>关于《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</w:rPr>
        <w:t>大兴区长子营镇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lang w:eastAsia="zh-CN"/>
        </w:rPr>
        <w:t>2025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</w:rPr>
        <w:t>年一般公共预算“三公经费”财政拨款支出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lang w:eastAsia="zh-CN"/>
        </w:rPr>
        <w:t>决算表》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lang w:val="en-US" w:eastAsia="zh-CN"/>
        </w:rPr>
        <w:t>的说明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2025年度“三公”经费财政拨款决算数20.16万元，比2025年度“三公”经费财政拨款年初预算25万元减少4.84万元。其中：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1.因公出国（境）费用。2025年度决算数0万元，2025年度年初预算数0万元。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2.公务接待费。2025年度决算数0万元，比2025年度年初预算数0万元。</w:t>
      </w:r>
    </w:p>
    <w:p>
      <w:pPr>
        <w:numPr>
          <w:ilvl w:val="0"/>
          <w:numId w:val="0"/>
        </w:num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公务用车购置及运行维护费。2025年度决算20.16万元，比2025年度年初预算数25万元减少4.84万元。其中，公务用车购置费2025年度决算数0万元,2025年度购置（更新）0辆；公务用车运行维护费2025年度决算数20.16万元，比2025年度年初预算数25万元减少4.84万元，主要原因：压减公务用车购置及运行维护费支出。</w:t>
      </w:r>
    </w:p>
    <w:p>
      <w:pPr>
        <w:spacing w:line="620" w:lineRule="exact"/>
        <w:jc w:val="left"/>
        <w:rPr>
          <w:rFonts w:hint="default" w:ascii="仿宋_GB2312" w:hAnsi="文星标宋" w:eastAsia="黑体" w:cs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六、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关于《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2025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年政府性基金预算收入决算表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》</w:t>
      </w: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的说明</w:t>
      </w:r>
    </w:p>
    <w:p>
      <w:pPr>
        <w:spacing w:line="620" w:lineRule="exact"/>
        <w:ind w:firstLine="640" w:firstLineChars="200"/>
        <w:jc w:val="lef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2025</w:t>
      </w:r>
      <w:r>
        <w:rPr>
          <w:rFonts w:hint="eastAsia" w:ascii="仿宋_GB2312" w:hAnsi="宋体" w:eastAsia="仿宋_GB2312" w:cs="宋体"/>
          <w:sz w:val="32"/>
          <w:szCs w:val="32"/>
        </w:rPr>
        <w:t>年政府性基金预算收入完成12475.20 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调整预算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5534.52 万元，完成调整预算数225%，主要原因是专项转移支付收入增加，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其中：一般</w:t>
      </w:r>
      <w:r>
        <w:rPr>
          <w:rFonts w:hint="eastAsia" w:ascii="仿宋_GB2312" w:hAnsi="宋体" w:eastAsia="仿宋_GB2312" w:cs="宋体"/>
          <w:sz w:val="32"/>
          <w:szCs w:val="32"/>
        </w:rPr>
        <w:t>转移支付收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入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2766.70 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万元，专项转移支付收入9653.49  万元，上年结转收入55.01 万元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</w:p>
    <w:p>
      <w:pPr>
        <w:spacing w:line="620" w:lineRule="exact"/>
        <w:jc w:val="left"/>
        <w:rPr>
          <w:rFonts w:hint="default" w:ascii="黑体" w:hAnsi="Tahoma" w:eastAsia="黑体" w:cs="Tahoma"/>
          <w:color w:val="000000"/>
          <w:sz w:val="32"/>
          <w:szCs w:val="32"/>
          <w:lang w:val="en-US" w:eastAsia="zh-CN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七、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关于《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2025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年政府性基金支出决算表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》</w:t>
      </w: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的说明</w:t>
      </w:r>
    </w:p>
    <w:p>
      <w:p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2025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年镇级政府性基金支出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 xml:space="preserve">11824.40 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万元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其中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镇级支出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 xml:space="preserve">11824.40 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调整预算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5534.52 万元，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完成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调整预算的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213.65%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，上解支出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0万元，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主要用于环境整治、土地流转费，长子营中学消隐改造、村级组织服务用房改造工程、国道230（国道104－九德路）道路拆改工程、老旧果园等复耕工作、平原造林工程、公路大修、路灯照明、湿地公园、美丽乡村基础设施建设等支出。</w:t>
      </w:r>
    </w:p>
    <w:p>
      <w:pPr>
        <w:spacing w:line="620" w:lineRule="exact"/>
        <w:jc w:val="left"/>
        <w:rPr>
          <w:rFonts w:hint="default" w:ascii="黑体" w:hAnsi="Tahoma" w:eastAsia="黑体" w:cs="Tahoma"/>
          <w:color w:val="000000"/>
          <w:sz w:val="32"/>
          <w:szCs w:val="32"/>
          <w:lang w:val="en-US" w:eastAsia="zh-CN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八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、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关于《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2025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年本级政府性基金支出决算表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》</w:t>
      </w: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的说明</w:t>
      </w:r>
    </w:p>
    <w:p>
      <w:pPr>
        <w:spacing w:line="620" w:lineRule="exact"/>
        <w:ind w:firstLine="640" w:firstLineChars="200"/>
        <w:jc w:val="lef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2025年镇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本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级政府性基金支出11824.40 万元，其中镇级支出11824.40 万元，调整预算5534.52 万元，完成调整预算的213.65%，主要用于环境整治、土地流转费，长子营中学消隐改造、村级组织服务用房改造工程、国道230（国道104－九德路）道路拆改工程、老旧果园等复耕工作、平原造林工程、公路大修、路灯照明、湿地公园、美丽乡村基础设施建设等支出。2025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年镇级政府性基金支出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11052.8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万元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其中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镇级支出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11052.8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万元，为调整预算的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228.88%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主要用于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土地流转费，230国道、</w:t>
      </w:r>
      <w:r>
        <w:rPr>
          <w:rFonts w:hint="eastAsia" w:ascii="仿宋_GB2312" w:hAnsi="仿宋_GB2312" w:eastAsia="仿宋_GB2312" w:cs="仿宋_GB2312"/>
          <w:color w:val="auto"/>
          <w:sz w:val="32"/>
          <w:szCs w:val="20"/>
        </w:rPr>
        <w:t>老旧果园等复耕工作</w:t>
      </w:r>
      <w:r>
        <w:rPr>
          <w:rFonts w:hint="eastAsia" w:ascii="仿宋_GB2312" w:hAnsi="仿宋_GB2312" w:eastAsia="仿宋_GB2312" w:cs="仿宋_GB2312"/>
          <w:color w:val="auto"/>
          <w:sz w:val="32"/>
          <w:szCs w:val="20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平原造林工程、公厕、路灯照明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湿地公园、美丽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乡村基础设施建设等支出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。 </w:t>
      </w:r>
    </w:p>
    <w:p>
      <w:pPr>
        <w:numPr>
          <w:ilvl w:val="0"/>
          <w:numId w:val="0"/>
        </w:numPr>
        <w:spacing w:line="620" w:lineRule="exact"/>
        <w:ind w:leftChars="0"/>
        <w:jc w:val="left"/>
        <w:rPr>
          <w:rFonts w:hint="default" w:ascii="黑体" w:hAnsi="Tahoma" w:eastAsia="黑体" w:cs="Tahoma"/>
          <w:color w:val="000000"/>
          <w:sz w:val="32"/>
          <w:szCs w:val="32"/>
          <w:lang w:val="en-US" w:eastAsia="zh-CN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九、关于《大兴区长子营镇2025年国有资本经营预算收入决算表》的说明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numPr>
          <w:ilvl w:val="0"/>
          <w:numId w:val="0"/>
        </w:numPr>
        <w:spacing w:line="620" w:lineRule="exact"/>
        <w:ind w:leftChars="0"/>
        <w:jc w:val="left"/>
        <w:rPr>
          <w:rFonts w:hint="default" w:ascii="黑体" w:hAnsi="Tahoma" w:eastAsia="黑体" w:cs="Tahoma"/>
          <w:color w:val="000000"/>
          <w:sz w:val="32"/>
          <w:szCs w:val="32"/>
          <w:lang w:val="en-US" w:eastAsia="zh-CN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十、关于《大兴区长子营镇2025年国有资本经营支出决算表》的说明</w:t>
      </w:r>
    </w:p>
    <w:p>
      <w:pPr>
        <w:spacing w:line="620" w:lineRule="exact"/>
        <w:ind w:firstLine="640" w:firstLineChars="200"/>
        <w:jc w:val="left"/>
        <w:rPr>
          <w:rFonts w:ascii="仿宋_GB2312" w:hAnsi="文星标宋" w:eastAsia="仿宋_GB2312" w:cs="Tahoma"/>
          <w:color w:val="000000"/>
          <w:sz w:val="32"/>
          <w:szCs w:val="32"/>
        </w:rPr>
      </w:pPr>
      <w:r>
        <w:rPr>
          <w:rFonts w:hint="eastAsia" w:ascii="仿宋_GB2312" w:hAnsi="文星标宋" w:eastAsia="仿宋_GB2312" w:cs="Tahoma"/>
          <w:color w:val="000000"/>
          <w:sz w:val="32"/>
          <w:szCs w:val="32"/>
        </w:rPr>
        <w:t>此表镇级为0</w:t>
      </w:r>
      <w:r>
        <w:rPr>
          <w:rFonts w:hint="eastAsia" w:ascii="仿宋_GB2312" w:hAnsi="文星标宋" w:eastAsia="仿宋_GB2312" w:cs="Tahoma"/>
          <w:color w:val="000000"/>
          <w:sz w:val="32"/>
          <w:szCs w:val="32"/>
          <w:lang w:eastAsia="zh-CN"/>
        </w:rPr>
        <w:t>万元</w:t>
      </w:r>
      <w:r>
        <w:rPr>
          <w:rFonts w:hint="eastAsia" w:ascii="仿宋_GB2312" w:hAnsi="文星标宋" w:eastAsia="仿宋_GB2312" w:cs="Tahoma"/>
          <w:color w:val="000000"/>
          <w:sz w:val="32"/>
          <w:szCs w:val="32"/>
        </w:rPr>
        <w:t>。</w:t>
      </w:r>
    </w:p>
    <w:p>
      <w:pPr>
        <w:numPr>
          <w:ilvl w:val="0"/>
          <w:numId w:val="0"/>
        </w:numPr>
        <w:spacing w:line="620" w:lineRule="exact"/>
        <w:ind w:leftChars="0"/>
        <w:jc w:val="left"/>
        <w:rPr>
          <w:rFonts w:hint="default" w:ascii="黑体" w:hAnsi="Tahoma" w:eastAsia="黑体" w:cs="Tahoma"/>
          <w:color w:val="000000"/>
          <w:sz w:val="32"/>
          <w:szCs w:val="32"/>
          <w:lang w:val="en-US" w:eastAsia="zh-CN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十一、关于《大兴区长子营镇2025年本级国有资本经营支出决算表》的说明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numPr>
          <w:ilvl w:val="0"/>
          <w:numId w:val="0"/>
        </w:numPr>
        <w:spacing w:line="620" w:lineRule="exact"/>
        <w:ind w:leftChars="0"/>
        <w:jc w:val="left"/>
        <w:rPr>
          <w:rFonts w:hint="default" w:ascii="黑体" w:hAnsi="Tahoma" w:eastAsia="黑体" w:cs="Tahoma"/>
          <w:color w:val="000000"/>
          <w:sz w:val="32"/>
          <w:szCs w:val="32"/>
          <w:lang w:val="en-US" w:eastAsia="zh-CN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十二、关于《大兴区长子营镇2025年社会保险基金预算收入表》的说明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numPr>
          <w:ilvl w:val="0"/>
          <w:numId w:val="0"/>
        </w:numPr>
        <w:spacing w:line="620" w:lineRule="exact"/>
        <w:ind w:leftChars="0"/>
        <w:jc w:val="left"/>
        <w:rPr>
          <w:rFonts w:hint="default" w:ascii="黑体" w:hAnsi="Tahoma" w:eastAsia="黑体" w:cs="Tahoma"/>
          <w:color w:val="000000"/>
          <w:sz w:val="32"/>
          <w:szCs w:val="32"/>
          <w:lang w:val="en-US" w:eastAsia="zh-CN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十三、关于《大兴区长子营镇2025年社会保险基金预算支出决算表》的说明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numPr>
          <w:ilvl w:val="0"/>
          <w:numId w:val="0"/>
        </w:numPr>
        <w:spacing w:line="620" w:lineRule="exact"/>
        <w:ind w:leftChars="0"/>
        <w:jc w:val="left"/>
        <w:rPr>
          <w:rFonts w:hint="default" w:ascii="黑体" w:hAnsi="Tahoma" w:eastAsia="黑体" w:cs="Tahoma"/>
          <w:color w:val="000000"/>
          <w:sz w:val="32"/>
          <w:szCs w:val="32"/>
          <w:lang w:val="en-US" w:eastAsia="zh-CN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十四、关于《大兴区长子营镇2025年一般公共预算税收返还和区对镇一般转移支付明细表》的说明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/>
          <w:b w:val="0"/>
          <w:bCs w:val="0"/>
          <w:color w:val="FF0000"/>
          <w:sz w:val="32"/>
          <w:szCs w:val="30"/>
          <w:highlight w:val="none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十五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年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一般公共预算专项转移支付明细表（分项目、分地区）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十六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年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政府性基金预算转移支付明细表（分地区）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十七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年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政府性基金预算专项转移支付明细表（分项目、分地区）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十八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年地方政府债务限额及余额预算情况表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十九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年地方政府一般债务余额情况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319" w:leftChars="152" w:right="0" w:rightChars="0" w:firstLine="320" w:firstLineChars="1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二十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年地方政府专项债务余额情况表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二十一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2025年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地方政府债券发行及还本付息情况表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二十二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、其他重要事项的情况说</w:t>
      </w:r>
      <w:bookmarkStart w:id="0" w:name="_GoBack"/>
      <w:bookmarkEnd w:id="0"/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明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</w:rPr>
        <w:t>预算绩效管理工作情况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长子营镇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积极落实中央、北京市、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大兴区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关于全面实施预算绩效管理的各项工作要求，按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照《大兴区预算绩效管理办法》（京兴财[2020]225号），制定了长子营镇内控制度汇编，并完善了内控制度中关于预算绩效管理制度部分的内容，建立完善“预算编制有目标、预算执行有监控、预算完成有评价、评价结果有反馈、反馈结果有应用”的预算绩效管理机制，实现全过程绩效管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在预算编制阶段，实现项目绩效目标全覆盖；预算执行阶段，开展过程绩效运行跟踪监控管理,及时向财政部门报送本单位开展绩效运行跟踪监控的情况，对全部已完结项目进行了绩效自评，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2025年对275个项目进行绩效自评，绩效自评覆盖率100%，全年开展事前绩效评估项目1个、项目支出绩效评价项目1个、成本绩效分析项目2个，预算编制的科学性和准确性不断提高。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</w:pPr>
    </w:p>
    <w:p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spacing w:line="620" w:lineRule="exact"/>
        <w:ind w:firstLine="480" w:firstLineChars="150"/>
        <w:jc w:val="left"/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</w:pPr>
    </w:p>
    <w:p>
      <w:pPr>
        <w:spacing w:line="620" w:lineRule="exact"/>
        <w:ind w:firstLine="480" w:firstLineChars="150"/>
        <w:jc w:val="left"/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8DD2AC"/>
    <w:multiLevelType w:val="singleLevel"/>
    <w:tmpl w:val="EE8DD2A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jdkZDc5NDAzOTlmMGI5MDFiODFjNTI1N2Q2ZTExMWEifQ=="/>
  </w:docVars>
  <w:rsids>
    <w:rsidRoot w:val="008A03D9"/>
    <w:rsid w:val="000142C9"/>
    <w:rsid w:val="00020B07"/>
    <w:rsid w:val="00044617"/>
    <w:rsid w:val="000527AB"/>
    <w:rsid w:val="0005538B"/>
    <w:rsid w:val="00073C74"/>
    <w:rsid w:val="00080387"/>
    <w:rsid w:val="00090287"/>
    <w:rsid w:val="00097314"/>
    <w:rsid w:val="000A221C"/>
    <w:rsid w:val="000A5C6E"/>
    <w:rsid w:val="000D3094"/>
    <w:rsid w:val="000E3F84"/>
    <w:rsid w:val="000F0BF4"/>
    <w:rsid w:val="000F6B5B"/>
    <w:rsid w:val="00100343"/>
    <w:rsid w:val="0010166C"/>
    <w:rsid w:val="00132C9D"/>
    <w:rsid w:val="001344E7"/>
    <w:rsid w:val="001507BA"/>
    <w:rsid w:val="001853E3"/>
    <w:rsid w:val="00193DBA"/>
    <w:rsid w:val="001C2D8B"/>
    <w:rsid w:val="001C7DA4"/>
    <w:rsid w:val="001E1114"/>
    <w:rsid w:val="001E6152"/>
    <w:rsid w:val="001E622E"/>
    <w:rsid w:val="002201F4"/>
    <w:rsid w:val="00236065"/>
    <w:rsid w:val="0027534F"/>
    <w:rsid w:val="002A0616"/>
    <w:rsid w:val="002A29B9"/>
    <w:rsid w:val="002A3819"/>
    <w:rsid w:val="002B5C47"/>
    <w:rsid w:val="002C404E"/>
    <w:rsid w:val="002F6E0C"/>
    <w:rsid w:val="00323B43"/>
    <w:rsid w:val="00351891"/>
    <w:rsid w:val="0035219B"/>
    <w:rsid w:val="00357D39"/>
    <w:rsid w:val="00365DCF"/>
    <w:rsid w:val="00383A07"/>
    <w:rsid w:val="00393562"/>
    <w:rsid w:val="00394A05"/>
    <w:rsid w:val="003A1D1B"/>
    <w:rsid w:val="003C3292"/>
    <w:rsid w:val="003C5E21"/>
    <w:rsid w:val="003D0B4F"/>
    <w:rsid w:val="003D37D8"/>
    <w:rsid w:val="003E0450"/>
    <w:rsid w:val="00402B76"/>
    <w:rsid w:val="00406143"/>
    <w:rsid w:val="00407568"/>
    <w:rsid w:val="004077AB"/>
    <w:rsid w:val="004315FC"/>
    <w:rsid w:val="004349D8"/>
    <w:rsid w:val="004358AB"/>
    <w:rsid w:val="0045198B"/>
    <w:rsid w:val="0045241F"/>
    <w:rsid w:val="004566A9"/>
    <w:rsid w:val="004611AD"/>
    <w:rsid w:val="00462BDB"/>
    <w:rsid w:val="004D0CAD"/>
    <w:rsid w:val="004E4E40"/>
    <w:rsid w:val="004E72B1"/>
    <w:rsid w:val="004F0832"/>
    <w:rsid w:val="005042B2"/>
    <w:rsid w:val="005211F0"/>
    <w:rsid w:val="00521408"/>
    <w:rsid w:val="00525981"/>
    <w:rsid w:val="00531DB6"/>
    <w:rsid w:val="00536CE2"/>
    <w:rsid w:val="00552C89"/>
    <w:rsid w:val="00577858"/>
    <w:rsid w:val="00582796"/>
    <w:rsid w:val="0058603F"/>
    <w:rsid w:val="005A7212"/>
    <w:rsid w:val="005B180A"/>
    <w:rsid w:val="005B77EE"/>
    <w:rsid w:val="005C575C"/>
    <w:rsid w:val="005C5F23"/>
    <w:rsid w:val="005E3A91"/>
    <w:rsid w:val="005E763B"/>
    <w:rsid w:val="005F2500"/>
    <w:rsid w:val="0060557D"/>
    <w:rsid w:val="00625B2D"/>
    <w:rsid w:val="00642A81"/>
    <w:rsid w:val="00643E4E"/>
    <w:rsid w:val="00653650"/>
    <w:rsid w:val="00655E4B"/>
    <w:rsid w:val="00662508"/>
    <w:rsid w:val="00683146"/>
    <w:rsid w:val="00693FE6"/>
    <w:rsid w:val="006B6467"/>
    <w:rsid w:val="00710534"/>
    <w:rsid w:val="00720B69"/>
    <w:rsid w:val="00722248"/>
    <w:rsid w:val="007404F2"/>
    <w:rsid w:val="00747940"/>
    <w:rsid w:val="007524B2"/>
    <w:rsid w:val="00753E77"/>
    <w:rsid w:val="007602B2"/>
    <w:rsid w:val="00764960"/>
    <w:rsid w:val="00775058"/>
    <w:rsid w:val="00777588"/>
    <w:rsid w:val="007A7891"/>
    <w:rsid w:val="007C3ACE"/>
    <w:rsid w:val="007C7EBC"/>
    <w:rsid w:val="007D406A"/>
    <w:rsid w:val="007F00B7"/>
    <w:rsid w:val="00804531"/>
    <w:rsid w:val="008544F1"/>
    <w:rsid w:val="00862697"/>
    <w:rsid w:val="008A03D9"/>
    <w:rsid w:val="008A1694"/>
    <w:rsid w:val="008B3F22"/>
    <w:rsid w:val="008B5EAE"/>
    <w:rsid w:val="008B7726"/>
    <w:rsid w:val="008C3BF0"/>
    <w:rsid w:val="008E29D1"/>
    <w:rsid w:val="009014D4"/>
    <w:rsid w:val="00905D0D"/>
    <w:rsid w:val="00924BC2"/>
    <w:rsid w:val="00931AC3"/>
    <w:rsid w:val="00995CBF"/>
    <w:rsid w:val="009A27FA"/>
    <w:rsid w:val="009B0017"/>
    <w:rsid w:val="009C49DA"/>
    <w:rsid w:val="009E2033"/>
    <w:rsid w:val="009F3043"/>
    <w:rsid w:val="009F3B42"/>
    <w:rsid w:val="00A02F14"/>
    <w:rsid w:val="00A34FD5"/>
    <w:rsid w:val="00A45C06"/>
    <w:rsid w:val="00A7185A"/>
    <w:rsid w:val="00A82A53"/>
    <w:rsid w:val="00A82C0D"/>
    <w:rsid w:val="00A87A33"/>
    <w:rsid w:val="00AA0B9A"/>
    <w:rsid w:val="00AA4DFB"/>
    <w:rsid w:val="00AB28A0"/>
    <w:rsid w:val="00AB435A"/>
    <w:rsid w:val="00AB5196"/>
    <w:rsid w:val="00AB5E00"/>
    <w:rsid w:val="00AC0052"/>
    <w:rsid w:val="00B045A0"/>
    <w:rsid w:val="00B10A0D"/>
    <w:rsid w:val="00B117FC"/>
    <w:rsid w:val="00B2051A"/>
    <w:rsid w:val="00B46022"/>
    <w:rsid w:val="00B612BD"/>
    <w:rsid w:val="00B75144"/>
    <w:rsid w:val="00BB44C1"/>
    <w:rsid w:val="00BC58F1"/>
    <w:rsid w:val="00BE4D43"/>
    <w:rsid w:val="00C14BDD"/>
    <w:rsid w:val="00C26327"/>
    <w:rsid w:val="00C34569"/>
    <w:rsid w:val="00C47203"/>
    <w:rsid w:val="00C55115"/>
    <w:rsid w:val="00C75973"/>
    <w:rsid w:val="00C91744"/>
    <w:rsid w:val="00CC7C89"/>
    <w:rsid w:val="00D0232B"/>
    <w:rsid w:val="00D0462B"/>
    <w:rsid w:val="00D10C98"/>
    <w:rsid w:val="00D22EAE"/>
    <w:rsid w:val="00D36559"/>
    <w:rsid w:val="00D374B6"/>
    <w:rsid w:val="00D5086D"/>
    <w:rsid w:val="00DA0C2E"/>
    <w:rsid w:val="00DA321C"/>
    <w:rsid w:val="00DA4005"/>
    <w:rsid w:val="00DB2EFC"/>
    <w:rsid w:val="00DD4567"/>
    <w:rsid w:val="00DE0076"/>
    <w:rsid w:val="00E172AB"/>
    <w:rsid w:val="00E25351"/>
    <w:rsid w:val="00E510CC"/>
    <w:rsid w:val="00E52156"/>
    <w:rsid w:val="00E72DC2"/>
    <w:rsid w:val="00E8162E"/>
    <w:rsid w:val="00EA16CF"/>
    <w:rsid w:val="00EB6631"/>
    <w:rsid w:val="00EE0E5F"/>
    <w:rsid w:val="00F06F90"/>
    <w:rsid w:val="00F142B5"/>
    <w:rsid w:val="00F17690"/>
    <w:rsid w:val="00F50C99"/>
    <w:rsid w:val="00F7113B"/>
    <w:rsid w:val="00F94BED"/>
    <w:rsid w:val="00FA0C33"/>
    <w:rsid w:val="00FA7FA0"/>
    <w:rsid w:val="00FB0CC5"/>
    <w:rsid w:val="00FC0314"/>
    <w:rsid w:val="00FE1224"/>
    <w:rsid w:val="00FE1BF0"/>
    <w:rsid w:val="00FE6558"/>
    <w:rsid w:val="00FF5CEA"/>
    <w:rsid w:val="01DB033C"/>
    <w:rsid w:val="064D3F0E"/>
    <w:rsid w:val="072759C6"/>
    <w:rsid w:val="0F596ABB"/>
    <w:rsid w:val="11397004"/>
    <w:rsid w:val="11CA5ED2"/>
    <w:rsid w:val="12034048"/>
    <w:rsid w:val="1861289E"/>
    <w:rsid w:val="1DF875FD"/>
    <w:rsid w:val="20B55767"/>
    <w:rsid w:val="23E9174D"/>
    <w:rsid w:val="268E2BAA"/>
    <w:rsid w:val="26CE67B8"/>
    <w:rsid w:val="272D6FD4"/>
    <w:rsid w:val="277C19B7"/>
    <w:rsid w:val="279A24BA"/>
    <w:rsid w:val="2B17229E"/>
    <w:rsid w:val="2B956A91"/>
    <w:rsid w:val="2CE633C2"/>
    <w:rsid w:val="32172065"/>
    <w:rsid w:val="32732425"/>
    <w:rsid w:val="33D83857"/>
    <w:rsid w:val="36320286"/>
    <w:rsid w:val="37962D54"/>
    <w:rsid w:val="39FD725D"/>
    <w:rsid w:val="3C54447B"/>
    <w:rsid w:val="40A43A02"/>
    <w:rsid w:val="417E15F0"/>
    <w:rsid w:val="420A578F"/>
    <w:rsid w:val="46190610"/>
    <w:rsid w:val="46850995"/>
    <w:rsid w:val="46A47EB2"/>
    <w:rsid w:val="46E92B7D"/>
    <w:rsid w:val="480B3D5E"/>
    <w:rsid w:val="4842699B"/>
    <w:rsid w:val="49B57BEE"/>
    <w:rsid w:val="4BBC65AB"/>
    <w:rsid w:val="4C565893"/>
    <w:rsid w:val="4C636415"/>
    <w:rsid w:val="4D704194"/>
    <w:rsid w:val="4DDC675A"/>
    <w:rsid w:val="4F3F6893"/>
    <w:rsid w:val="4F5115EA"/>
    <w:rsid w:val="546D3F92"/>
    <w:rsid w:val="55AB1987"/>
    <w:rsid w:val="567216E7"/>
    <w:rsid w:val="5695465E"/>
    <w:rsid w:val="5A863BA3"/>
    <w:rsid w:val="5A8859CC"/>
    <w:rsid w:val="5B5154DF"/>
    <w:rsid w:val="5BCE6D7D"/>
    <w:rsid w:val="5CCA49C0"/>
    <w:rsid w:val="5CF02F8E"/>
    <w:rsid w:val="60330B3A"/>
    <w:rsid w:val="6055111F"/>
    <w:rsid w:val="61F13590"/>
    <w:rsid w:val="63085330"/>
    <w:rsid w:val="64447C6C"/>
    <w:rsid w:val="666C0A21"/>
    <w:rsid w:val="6AB4313F"/>
    <w:rsid w:val="6B681C3E"/>
    <w:rsid w:val="71463721"/>
    <w:rsid w:val="7251448E"/>
    <w:rsid w:val="75F0677C"/>
    <w:rsid w:val="78AE18EB"/>
    <w:rsid w:val="790745E9"/>
    <w:rsid w:val="7A7C3B9F"/>
    <w:rsid w:val="7DB23A78"/>
    <w:rsid w:val="7FC1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Calibri" w:hAnsi="Calibri"/>
    </w:rPr>
  </w:style>
  <w:style w:type="paragraph" w:customStyle="1" w:styleId="3">
    <w:name w:val="toc 11"/>
    <w:next w:val="1"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4880</Words>
  <Characters>7366</Characters>
  <Lines>39</Lines>
  <Paragraphs>11</Paragraphs>
  <TotalTime>5</TotalTime>
  <ScaleCrop>false</ScaleCrop>
  <LinksUpToDate>false</LinksUpToDate>
  <CharactersWithSpaces>7395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2019-02-27T08:10:00Z</dcterms:created>
  <dc:creator>北京市大兴区长子营镇动物防疫站</dc:creator>
  <cp:lastModifiedBy>Administrator</cp:lastModifiedBy>
  <dcterms:modified xsi:type="dcterms:W3CDTF">2026-08-21T00:57:58Z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016BC9EB077F4C2991D2B824D0B9B6F2</vt:lpwstr>
  </property>
</Properties>
</file>