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北京市大兴区长子营镇人民政府</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关于2025年镇级决算草案、2026年上半年预算执行情况的报告</w:t>
      </w:r>
    </w:p>
    <w:p>
      <w:pPr>
        <w:spacing w:line="560" w:lineRule="exact"/>
        <w:jc w:val="center"/>
        <w:rPr>
          <w:rFonts w:ascii="楷体" w:hAnsi="楷体" w:eastAsia="楷体" w:cs="楷体"/>
          <w:sz w:val="32"/>
          <w:szCs w:val="32"/>
        </w:rPr>
      </w:pPr>
      <w:r>
        <w:rPr>
          <w:rFonts w:hint="eastAsia" w:ascii="楷体" w:hAnsi="楷体" w:eastAsia="楷体" w:cs="楷体"/>
          <w:sz w:val="32"/>
          <w:szCs w:val="32"/>
        </w:rPr>
        <w:t>--2026年</w:t>
      </w:r>
      <w:r>
        <w:rPr>
          <w:rFonts w:hint="eastAsia" w:ascii="楷体" w:hAnsi="楷体" w:eastAsia="楷体" w:cs="楷体"/>
          <w:sz w:val="32"/>
          <w:szCs w:val="32"/>
          <w:lang w:val="en-US" w:eastAsia="zh-CN"/>
        </w:rPr>
        <w:t>08</w:t>
      </w:r>
      <w:r>
        <w:rPr>
          <w:rFonts w:hint="eastAsia" w:ascii="楷体" w:hAnsi="楷体" w:eastAsia="楷体" w:cs="楷体"/>
          <w:sz w:val="32"/>
          <w:szCs w:val="32"/>
        </w:rPr>
        <w:t>月</w:t>
      </w:r>
      <w:r>
        <w:rPr>
          <w:rFonts w:hint="eastAsia" w:ascii="楷体" w:hAnsi="楷体" w:eastAsia="楷体" w:cs="楷体"/>
          <w:sz w:val="32"/>
          <w:szCs w:val="32"/>
          <w:lang w:val="en-US" w:eastAsia="zh-CN"/>
        </w:rPr>
        <w:t>10</w:t>
      </w:r>
      <w:bookmarkStart w:id="1" w:name="_GoBack"/>
      <w:bookmarkEnd w:id="1"/>
      <w:r>
        <w:rPr>
          <w:rFonts w:hint="eastAsia" w:ascii="楷体" w:hAnsi="楷体" w:eastAsia="楷体" w:cs="楷体"/>
          <w:sz w:val="32"/>
          <w:szCs w:val="32"/>
        </w:rPr>
        <w:t>日在长子营镇第五届</w:t>
      </w:r>
    </w:p>
    <w:p>
      <w:pPr>
        <w:spacing w:line="560" w:lineRule="exact"/>
        <w:jc w:val="center"/>
        <w:rPr>
          <w:rFonts w:ascii="楷体" w:hAnsi="楷体" w:eastAsia="楷体" w:cs="楷体"/>
          <w:sz w:val="32"/>
          <w:szCs w:val="32"/>
        </w:rPr>
      </w:pPr>
      <w:r>
        <w:rPr>
          <w:rFonts w:hint="eastAsia" w:ascii="楷体" w:hAnsi="楷体" w:eastAsia="楷体" w:cs="楷体"/>
          <w:sz w:val="32"/>
          <w:szCs w:val="32"/>
        </w:rPr>
        <w:t>人民代表大会第十次会议上</w:t>
      </w:r>
    </w:p>
    <w:p>
      <w:pPr>
        <w:spacing w:line="560" w:lineRule="exact"/>
        <w:jc w:val="center"/>
        <w:rPr>
          <w:rFonts w:ascii="楷体" w:hAnsi="楷体" w:eastAsia="楷体" w:cs="楷体"/>
          <w:sz w:val="32"/>
          <w:szCs w:val="32"/>
        </w:rPr>
      </w:pPr>
      <w:r>
        <w:rPr>
          <w:rFonts w:hint="eastAsia" w:ascii="楷体" w:hAnsi="楷体" w:eastAsia="楷体" w:cs="楷体"/>
          <w:sz w:val="32"/>
          <w:szCs w:val="32"/>
        </w:rPr>
        <w:t>长子营镇产业发展服务中心（财政）</w:t>
      </w:r>
    </w:p>
    <w:p>
      <w:pPr>
        <w:spacing w:line="560" w:lineRule="exact"/>
        <w:ind w:firstLine="640" w:firstLineChars="200"/>
        <w:jc w:val="left"/>
        <w:rPr>
          <w:rFonts w:ascii="仿宋_GB2312" w:hAnsi="仿宋_GB2312" w:eastAsia="仿宋_GB2312" w:cs="仿宋_GB2312"/>
          <w:sz w:val="32"/>
          <w:szCs w:val="32"/>
        </w:rPr>
      </w:pPr>
    </w:p>
    <w:p>
      <w:pPr>
        <w:spacing w:line="560"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各位代表： </w:t>
      </w:r>
    </w:p>
    <w:p>
      <w:pPr>
        <w:spacing w:line="560" w:lineRule="exact"/>
        <w:jc w:val="left"/>
        <w:rPr>
          <w:rFonts w:ascii="仿宋_GB2312" w:hAnsi="仿宋_GB2312" w:eastAsia="仿宋_GB2312" w:cs="仿宋_GB2312"/>
          <w:sz w:val="32"/>
          <w:szCs w:val="32"/>
        </w:rPr>
      </w:pPr>
      <w:r>
        <w:rPr>
          <w:rFonts w:hint="eastAsia" w:ascii="楷体" w:hAnsi="楷体" w:eastAsia="楷体" w:cs="楷体"/>
          <w:sz w:val="32"/>
          <w:szCs w:val="32"/>
        </w:rPr>
        <w:t xml:space="preserve">    </w:t>
      </w:r>
      <w:r>
        <w:rPr>
          <w:rFonts w:hint="eastAsia" w:ascii="仿宋_GB2312" w:hAnsi="仿宋_GB2312" w:eastAsia="仿宋_GB2312" w:cs="仿宋_GB2312"/>
          <w:sz w:val="32"/>
          <w:szCs w:val="32"/>
        </w:rPr>
        <w:t>长子营镇产业发展服务中心（财政）受长子营镇人民政府的委托，按照《中华人民共和国预算法》《北京市预算审查监督条例》等法律法规的要求，向大会提交2025年财政决算草案及2026年上半年财政预算情况的报告，请予审议。</w:t>
      </w:r>
    </w:p>
    <w:p>
      <w:pPr>
        <w:pStyle w:val="12"/>
        <w:spacing w:line="560" w:lineRule="exact"/>
        <w:rPr>
          <w:color w:val="auto"/>
        </w:rPr>
      </w:pPr>
    </w:p>
    <w:p>
      <w:pPr>
        <w:spacing w:line="560" w:lineRule="exact"/>
        <w:ind w:firstLine="2570" w:firstLineChars="8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第一部分2025年财政决算</w:t>
      </w:r>
    </w:p>
    <w:p>
      <w:pPr>
        <w:pStyle w:val="2"/>
      </w:pP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2025年，是“十四五”规划收官之年，也是为“十五五”良好开局打牢基础的关键之年。全镇上下在镇党委、政府的正确领导下，在镇人大的监督支持下，坚持以习近平新时代中国特色社会主义思想为指引，全面贯彻党的二十大和二十届历次全会精神以及中央经济工作会议精神，坚持稳中求进工作总基调，认真落实区委“6+5+3”产业体系要求，围绕产业协同示范区定位，以长子营镇“一点一面四片区”发展布局为蓝图指引，坚定“产业先行、项目为王、干成为王”的信心决心，积极发挥财政职能作用，主动担当、真抓实干，以稳健财政全力护航镇域经济社会高质量发展。</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一、2025年财政收支及平衡情况</w:t>
      </w:r>
    </w:p>
    <w:p>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（一）一般公共预算执行情况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2025年我镇一般公共预算总收入49597.12万元。其中：财政收入3659.03万元，体制补助7900.00万元，一般性转移支付16359.69万元，专项转移支付14490.18万元，上年结转资金7188.22万元。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2025年我镇一般公共预算总支出49597.12万元。其中：一般公共预算支出39807.39万元；上解支出2939.64万元；年终结转6850.09万元。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1.财政收入情况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2025年财政收入完成3659.03万元，比上年同期的3333.92万元，增加了325.11万元，同比增长9.75%。</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2.财政支出情况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一般公共财政预算支出39807.39万元，比上年同期的42858.33万元，减少3050.94万元，同比下降7.12%，主要原因为财政专项补助减少，具体为：一般公共服务支出9633.51万元，比上年同期的9577.44万元，增加56.07万元，同比增长0.59%，主要用于基层党组织服务群众经费和政府人员经费、公用经费支出等，保障政府正常运转和基层党组织建设支出的需求；公共安全支出31万元，比上年同期的21.14万元，增加9.86万元，同比增长46.64%，主要用于安全维稳等支出；教育支出87.43万元，上年同期未安排相关支出；文化旅游体育与传媒支出330.88万元，比上年同期的318.63万元，增加12.25万元，同比增长3.84%，主要用于基层文化建设支出；社会保障和就业支出1863.34万元，比上年同期的1443.61万元，增加419.73万元，同比增长29.08%，主要用于优抚社救、高龄老人津贴、居家养老补贴、丧葬补贴、就业事业等支出，保障弱势群体的生活需求；卫生健康支出3685.86万元，比上年同期的3798.65万元，减少112.79万元，同比下降2.97%，</w:t>
      </w:r>
      <w:r>
        <w:rPr>
          <w:rFonts w:hint="eastAsia" w:ascii="仿宋_GB2312" w:hAnsi="仿宋_GB2312" w:eastAsia="仿宋_GB2312" w:cs="仿宋_GB2312"/>
          <w:sz w:val="32"/>
          <w:szCs w:val="32"/>
          <w:lang w:val="en-US" w:eastAsia="zh-CN"/>
        </w:rPr>
        <w:t>主要减少原因是计划生育奖特扶资金、乡村医生岗位人员补助等项目支出减少，</w:t>
      </w:r>
      <w:r>
        <w:rPr>
          <w:rFonts w:hint="eastAsia" w:ascii="仿宋_GB2312" w:hAnsi="仿宋_GB2312" w:eastAsia="仿宋_GB2312" w:cs="仿宋_GB2312"/>
          <w:sz w:val="32"/>
          <w:szCs w:val="32"/>
        </w:rPr>
        <w:t>主要用于公共卫生经费、优抚对象医疗、计生专干补助以及独生子女家庭奖励等支出；节能环保支出1814.16万元，比上年同期的3463.10万元，减少1648.94万元，同比下降47.61%，减少主要原因是非正规垃圾填埋场整治项目资金减少2264.89万元，主要用于河道生态修复、非正规垃圾填埋场项目、煤改电和大气方面专项资金支出；城乡社区支出3448.69万元，比上年同期的4427.84万元，减少979.15万元，同比下降22.11%，主要</w:t>
      </w:r>
      <w:r>
        <w:rPr>
          <w:rFonts w:hint="eastAsia" w:ascii="仿宋_GB2312" w:hAnsi="仿宋_GB2312" w:eastAsia="仿宋_GB2312" w:cs="仿宋_GB2312"/>
          <w:sz w:val="32"/>
          <w:szCs w:val="32"/>
          <w:lang w:val="en-US" w:eastAsia="zh-CN"/>
        </w:rPr>
        <w:t>减少原因</w:t>
      </w:r>
      <w:r>
        <w:rPr>
          <w:rFonts w:hint="eastAsia" w:ascii="仿宋_GB2312" w:hAnsi="仿宋_GB2312" w:eastAsia="仿宋_GB2312" w:cs="仿宋_GB2312"/>
          <w:sz w:val="32"/>
          <w:szCs w:val="32"/>
        </w:rPr>
        <w:t>疏解整治促提升、城镇环境整治和城镇综合管理工作支出</w:t>
      </w:r>
      <w:r>
        <w:rPr>
          <w:rFonts w:hint="eastAsia" w:ascii="仿宋_GB2312" w:hAnsi="仿宋_GB2312" w:eastAsia="仿宋_GB2312" w:cs="仿宋_GB2312"/>
          <w:sz w:val="32"/>
          <w:szCs w:val="32"/>
          <w:lang w:val="en-US" w:eastAsia="zh-CN"/>
        </w:rPr>
        <w:t>减少</w:t>
      </w:r>
      <w:r>
        <w:rPr>
          <w:rFonts w:hint="eastAsia" w:ascii="仿宋_GB2312" w:hAnsi="仿宋_GB2312" w:eastAsia="仿宋_GB2312" w:cs="仿宋_GB2312"/>
          <w:sz w:val="32"/>
          <w:szCs w:val="32"/>
        </w:rPr>
        <w:t>；农林水事务支出17914.36万元，比上年同期的19152.01万元，减少1237.65万元，同比下降6.46%，减少主要原因是农业农村改革发展专项资金减少，主要用于平原造林养护、村级公益金、农村绿化美化、林木病虫害防控、河道管护等支出；资源勘探工业信息等支出9万元，用于长子营镇能力提升设备采购项目支出；自然资源海洋气象等支出0万元，比上年同期的257.12万元，减少257.12万元，同比下降100%，用于房地一体的宅基地、集体建设用地权籍调查和确权登记</w:t>
      </w:r>
      <w:r>
        <w:rPr>
          <w:rFonts w:hint="eastAsia" w:ascii="仿宋_GB2312" w:hAnsi="仿宋_GB2312" w:eastAsia="仿宋_GB2312" w:cs="仿宋_GB2312"/>
          <w:sz w:val="32"/>
          <w:szCs w:val="32"/>
          <w:lang w:val="en-US" w:eastAsia="zh-CN"/>
        </w:rPr>
        <w:t>项目一次性</w:t>
      </w:r>
      <w:r>
        <w:rPr>
          <w:rFonts w:hint="eastAsia" w:ascii="仿宋_GB2312" w:hAnsi="仿宋_GB2312" w:eastAsia="仿宋_GB2312" w:cs="仿宋_GB2312"/>
          <w:sz w:val="32"/>
          <w:szCs w:val="32"/>
        </w:rPr>
        <w:t>支出；住房保障支出590.75万元，比上年同期的</w:t>
      </w:r>
      <w:r>
        <w:rPr>
          <w:rFonts w:hint="eastAsia" w:ascii="仿宋_GB2312" w:hAnsi="仿宋_GB2312" w:eastAsia="仿宋_GB2312" w:cs="仿宋_GB2312"/>
          <w:sz w:val="32"/>
          <w:szCs w:val="32"/>
          <w:lang w:val="en-US" w:eastAsia="zh-CN"/>
        </w:rPr>
        <w:t>612.52</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21.77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下降了3.55%，</w:t>
      </w:r>
      <w:r>
        <w:rPr>
          <w:rFonts w:hint="eastAsia" w:ascii="仿宋_GB2312" w:hAnsi="仿宋_GB2312" w:eastAsia="仿宋_GB2312" w:cs="仿宋_GB2312"/>
          <w:sz w:val="32"/>
          <w:szCs w:val="32"/>
        </w:rPr>
        <w:t>用于发放住房补贴；灾害防治及应急管理支出398.41万元，比上年同期398.80万元，减少0.39万元，同比下降0.10%，主要用于消防安全支出。</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3.上解支出2939.64万元，主要包括民政统发上解、垃圾处理费，流管员工资、村级公益金、公益性岗位等专项资金上解。</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4.预备费支出0万元。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5.上年结转资金7188.22万元，用于我镇党组织服务群众经费，镇临时工，村干部工资等项目支出。</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6.2025年我镇专项转移支付支出14490.18万元，其中一般公共预算14490.18万元。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在一般公共预算专项转移支付支出中，主要支出科目如下：</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一般公共服务支出792.44万元；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文化旅游体育与传媒支出5.50万元；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社会保障和就业支出575.88万元；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卫生健康支出582.86万元；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节能环保支出1805.68万元；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城乡社区支出128.29万元；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农林水支出10590.53万元；</w:t>
      </w:r>
    </w:p>
    <w:p>
      <w:pPr>
        <w:pStyle w:val="2"/>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资源勘探工业信息等9万元；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7.政府债务情况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2025年无一般债券转贷收入。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（二）政府性基金预算收支决算情况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2025年政府性基金预算总收入12475.20万元，其中：体制补助收入2766.70万元，专项转移补助收入9653.49万元，上年结转资金55.01万元。</w:t>
      </w:r>
    </w:p>
    <w:p>
      <w:pPr>
        <w:pStyle w:val="12"/>
        <w:spacing w:line="56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2025年政府性基金预算总支出12475.20万元，政府性基金预算支出11824.40万元，年终结转650.80万元。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1.政府性基金支出情况</w:t>
      </w:r>
    </w:p>
    <w:p>
      <w:pPr>
        <w:pStyle w:val="12"/>
        <w:spacing w:line="56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2025年政府性基金支出12475.20万元，比上年同期的11052.80万元，增加1422.40万元，同比上升12.87%。主要用于</w:t>
      </w:r>
      <w:r>
        <w:rPr>
          <w:rFonts w:hint="eastAsia" w:ascii="仿宋_GB2312" w:hAnsi="仿宋_GB2312" w:eastAsia="仿宋_GB2312" w:cs="仿宋_GB2312"/>
          <w:color w:val="auto"/>
          <w:sz w:val="32"/>
          <w:szCs w:val="32"/>
          <w:lang w:val="en-US" w:eastAsia="zh-CN"/>
        </w:rPr>
        <w:t>环境整治</w:t>
      </w:r>
      <w:r>
        <w:rPr>
          <w:rFonts w:hint="eastAsia" w:ascii="仿宋_GB2312" w:hAnsi="仿宋_GB2312" w:eastAsia="仿宋_GB2312" w:cs="仿宋_GB2312"/>
          <w:color w:val="auto"/>
          <w:sz w:val="32"/>
          <w:szCs w:val="32"/>
        </w:rPr>
        <w:t>、土地流转费，长子营中学消隐改造、村级组织服务用房改造工程、国道230（国道104－九德路）道路拆改工程、老旧果园等复耕工作、平原造林工程、公路大修、路灯照明、湿地公园、美丽乡村基础设施建设等支出。</w:t>
      </w:r>
    </w:p>
    <w:p>
      <w:pPr>
        <w:pStyle w:val="12"/>
        <w:spacing w:line="56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在政府性基金预算专项转移支付支出9653.49万元，主要支出科目如下：</w:t>
      </w:r>
    </w:p>
    <w:p>
      <w:pPr>
        <w:pStyle w:val="12"/>
        <w:spacing w:line="56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城乡社区支出8964.30万元，主要用于长子营中学消隐改造、村级组织服务用房改造工程、国道230（国道104－九德路）道路拆改工程、老旧果园等复耕工作、平原造林工程、公路大修、路灯照明、湿地公园、美丽乡村基础设施建设等支出；</w:t>
      </w:r>
    </w:p>
    <w:p>
      <w:pPr>
        <w:pStyle w:val="12"/>
        <w:spacing w:line="56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资源勘探工业信息等支出585.84万元，用于农村地区老旧“煤改电”设备更新补贴；</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用于文化事业的彩票公益金支出103.35万元，用于烈士陵园改造升级项目支出。</w:t>
      </w:r>
    </w:p>
    <w:p>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（三）2025年财政主要工作完成情况</w:t>
      </w:r>
    </w:p>
    <w:p>
      <w:pPr>
        <w:pStyle w:val="12"/>
        <w:spacing w:line="560" w:lineRule="exact"/>
        <w:ind w:firstLine="643"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1.财政收入稳定增长，财源培育成果丰硕</w:t>
      </w:r>
    </w:p>
    <w:p>
      <w:pPr>
        <w:pStyle w:val="12"/>
        <w:spacing w:line="56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圆满完成收入预期，2025年镇级财政收入达4691万元（含非税收入），首次突破4000万元大关，同比增幅40.70%，四个月完成全年收入任务，实际完成全年收入任务的321.30%。引资质量不断提高，全年新增市场主体1501家，同比增长41.24%，贡献地方级财政收入729.35万元，引进注册资本金1000万元以上企业62家，京外迁入企业10家，新设企业有税率达90%，企业质量优、成色足、结构佳，科研业、信息业生产经营活跃度显著提升，动能充沛，后劲坚实。产业结构持续优化，积极发挥财政纽带作用，围绕“一点一面四片区”与综保区产业协同，成功引入年纳税千万级航天央企北京长征天民高科技有限公司和北京嘉和辰辉生物科技有限公司，其中嘉和辰辉落地仅四个月即形成税收524万元，区域产业从“单点发力”走向“系统赋能”。</w:t>
      </w:r>
    </w:p>
    <w:p>
      <w:pPr>
        <w:pStyle w:val="12"/>
        <w:spacing w:line="560" w:lineRule="exact"/>
        <w:ind w:firstLine="643" w:firstLineChars="200"/>
        <w:jc w:val="both"/>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2.支出结构持续优化，重点保障坚实有力</w:t>
      </w:r>
    </w:p>
    <w:p>
      <w:pPr>
        <w:pStyle w:val="12"/>
        <w:spacing w:line="56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严控一般性支出，坚持“厉行节约、统筹兼顾”，确保“三公”经费只减不增。2025年“三公”经费预算25万元，同比压减16.67%，完善财政监督制度，严格按预算拨款、按计划用款、按标准支出、按程序审批，实现支出进度与时间进度同步。全面推进绩效管理，将绩效目标覆盖所有项目，实施过程跟踪与结果评价，</w:t>
      </w:r>
      <w:r>
        <w:rPr>
          <w:rFonts w:hint="eastAsia" w:ascii="仿宋_GB2312" w:hAnsi="仿宋_GB2312" w:eastAsia="仿宋_GB2312" w:cs="仿宋_GB2312"/>
          <w:sz w:val="32"/>
          <w:szCs w:val="32"/>
        </w:rPr>
        <w:t>开展事前绩效评估项目1个、项目支出绩效评价项目1个、成本绩效分析项目2个</w:t>
      </w:r>
      <w:r>
        <w:rPr>
          <w:rFonts w:hint="eastAsia" w:ascii="仿宋_GB2312" w:hAnsi="仿宋_GB2312" w:eastAsia="仿宋_GB2312" w:cs="仿宋_GB2312"/>
          <w:color w:val="auto"/>
          <w:sz w:val="32"/>
          <w:szCs w:val="32"/>
        </w:rPr>
        <w:t>，组织多方论证评审，提升预算科学性与资金效益。发挥政府采购政策功能，支持中小微企业发展。全年授予中小微企业合同金额达70%以上，加强采购监管，通过自查、培训等方式规范市场秩序，营造公平竞争环境。</w:t>
      </w:r>
    </w:p>
    <w:p>
      <w:pPr>
        <w:pStyle w:val="12"/>
        <w:spacing w:line="560" w:lineRule="exact"/>
        <w:ind w:firstLine="643" w:firstLineChars="200"/>
        <w:jc w:val="both"/>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3.管理改革纵深推进，运行效能稳步提高</w:t>
      </w:r>
    </w:p>
    <w:p>
      <w:pPr>
        <w:pStyle w:val="12"/>
        <w:spacing w:line="56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严守财经纪律底线，完成2024年财政运行审计与政府采购专项整治，扎实做好“后半篇文章”，从制度与执行两端强化监督、落实整改，持续筑牢资金安全防线。提升内部管理规范化水平，顺利完成2024年度内控报告编报工作，并以此为契机，全面梳理、评估各项管理制度与业务流程，修订内部控制制度2条，推动内部控制从“有形覆盖”向“有效运行”深化，切实提升了管理运行的效率和风险防控能力。加强国有资产全生命周期管理。严格执行资产配置、使用、处置制度，推进公共基础设施资产入账核算，提高资产入账率，防止国有资产流失；规范资产处置收入收缴流程，确保及时足额上缴，强化房屋、土地等重点资产管理，全面摸清底数，提升资产使用效益。</w:t>
      </w:r>
    </w:p>
    <w:p>
      <w:pPr>
        <w:pStyle w:val="12"/>
        <w:spacing w:line="56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总体来说，2025年，面对外部经济环境的压力与挑战，镇财政部门主动作为、精准施策，通过强化收入组织、积极争取上级支持、深挖存量资产潜力等</w:t>
      </w:r>
      <w:r>
        <w:rPr>
          <w:rFonts w:hint="eastAsia" w:ascii="仿宋_GB2312" w:hAnsi="仿宋_GB2312" w:eastAsia="仿宋_GB2312" w:cs="仿宋_GB2312"/>
          <w:color w:val="auto"/>
          <w:sz w:val="32"/>
          <w:szCs w:val="32"/>
          <w:lang w:val="en-US" w:eastAsia="zh-CN"/>
        </w:rPr>
        <w:t>多项措施</w:t>
      </w:r>
      <w:r>
        <w:rPr>
          <w:rFonts w:hint="eastAsia" w:ascii="仿宋_GB2312" w:hAnsi="仿宋_GB2312" w:eastAsia="仿宋_GB2312" w:cs="仿宋_GB2312"/>
          <w:color w:val="auto"/>
          <w:sz w:val="32"/>
          <w:szCs w:val="32"/>
        </w:rPr>
        <w:t>，在财政收支“紧平衡”状态下，确保了整体运行平稳有序，各项财政管理与改革任务顺利完成。</w:t>
      </w:r>
    </w:p>
    <w:p>
      <w:pPr>
        <w:pStyle w:val="12"/>
        <w:spacing w:line="56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同时，我们也清醒认识到，一些深层次矛盾与挑战依然突出：一是财政收入增长的基础尚不牢固，可持续性有待增强；二是财政支出刚性需求不断增加，保障压力持续攀升；三是财政资源配置和资金使用效益仍有提升空间。在预算执行中，仍存在过紧日子意识不强等问题，资产与采购管理等领域也存在薄弱环节，制约了财政资金效能的充分发挥。</w:t>
      </w:r>
    </w:p>
    <w:p>
      <w:pPr>
        <w:pStyle w:val="12"/>
        <w:spacing w:line="56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面对这些困难与挑战，我们将进一步坚定信心、克难奋进，以“干成为王”的实干精神，持续提升财政管理水平和保障能力，努力为全镇经济社会高质量发展提供坚实可靠的财力支撑。</w:t>
      </w:r>
    </w:p>
    <w:p>
      <w:pPr>
        <w:pStyle w:val="2"/>
        <w:spacing w:after="0" w:line="560" w:lineRule="exact"/>
        <w:ind w:firstLine="640" w:firstLineChars="200"/>
        <w:rPr>
          <w:rFonts w:ascii="仿宋_GB2312" w:hAnsi="仿宋_GB2312" w:eastAsia="仿宋_GB2312" w:cs="仿宋_GB2312"/>
          <w:sz w:val="32"/>
          <w:szCs w:val="32"/>
        </w:rPr>
      </w:pPr>
    </w:p>
    <w:p>
      <w:pPr>
        <w:adjustRightInd w:val="0"/>
        <w:snapToGrid w:val="0"/>
        <w:spacing w:line="558"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（四）其他重要事项说明</w:t>
      </w:r>
    </w:p>
    <w:p>
      <w:pPr>
        <w:adjustRightInd w:val="0"/>
        <w:snapToGrid w:val="0"/>
        <w:spacing w:line="558"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按照《大兴区预算绩效管理办法》（京兴财〔2020〕225号），制定了《长子营镇预算绩效管理工作方案》，大力推进预算绩效管理工作，开展全过程绩效管理，在预算编制阶段，实现项目绩效目标全覆盖，随部门预算公开；预算执行阶段，开展过程绩效运行跟踪监控管理，及时向财政部门报送本单位开展绩效运行跟踪监控的情况，并对275个项目进行绩效自评，绩效自评覆盖率100%，全年开展事前绩效评估项目1个、项目支出绩效评价项目1个、成本绩效分析项目2个，预算编制的科学性和准确性不断提高。</w:t>
      </w:r>
    </w:p>
    <w:p>
      <w:pPr>
        <w:pStyle w:val="2"/>
      </w:pPr>
    </w:p>
    <w:p>
      <w:pPr>
        <w:numPr>
          <w:ilvl w:val="0"/>
          <w:numId w:val="1"/>
        </w:numPr>
        <w:spacing w:line="560" w:lineRule="exact"/>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2026年上半年财政预算执行情况</w:t>
      </w:r>
    </w:p>
    <w:p>
      <w:pPr>
        <w:pStyle w:val="12"/>
        <w:spacing w:line="560" w:lineRule="exact"/>
        <w:rPr>
          <w:color w:val="auto"/>
        </w:rPr>
      </w:pPr>
    </w:p>
    <w:p>
      <w:pPr>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2026年上半年，长子营镇产业发展服务中心（财政）全面贯彻实施“适度加力、提质增效”的积极财政政策，发挥财政综合调控作用，全力推动财政收入量增质优、支出加力提速、政策提质增效、风险安全可控，实现了财政收支时间、任务“双过半</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，为实现全年经济社会发展目标打下良好基础。</w:t>
      </w:r>
    </w:p>
    <w:p>
      <w:pPr>
        <w:spacing w:line="56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一、2026年上半年财政预算执行情况</w:t>
      </w:r>
    </w:p>
    <w:p>
      <w:pPr>
        <w:spacing w:line="560" w:lineRule="exact"/>
        <w:ind w:firstLine="640" w:firstLineChars="200"/>
        <w:jc w:val="left"/>
        <w:rPr>
          <w:rFonts w:ascii="楷体" w:hAnsi="楷体" w:eastAsia="楷体" w:cs="楷体"/>
          <w:sz w:val="32"/>
          <w:szCs w:val="32"/>
        </w:rPr>
      </w:pPr>
      <w:r>
        <w:rPr>
          <w:rFonts w:hint="eastAsia" w:ascii="楷体" w:hAnsi="楷体" w:eastAsia="楷体" w:cs="楷体"/>
          <w:sz w:val="32"/>
          <w:szCs w:val="32"/>
        </w:rPr>
        <w:t>（一）财政收入预算执行情况</w:t>
      </w:r>
    </w:p>
    <w:p>
      <w:pPr>
        <w:keepNext w:val="0"/>
        <w:keepLines w:val="0"/>
        <w:pageBreakBefore w:val="0"/>
        <w:kinsoku/>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上半年，一般公共预算总收入15,155.95</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全部为上级转移支付</w:t>
      </w:r>
      <w:r>
        <w:rPr>
          <w:rFonts w:hint="eastAsia" w:ascii="仿宋_GB2312" w:hAnsi="仿宋_GB2312" w:eastAsia="仿宋_GB2312" w:cs="仿宋_GB2312"/>
          <w:color w:val="auto"/>
          <w:sz w:val="32"/>
          <w:szCs w:val="32"/>
          <w:lang w:eastAsia="zh-CN"/>
        </w:rPr>
        <w:t>15,155.95万元。</w:t>
      </w:r>
      <w:bookmarkStart w:id="0" w:name="OLE_LINK4"/>
      <w:r>
        <w:rPr>
          <w:rFonts w:hint="eastAsia" w:ascii="仿宋_GB2312" w:hAnsi="仿宋_GB2312" w:eastAsia="仿宋_GB2312" w:cs="仿宋_GB2312"/>
          <w:color w:val="auto"/>
          <w:sz w:val="32"/>
          <w:szCs w:val="32"/>
          <w:lang w:val="en-US" w:eastAsia="zh-CN"/>
        </w:rPr>
        <w:t>其中：上半年，我镇完成财政收入2177万元</w:t>
      </w:r>
      <w:bookmarkEnd w:id="0"/>
      <w:r>
        <w:rPr>
          <w:rFonts w:hint="eastAsia" w:ascii="仿宋_GB2312" w:hAnsi="仿宋_GB2312" w:eastAsia="仿宋_GB2312" w:cs="仿宋_GB2312"/>
          <w:color w:val="auto"/>
          <w:sz w:val="32"/>
          <w:szCs w:val="32"/>
          <w:lang w:val="en-US" w:eastAsia="zh-CN"/>
        </w:rPr>
        <w:t>，完成收入任务1460万元的149.11%，与上年同期的2067万元相比增加110万元，比上年增长5.3%。财政收入中：</w:t>
      </w:r>
      <w:r>
        <w:rPr>
          <w:rFonts w:hint="eastAsia" w:ascii="仿宋_GB2312" w:hAnsi="仿宋_GB2312" w:eastAsia="仿宋_GB2312" w:cs="仿宋_GB2312"/>
          <w:color w:val="auto"/>
          <w:sz w:val="32"/>
          <w:szCs w:val="32"/>
          <w:lang w:eastAsia="zh-CN"/>
        </w:rPr>
        <w:t>增值税</w:t>
      </w:r>
      <w:r>
        <w:rPr>
          <w:rFonts w:hint="eastAsia" w:ascii="仿宋_GB2312" w:hAnsi="仿宋_GB2312" w:eastAsia="仿宋_GB2312" w:cs="仿宋_GB2312"/>
          <w:color w:val="auto"/>
          <w:sz w:val="32"/>
          <w:szCs w:val="32"/>
          <w:lang w:val="en-US" w:eastAsia="zh-CN"/>
        </w:rPr>
        <w:t>1186</w:t>
      </w:r>
      <w:r>
        <w:rPr>
          <w:rFonts w:hint="eastAsia" w:ascii="仿宋_GB2312" w:hAnsi="仿宋_GB2312" w:eastAsia="仿宋_GB2312" w:cs="仿宋_GB2312"/>
          <w:color w:val="auto"/>
          <w:sz w:val="32"/>
          <w:szCs w:val="32"/>
          <w:lang w:eastAsia="zh-CN"/>
        </w:rPr>
        <w:t>万元，企业所得税</w:t>
      </w:r>
      <w:r>
        <w:rPr>
          <w:rFonts w:hint="eastAsia" w:ascii="仿宋_GB2312" w:hAnsi="仿宋_GB2312" w:eastAsia="仿宋_GB2312" w:cs="仿宋_GB2312"/>
          <w:color w:val="auto"/>
          <w:sz w:val="32"/>
          <w:szCs w:val="32"/>
          <w:lang w:val="en-US" w:eastAsia="zh-CN"/>
        </w:rPr>
        <w:t>232</w:t>
      </w:r>
      <w:r>
        <w:rPr>
          <w:rFonts w:hint="eastAsia" w:ascii="仿宋_GB2312" w:hAnsi="仿宋_GB2312" w:eastAsia="仿宋_GB2312" w:cs="仿宋_GB2312"/>
          <w:color w:val="auto"/>
          <w:sz w:val="32"/>
          <w:szCs w:val="32"/>
          <w:lang w:eastAsia="zh-CN"/>
        </w:rPr>
        <w:t>万元，城市维护建设税</w:t>
      </w:r>
      <w:r>
        <w:rPr>
          <w:rFonts w:hint="eastAsia" w:ascii="仿宋_GB2312" w:hAnsi="仿宋_GB2312" w:eastAsia="仿宋_GB2312" w:cs="仿宋_GB2312"/>
          <w:color w:val="auto"/>
          <w:sz w:val="32"/>
          <w:szCs w:val="32"/>
          <w:lang w:val="en-US" w:eastAsia="zh-CN"/>
        </w:rPr>
        <w:t>124</w:t>
      </w:r>
      <w:r>
        <w:rPr>
          <w:rFonts w:hint="eastAsia" w:ascii="仿宋_GB2312" w:hAnsi="仿宋_GB2312" w:eastAsia="仿宋_GB2312" w:cs="仿宋_GB2312"/>
          <w:color w:val="auto"/>
          <w:sz w:val="32"/>
          <w:szCs w:val="32"/>
          <w:lang w:eastAsia="zh-CN"/>
        </w:rPr>
        <w:t>万元，房产税</w:t>
      </w:r>
      <w:r>
        <w:rPr>
          <w:rFonts w:hint="eastAsia" w:ascii="仿宋_GB2312" w:hAnsi="仿宋_GB2312" w:eastAsia="仿宋_GB2312" w:cs="仿宋_GB2312"/>
          <w:color w:val="auto"/>
          <w:sz w:val="32"/>
          <w:szCs w:val="32"/>
          <w:lang w:val="en-US" w:eastAsia="zh-CN"/>
        </w:rPr>
        <w:t>499</w:t>
      </w:r>
      <w:r>
        <w:rPr>
          <w:rFonts w:hint="eastAsia" w:ascii="仿宋_GB2312" w:hAnsi="仿宋_GB2312" w:eastAsia="仿宋_GB2312" w:cs="仿宋_GB2312"/>
          <w:color w:val="auto"/>
          <w:sz w:val="32"/>
          <w:szCs w:val="32"/>
          <w:lang w:eastAsia="zh-CN"/>
        </w:rPr>
        <w:t>万元，印花税</w:t>
      </w:r>
      <w:r>
        <w:rPr>
          <w:rFonts w:hint="eastAsia" w:ascii="仿宋_GB2312" w:hAnsi="仿宋_GB2312" w:eastAsia="仿宋_GB2312" w:cs="仿宋_GB2312"/>
          <w:color w:val="auto"/>
          <w:sz w:val="32"/>
          <w:szCs w:val="32"/>
          <w:lang w:val="en-US" w:eastAsia="zh-CN"/>
        </w:rPr>
        <w:t>118</w:t>
      </w:r>
      <w:r>
        <w:rPr>
          <w:rFonts w:hint="eastAsia" w:ascii="仿宋_GB2312" w:hAnsi="仿宋_GB2312" w:eastAsia="仿宋_GB2312" w:cs="仿宋_GB2312"/>
          <w:color w:val="auto"/>
          <w:sz w:val="32"/>
          <w:szCs w:val="32"/>
          <w:lang w:eastAsia="zh-CN"/>
        </w:rPr>
        <w:t>万元，城镇土地使用税</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lang w:eastAsia="zh-CN"/>
        </w:rPr>
        <w:t>万元，土地增值税0万元。</w:t>
      </w:r>
    </w:p>
    <w:p>
      <w:pPr>
        <w:keepNext w:val="0"/>
        <w:keepLines w:val="0"/>
        <w:pageBreakBefore w:val="0"/>
        <w:kinsoku/>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2.上半年，政府性基金预算总收</w:t>
      </w:r>
      <w:r>
        <w:rPr>
          <w:rFonts w:hint="eastAsia" w:ascii="仿宋_GB2312" w:hAnsi="仿宋_GB2312" w:eastAsia="仿宋_GB2312" w:cs="仿宋_GB2312"/>
          <w:color w:val="auto"/>
          <w:sz w:val="32"/>
          <w:szCs w:val="32"/>
          <w:lang w:val="en-US" w:eastAsia="zh-CN"/>
        </w:rPr>
        <w:t>入</w:t>
      </w:r>
      <w:r>
        <w:rPr>
          <w:rFonts w:hint="eastAsia" w:ascii="仿宋_GB2312" w:hAnsi="仿宋_GB2312" w:eastAsia="仿宋_GB2312" w:cs="仿宋_GB2312"/>
          <w:color w:val="auto"/>
          <w:sz w:val="32"/>
          <w:szCs w:val="32"/>
          <w:lang w:eastAsia="zh-CN"/>
        </w:rPr>
        <w:t>16,318.5</w:t>
      </w:r>
      <w:r>
        <w:rPr>
          <w:rFonts w:hint="eastAsia" w:ascii="仿宋_GB2312" w:hAnsi="仿宋_GB2312" w:eastAsia="仿宋_GB2312" w:cs="仿宋_GB2312"/>
          <w:color w:val="auto"/>
          <w:sz w:val="32"/>
          <w:szCs w:val="32"/>
          <w:lang w:val="en-US" w:eastAsia="zh-CN"/>
        </w:rPr>
        <w:t>5万元，全部为上级转移支付收入。</w:t>
      </w:r>
    </w:p>
    <w:p>
      <w:pPr>
        <w:keepNext w:val="0"/>
        <w:keepLines w:val="0"/>
        <w:pageBreakBefore w:val="0"/>
        <w:kinsoku/>
        <w:overflowPunct/>
        <w:topLinePunct w:val="0"/>
        <w:autoSpaceDE/>
        <w:autoSpaceDN/>
        <w:bidi w:val="0"/>
        <w:adjustRightInd/>
        <w:spacing w:line="560" w:lineRule="exact"/>
        <w:ind w:firstLine="640" w:firstLineChars="200"/>
        <w:jc w:val="left"/>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（二）财政支出执行情况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上半年，我镇一般公共预算支出15,155.95万元，较去年同期的20637.36万元，减少5481.41万元，同比下降26.56%，减少主要原因为2026年平原生态林流转费及养护费支出、镇域环境提升等项目支出减少。其中：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般公共服务支出5,908.04万元，较去年同期的5563.42万元，增加344.62万元，增长6.19%，主要为政府运转经费、村党组织服务群众经费等项目支出；公共安全支出39.15万元，较去年同期的9.50万元，增加29.65万元，增长312.11%，主要为人民调解员经费、司法社工经费及法律服务支出；文化旅游体育与传媒支出186.07万元，较去年同期的187.72万元，减少1.65万元，下降了0.88%，主要为文化组织员、基层文化项目及宣传活动支出；社会保障和就业支出1,041.50万元，较去年同期的774.14万元，增加267.36万元，增长34.54%，主要为职工保险职业年金、优抚、社救、残疾人事业、公益性就业组织岗位补贴、“三支一扶”计划补贴等项目支出；卫生健康支出1,619.77万元，较去年同期的1493.13万元，增加126.64万元，增长8.48%，主要为卫生院人员经费、公共卫生经费、计划生育经费、优抚对象医疗补助防疫资金以及在职人员医疗保险支出等；节能环保支出527.48万元，较去年同期的244.24万元，增加283.24万元，增长115.97%，主要为大气治理资金；城乡社区支出775.19万元，较去年同期的1910.62万元，减少1135.43万元，下降59.43%，主要减少原因是，镇域环境提升项目、疏解整治促提升项目支出减少，主要用途为农村环境卫生、农村公共设施维护、临时雇用人员工资、疏解整治促提升支出等；农林水支出4,538.04万元，较去年同期的9735.15万元，减少5197.11万元，下降了53.38%，减少主要原因为2026年平原生态林流转费及养护费支出减少，主要为村级公益事业、动物防疫、河道管护、农村绿化美化、基层政权建设、农村协管员补助支出等；减少主要原因为2026年平原生态林流转费及养护费支出减少；住房保障支出321.13万元；灾害防治及应急管理支出199.56万元，较去年同期的128.68万元，增加70.88万元，增长55.08%，主要为安全生产监管及消防设施运维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上半年，政府性基金支出16,318.55万元，较去年同期的5271.39万元，增加11047.16万元，增长209.57%，主要原因是：国道230（国道104－九德路）集体土地征地资金、道路拆改工程等专项资金补助增加。</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二、2026年</w:t>
      </w:r>
      <w:r>
        <w:rPr>
          <w:rFonts w:hint="eastAsia" w:ascii="黑体" w:hAnsi="黑体" w:eastAsia="黑体"/>
          <w:sz w:val="32"/>
          <w:szCs w:val="32"/>
          <w:lang w:val="en-US" w:eastAsia="zh-CN"/>
        </w:rPr>
        <w:t>下半年</w:t>
      </w:r>
      <w:r>
        <w:rPr>
          <w:rFonts w:hint="eastAsia" w:ascii="黑体" w:hAnsi="黑体" w:eastAsia="黑体"/>
          <w:sz w:val="32"/>
          <w:szCs w:val="32"/>
        </w:rPr>
        <w:t>主要工作</w:t>
      </w:r>
    </w:p>
    <w:p>
      <w:pPr>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财政工作在镇党委、政府的正确领导下，在镇人大的依法监督下，树立科学的理财观念，努力加强税源建设，不断优化税收结构，推进镇财力可持续增长。具体工作如下：</w:t>
      </w:r>
    </w:p>
    <w:p>
      <w:pPr>
        <w:spacing w:line="560" w:lineRule="exact"/>
        <w:ind w:firstLine="643" w:firstLineChars="200"/>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（一）深耕财源建设路径，持续夯实全域财力根基</w:t>
      </w:r>
    </w:p>
    <w:p>
      <w:p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常态化对接区级财税部门，动态掌握税源变化、企业经营及政策更新情况。常态化走访服务重点税源企业，跟进新增企业培育，稳固存量税源、扩充增量税源。对标2026年区级财源考核要求，提前储备优质参评主体，补齐工作短板，力争考核稳居全区前列。积极对上争取各类专项补助资金，重点保障镇村基建、乡村振兴、生态治理、民生提升等工作。规范非税收入征管，盘活镇村闲置低效资产资源，拓宽增收渠道，夯实镇域财力基础。</w:t>
      </w:r>
    </w:p>
    <w:p>
      <w:pPr>
        <w:spacing w:line="560" w:lineRule="exact"/>
        <w:ind w:firstLine="643" w:firstLineChars="200"/>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（二）精准统筹财政支出，全面提升资金配置效能</w:t>
      </w:r>
    </w:p>
    <w:p>
      <w:pPr>
        <w:spacing w:line="560" w:lineRule="exact"/>
        <w:ind w:firstLine="640" w:firstLineChars="200"/>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坚持勤俭理财、量入为出，持续优化财政支出结构。严守基层运转、民生保障、基层治理“三保”底线，科学编制年度预算，足额保障刚性重点支出。严格落实过紧日子要求，严控一般性支出，压减非刚性、非急需开支，规范采购及资产配置，严控运行成本，确保“三公”经费只减不增。健全预算动态监管，</w:t>
      </w:r>
      <w:r>
        <w:rPr>
          <w:rFonts w:hint="eastAsia" w:ascii="仿宋_GB2312" w:hAnsi="仿宋_GB2312" w:eastAsia="仿宋_GB2312" w:cs="仿宋_GB2312"/>
          <w:sz w:val="32"/>
          <w:szCs w:val="32"/>
        </w:rPr>
        <w:t>实行支出进度“半年提示”制度，督促各科室加快项目实施与资金支付</w:t>
      </w:r>
      <w:r>
        <w:rPr>
          <w:rFonts w:hint="eastAsia" w:ascii="仿宋_GB2312" w:hAnsi="仿宋_GB2312" w:eastAsia="仿宋_GB2312" w:cs="仿宋_GB2312"/>
          <w:sz w:val="32"/>
          <w:szCs w:val="32"/>
          <w:lang w:val="en-US" w:eastAsia="zh-CN"/>
        </w:rPr>
        <w:t>，杜绝资金沉淀、年末突击支出，提升预算执行质效。统筹整合财政资金，集中保障镇域重点工作、重点项目落地，重点投入人居环境、产业发展、民生兜底等领域，赋能乡镇高质量发展。</w:t>
      </w:r>
    </w:p>
    <w:p>
      <w:pPr>
        <w:spacing w:line="560" w:lineRule="exact"/>
        <w:ind w:firstLine="643" w:firstLineChars="200"/>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（三）健全规范管控体系，扎实筑牢财政安全屏障</w:t>
      </w:r>
    </w:p>
    <w:p>
      <w:p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深化预算绩效管理一体化工作，提升预算编制精准度，以绩效结果导向优化资金配置，压降低效无效支出。完善镇财政内控制度，强化内部监督制衡，深化国库集中支付改革，实现资金拨付全程监管、留痕可溯。严格落实财政信息公开，规范镇属资产全流程管理，严防资产流失。抓实审计、督查问题整改。结合实际完善预算、支付、采购、资产、绩效等制度体系，常态化规范财政运行、防范化解财政风险。</w:t>
      </w:r>
    </w:p>
    <w:p>
      <w:pPr>
        <w:spacing w:line="560" w:lineRule="exact"/>
        <w:ind w:firstLine="643" w:firstLineChars="200"/>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（四）优化服务赋能提质，锻造高素质财政干部队伍</w:t>
      </w:r>
    </w:p>
    <w:p>
      <w:p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立足基层履职实际，常态化研习财税、产业、乡村振兴及民生政策，对标上级先进做法，持续提升政策运用和实操履职能力。强化靠前服务、主动服务，精准对接企业和群众需求，做好政策解读与业务协助，切实解决群众企业难题。严守财经纪律和廉洁底线，恪守履职规矩，涵养清廉务实作风，树立基层财政良好形象。以过硬业务、优质服务、严实作风，全力保障镇域经济社会平稳高质量发展。</w:t>
      </w:r>
    </w:p>
    <w:p>
      <w:p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各位代表，征途过半更须勤勉，志攀高峰莫惧辛劳。下半年，我们将紧跟镇党委、政府统筹部署，主动接受镇人大依法监督，坚定 “长子营就是行” 的信心，以昂扬奋进的姿态、时时放心不下的责任感抓实全年财政工作，紧盯重点任务攻坚克难、奋勇争先，持续推动镇域发展提质增效，补齐各类发展短板，稳步提升政府治理现代化水平，为长子营镇各项事业高质量发展添砖加瓦</w:t>
      </w:r>
      <w:r>
        <w:rPr>
          <w:rFonts w:hint="eastAsia" w:ascii="仿宋_GB2312" w:hAnsi="仿宋_GB2312" w:eastAsia="仿宋_GB2312" w:cs="仿宋_GB2312"/>
          <w:sz w:val="32"/>
          <w:szCs w:val="32"/>
          <w:lang w:eastAsia="zh-CN"/>
        </w:rPr>
        <w:t>。</w:t>
      </w:r>
    </w:p>
    <w:p>
      <w:pPr>
        <w:spacing w:line="560" w:lineRule="exact"/>
        <w:ind w:firstLine="640" w:firstLineChars="200"/>
        <w:jc w:val="left"/>
        <w:rPr>
          <w:rFonts w:ascii="方正小标宋简体" w:hAnsi="方正小标宋简体" w:eastAsia="方正小标宋简体" w:cs="方正小标宋简体"/>
          <w:sz w:val="44"/>
          <w:szCs w:val="44"/>
        </w:rPr>
      </w:pPr>
      <w:r>
        <w:rPr>
          <w:rFonts w:hint="eastAsia" w:ascii="仿宋_GB2312" w:hAnsi="仿宋_GB2312" w:eastAsia="仿宋_GB2312" w:cs="仿宋_GB2312"/>
          <w:sz w:val="32"/>
          <w:szCs w:val="32"/>
        </w:rPr>
        <w:t>以上报告，请予审议。</w:t>
      </w:r>
    </w:p>
    <w:sectPr>
      <w:footerReference r:id="rId3" w:type="default"/>
      <w:pgSz w:w="11906" w:h="16838"/>
      <w:pgMar w:top="2098" w:right="1474" w:bottom="1985" w:left="1588" w:header="851" w:footer="992" w:gutter="0"/>
      <w:pgNumType w:fmt="numberInDash"/>
      <w:cols w:space="720" w:num="1"/>
      <w:docGrid w:type="lines" w:linePitch="3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02EC0E-B72A-44A6-82F5-E0B09567FA2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panose1 w:val="03000509000000000000"/>
    <w:charset w:val="86"/>
    <w:family w:val="auto"/>
    <w:pitch w:val="default"/>
    <w:sig w:usb0="00000000" w:usb1="00000000" w:usb2="00000000" w:usb3="00000000" w:csb0="00000000" w:csb1="00000000"/>
    <w:embedRegular r:id="rId2" w:fontKey="{4EEF93E5-D6D9-4F62-B7B8-269BD2F3BDFE}"/>
  </w:font>
  <w:font w:name="楷体">
    <w:panose1 w:val="02010609060101010101"/>
    <w:charset w:val="86"/>
    <w:family w:val="modern"/>
    <w:pitch w:val="default"/>
    <w:sig w:usb0="800002BF" w:usb1="38CF7CFA" w:usb2="00000016" w:usb3="00000000" w:csb0="00040001" w:csb1="00000000"/>
    <w:embedRegular r:id="rId3" w:fontKey="{6DEFFC8A-0589-469C-B148-B81A2A8D8854}"/>
  </w:font>
  <w:font w:name="仿宋_GB2312">
    <w:panose1 w:val="02010609030101010101"/>
    <w:charset w:val="86"/>
    <w:family w:val="auto"/>
    <w:pitch w:val="default"/>
    <w:sig w:usb0="00000000" w:usb1="00000000" w:usb2="00000000" w:usb3="00000000" w:csb0="00000000" w:csb1="00000000"/>
    <w:embedRegular r:id="rId4" w:fontKey="{0EA08903-05FB-4060-B861-EAA15BEB372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5rnJj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gTOHPC0oVffny//Px9+fWN&#10;LZM9fcCKuh7DA0wZUpi0Di3Y9CYVbMiWnq+WqiEyScXlerVel+S2pLM5IZzi6fMAGO+UtywFNQe6&#10;s2ylOH3EOLbOLWma87faGKqLyri/CoSZKkViPHJMURz2w0R875szqe3pumvuaLs5M/eO3EybMQcw&#10;B/s5OAbQh46oLTMvDB+OkUhkbmnCCDsNpnvK6qadSovwPM9dT//R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fmucmMMBAACPAwAADgAAAAAAAAABACAAAAAfAQAAZHJzL2Uyb0RvYy54bWxQ&#10;SwUGAAAAAAYABgBZAQAAVAUAAAAA&#10;">
          <v:path/>
          <v:fill on="f" focussize="0,0"/>
          <v:stroke on="f"/>
          <v:imagedata o:title=""/>
          <o:lock v:ext="edit"/>
          <v:textbox inset="0mm,0mm,0mm,0mm" style="mso-fit-shape-to-text:t;">
            <w:txbxContent>
              <w:p>
                <w:pPr>
                  <w:pStyle w:val="10"/>
                  <w:rPr>
                    <w:rStyle w:val="20"/>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- 1 -</w:t>
                </w:r>
                <w:r>
                  <w:rPr>
                    <w:rFonts w:hint="eastAsia" w:ascii="宋体" w:hAnsi="宋体" w:cs="宋体"/>
                    <w:sz w:val="28"/>
                    <w:szCs w:val="28"/>
                  </w:rP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DC69ED"/>
    <w:multiLevelType w:val="singleLevel"/>
    <w:tmpl w:val="6DDC69ED"/>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9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g2NmZmOTljM2EyZDFjNmE4ZGVkYzVkZWNiZGMwNzYifQ=="/>
    <w:docVar w:name="KSO_WPS_MARK_KEY" w:val="bc148174-c133-4d97-800b-1d89f1d16a8e"/>
  </w:docVars>
  <w:rsids>
    <w:rsidRoot w:val="004E2B71"/>
    <w:rsid w:val="00004E1D"/>
    <w:rsid w:val="00005EE0"/>
    <w:rsid w:val="00007E29"/>
    <w:rsid w:val="00012BC3"/>
    <w:rsid w:val="00014B08"/>
    <w:rsid w:val="00015195"/>
    <w:rsid w:val="000155A8"/>
    <w:rsid w:val="0002444E"/>
    <w:rsid w:val="00032D4A"/>
    <w:rsid w:val="0004212A"/>
    <w:rsid w:val="00044AD8"/>
    <w:rsid w:val="000454C8"/>
    <w:rsid w:val="0005000C"/>
    <w:rsid w:val="00050675"/>
    <w:rsid w:val="00052314"/>
    <w:rsid w:val="000562F5"/>
    <w:rsid w:val="0006552B"/>
    <w:rsid w:val="00066AAF"/>
    <w:rsid w:val="00071D96"/>
    <w:rsid w:val="00081AD2"/>
    <w:rsid w:val="00094C34"/>
    <w:rsid w:val="00096B0A"/>
    <w:rsid w:val="000A136F"/>
    <w:rsid w:val="000A15B7"/>
    <w:rsid w:val="000A3A9D"/>
    <w:rsid w:val="000A431C"/>
    <w:rsid w:val="000B22CE"/>
    <w:rsid w:val="000B38FD"/>
    <w:rsid w:val="000B4EDD"/>
    <w:rsid w:val="000C0062"/>
    <w:rsid w:val="000C206B"/>
    <w:rsid w:val="000C48A4"/>
    <w:rsid w:val="000C62C3"/>
    <w:rsid w:val="000D1088"/>
    <w:rsid w:val="000D153A"/>
    <w:rsid w:val="000D5D4F"/>
    <w:rsid w:val="000F101B"/>
    <w:rsid w:val="000F223E"/>
    <w:rsid w:val="000F3370"/>
    <w:rsid w:val="00103597"/>
    <w:rsid w:val="00104920"/>
    <w:rsid w:val="00110624"/>
    <w:rsid w:val="00110CBE"/>
    <w:rsid w:val="00111BE9"/>
    <w:rsid w:val="00112DFA"/>
    <w:rsid w:val="001136BA"/>
    <w:rsid w:val="00113CCF"/>
    <w:rsid w:val="001144A4"/>
    <w:rsid w:val="001172F9"/>
    <w:rsid w:val="00117B61"/>
    <w:rsid w:val="00127D32"/>
    <w:rsid w:val="00134D4B"/>
    <w:rsid w:val="00140FB5"/>
    <w:rsid w:val="00143FCD"/>
    <w:rsid w:val="00153DCF"/>
    <w:rsid w:val="00154515"/>
    <w:rsid w:val="00163730"/>
    <w:rsid w:val="00171D36"/>
    <w:rsid w:val="001741BE"/>
    <w:rsid w:val="00175CCF"/>
    <w:rsid w:val="00182401"/>
    <w:rsid w:val="0018339C"/>
    <w:rsid w:val="00183600"/>
    <w:rsid w:val="0018402C"/>
    <w:rsid w:val="001844D8"/>
    <w:rsid w:val="00185C90"/>
    <w:rsid w:val="00186B8F"/>
    <w:rsid w:val="00190100"/>
    <w:rsid w:val="00190B60"/>
    <w:rsid w:val="001911C2"/>
    <w:rsid w:val="001A0C50"/>
    <w:rsid w:val="001A4BAA"/>
    <w:rsid w:val="001A6FAC"/>
    <w:rsid w:val="001B5BE3"/>
    <w:rsid w:val="001B5BFE"/>
    <w:rsid w:val="001C275D"/>
    <w:rsid w:val="001C4BA4"/>
    <w:rsid w:val="001C68CE"/>
    <w:rsid w:val="001C7BE0"/>
    <w:rsid w:val="001D5BAF"/>
    <w:rsid w:val="001E284B"/>
    <w:rsid w:val="001F458B"/>
    <w:rsid w:val="00211C1E"/>
    <w:rsid w:val="0021398A"/>
    <w:rsid w:val="00216E69"/>
    <w:rsid w:val="0022149C"/>
    <w:rsid w:val="0022599E"/>
    <w:rsid w:val="00225C25"/>
    <w:rsid w:val="00227E6C"/>
    <w:rsid w:val="00227EF7"/>
    <w:rsid w:val="00240D85"/>
    <w:rsid w:val="00242364"/>
    <w:rsid w:val="0024728C"/>
    <w:rsid w:val="002510BB"/>
    <w:rsid w:val="00254998"/>
    <w:rsid w:val="002567D1"/>
    <w:rsid w:val="00262DFA"/>
    <w:rsid w:val="00273558"/>
    <w:rsid w:val="00275880"/>
    <w:rsid w:val="00277520"/>
    <w:rsid w:val="00281AEF"/>
    <w:rsid w:val="00296773"/>
    <w:rsid w:val="0029692A"/>
    <w:rsid w:val="002973E9"/>
    <w:rsid w:val="002A2CDD"/>
    <w:rsid w:val="002A502F"/>
    <w:rsid w:val="002C0BF7"/>
    <w:rsid w:val="002C2063"/>
    <w:rsid w:val="002E4CE3"/>
    <w:rsid w:val="002E50A1"/>
    <w:rsid w:val="002E6565"/>
    <w:rsid w:val="002F7439"/>
    <w:rsid w:val="00313897"/>
    <w:rsid w:val="003224C5"/>
    <w:rsid w:val="00322520"/>
    <w:rsid w:val="003326B0"/>
    <w:rsid w:val="00340047"/>
    <w:rsid w:val="003463B9"/>
    <w:rsid w:val="003474FE"/>
    <w:rsid w:val="00360839"/>
    <w:rsid w:val="0036250F"/>
    <w:rsid w:val="00362E7E"/>
    <w:rsid w:val="003675F0"/>
    <w:rsid w:val="00370D74"/>
    <w:rsid w:val="00370E49"/>
    <w:rsid w:val="00381C12"/>
    <w:rsid w:val="00386110"/>
    <w:rsid w:val="00391911"/>
    <w:rsid w:val="003940F8"/>
    <w:rsid w:val="0039475E"/>
    <w:rsid w:val="00396B02"/>
    <w:rsid w:val="003A03FC"/>
    <w:rsid w:val="003A5F11"/>
    <w:rsid w:val="003B0180"/>
    <w:rsid w:val="003D4A43"/>
    <w:rsid w:val="003E6007"/>
    <w:rsid w:val="003E617F"/>
    <w:rsid w:val="003E61A8"/>
    <w:rsid w:val="003F074B"/>
    <w:rsid w:val="003F5E6B"/>
    <w:rsid w:val="00402B37"/>
    <w:rsid w:val="00437C2A"/>
    <w:rsid w:val="004428D5"/>
    <w:rsid w:val="00443FB9"/>
    <w:rsid w:val="00453D49"/>
    <w:rsid w:val="00456BA5"/>
    <w:rsid w:val="00457863"/>
    <w:rsid w:val="00457FD4"/>
    <w:rsid w:val="00470FAC"/>
    <w:rsid w:val="004738FF"/>
    <w:rsid w:val="00477DA4"/>
    <w:rsid w:val="00483D1E"/>
    <w:rsid w:val="00484D2C"/>
    <w:rsid w:val="00485172"/>
    <w:rsid w:val="00492110"/>
    <w:rsid w:val="00492D66"/>
    <w:rsid w:val="0049474D"/>
    <w:rsid w:val="004A359A"/>
    <w:rsid w:val="004B0E77"/>
    <w:rsid w:val="004B3A5A"/>
    <w:rsid w:val="004C35E5"/>
    <w:rsid w:val="004C67E8"/>
    <w:rsid w:val="004D4BAD"/>
    <w:rsid w:val="004E2B71"/>
    <w:rsid w:val="004E5DBC"/>
    <w:rsid w:val="004F0116"/>
    <w:rsid w:val="005032FE"/>
    <w:rsid w:val="005034C3"/>
    <w:rsid w:val="00505551"/>
    <w:rsid w:val="00505CAE"/>
    <w:rsid w:val="005155A9"/>
    <w:rsid w:val="0052122D"/>
    <w:rsid w:val="00521817"/>
    <w:rsid w:val="00524E2D"/>
    <w:rsid w:val="005254D6"/>
    <w:rsid w:val="00531974"/>
    <w:rsid w:val="005332E3"/>
    <w:rsid w:val="005339B8"/>
    <w:rsid w:val="00533CF0"/>
    <w:rsid w:val="0054321C"/>
    <w:rsid w:val="00545DAC"/>
    <w:rsid w:val="00550C5F"/>
    <w:rsid w:val="00555239"/>
    <w:rsid w:val="00561E6A"/>
    <w:rsid w:val="005633B0"/>
    <w:rsid w:val="005754C0"/>
    <w:rsid w:val="00587856"/>
    <w:rsid w:val="00591A1E"/>
    <w:rsid w:val="00592F76"/>
    <w:rsid w:val="00593F61"/>
    <w:rsid w:val="005964D2"/>
    <w:rsid w:val="005A0549"/>
    <w:rsid w:val="005A3B9A"/>
    <w:rsid w:val="005A64B6"/>
    <w:rsid w:val="005A67A8"/>
    <w:rsid w:val="005A6C09"/>
    <w:rsid w:val="005B40B4"/>
    <w:rsid w:val="005B4D19"/>
    <w:rsid w:val="005B565F"/>
    <w:rsid w:val="005C18B5"/>
    <w:rsid w:val="005C3EC8"/>
    <w:rsid w:val="005F3F48"/>
    <w:rsid w:val="005F6643"/>
    <w:rsid w:val="005F6B84"/>
    <w:rsid w:val="00602168"/>
    <w:rsid w:val="006044AD"/>
    <w:rsid w:val="0060556B"/>
    <w:rsid w:val="00607537"/>
    <w:rsid w:val="00612770"/>
    <w:rsid w:val="0061686E"/>
    <w:rsid w:val="00616DD7"/>
    <w:rsid w:val="006210CC"/>
    <w:rsid w:val="006268C1"/>
    <w:rsid w:val="00630B2D"/>
    <w:rsid w:val="00632C50"/>
    <w:rsid w:val="00635748"/>
    <w:rsid w:val="00637FD2"/>
    <w:rsid w:val="006424D7"/>
    <w:rsid w:val="00642A4C"/>
    <w:rsid w:val="006512DF"/>
    <w:rsid w:val="00653B1A"/>
    <w:rsid w:val="00654B58"/>
    <w:rsid w:val="00656E93"/>
    <w:rsid w:val="0066498F"/>
    <w:rsid w:val="00666537"/>
    <w:rsid w:val="0067255F"/>
    <w:rsid w:val="00673302"/>
    <w:rsid w:val="00677207"/>
    <w:rsid w:val="00680CE8"/>
    <w:rsid w:val="00680F3F"/>
    <w:rsid w:val="00681561"/>
    <w:rsid w:val="00681D3F"/>
    <w:rsid w:val="00694800"/>
    <w:rsid w:val="00695087"/>
    <w:rsid w:val="006B3F79"/>
    <w:rsid w:val="006B5205"/>
    <w:rsid w:val="006B556A"/>
    <w:rsid w:val="006C360F"/>
    <w:rsid w:val="006C3E92"/>
    <w:rsid w:val="006C5022"/>
    <w:rsid w:val="006C6029"/>
    <w:rsid w:val="006D1CA0"/>
    <w:rsid w:val="006D572C"/>
    <w:rsid w:val="006D6510"/>
    <w:rsid w:val="006D67B0"/>
    <w:rsid w:val="006E13F0"/>
    <w:rsid w:val="006E197B"/>
    <w:rsid w:val="006F005D"/>
    <w:rsid w:val="00704D1E"/>
    <w:rsid w:val="00711605"/>
    <w:rsid w:val="007169F8"/>
    <w:rsid w:val="00717A57"/>
    <w:rsid w:val="00727C3F"/>
    <w:rsid w:val="00732C73"/>
    <w:rsid w:val="00734FE3"/>
    <w:rsid w:val="00740220"/>
    <w:rsid w:val="00742B86"/>
    <w:rsid w:val="007442E2"/>
    <w:rsid w:val="007506D1"/>
    <w:rsid w:val="007516ED"/>
    <w:rsid w:val="00764055"/>
    <w:rsid w:val="007759ED"/>
    <w:rsid w:val="00775CED"/>
    <w:rsid w:val="0078356D"/>
    <w:rsid w:val="0078443C"/>
    <w:rsid w:val="007846A4"/>
    <w:rsid w:val="0079105C"/>
    <w:rsid w:val="0079197D"/>
    <w:rsid w:val="0079202A"/>
    <w:rsid w:val="007A15A4"/>
    <w:rsid w:val="007A2406"/>
    <w:rsid w:val="007A48C7"/>
    <w:rsid w:val="007B2E20"/>
    <w:rsid w:val="007B600B"/>
    <w:rsid w:val="007D1B41"/>
    <w:rsid w:val="007D251E"/>
    <w:rsid w:val="007D35AA"/>
    <w:rsid w:val="007D3935"/>
    <w:rsid w:val="007D3B65"/>
    <w:rsid w:val="007E3B20"/>
    <w:rsid w:val="007E4AD5"/>
    <w:rsid w:val="007F1705"/>
    <w:rsid w:val="007F784A"/>
    <w:rsid w:val="00803DCB"/>
    <w:rsid w:val="00805947"/>
    <w:rsid w:val="0082221E"/>
    <w:rsid w:val="00836EEA"/>
    <w:rsid w:val="00837E96"/>
    <w:rsid w:val="008419D9"/>
    <w:rsid w:val="00843179"/>
    <w:rsid w:val="00850B10"/>
    <w:rsid w:val="00854559"/>
    <w:rsid w:val="00857BF6"/>
    <w:rsid w:val="00860537"/>
    <w:rsid w:val="008622CA"/>
    <w:rsid w:val="00863CEF"/>
    <w:rsid w:val="00871810"/>
    <w:rsid w:val="0087435F"/>
    <w:rsid w:val="008748AF"/>
    <w:rsid w:val="00875EA7"/>
    <w:rsid w:val="00885313"/>
    <w:rsid w:val="00891A3F"/>
    <w:rsid w:val="00895D9A"/>
    <w:rsid w:val="008A26E5"/>
    <w:rsid w:val="008A27C0"/>
    <w:rsid w:val="008A4B57"/>
    <w:rsid w:val="008A73CB"/>
    <w:rsid w:val="008B2A84"/>
    <w:rsid w:val="008C026D"/>
    <w:rsid w:val="008C6A38"/>
    <w:rsid w:val="008C77FC"/>
    <w:rsid w:val="008D27AC"/>
    <w:rsid w:val="008E0141"/>
    <w:rsid w:val="008E1415"/>
    <w:rsid w:val="008E3FB7"/>
    <w:rsid w:val="008F16D9"/>
    <w:rsid w:val="0091178A"/>
    <w:rsid w:val="00912AF0"/>
    <w:rsid w:val="00923242"/>
    <w:rsid w:val="00926DEB"/>
    <w:rsid w:val="00943938"/>
    <w:rsid w:val="0095114F"/>
    <w:rsid w:val="009534D5"/>
    <w:rsid w:val="00953AAB"/>
    <w:rsid w:val="00954B3D"/>
    <w:rsid w:val="00954E02"/>
    <w:rsid w:val="009618B0"/>
    <w:rsid w:val="00962CD8"/>
    <w:rsid w:val="00967DB2"/>
    <w:rsid w:val="00970400"/>
    <w:rsid w:val="00971355"/>
    <w:rsid w:val="009866CC"/>
    <w:rsid w:val="00986713"/>
    <w:rsid w:val="00991F41"/>
    <w:rsid w:val="0099343C"/>
    <w:rsid w:val="009A051C"/>
    <w:rsid w:val="009A3D2A"/>
    <w:rsid w:val="009A5717"/>
    <w:rsid w:val="009A7A6B"/>
    <w:rsid w:val="009C0D6C"/>
    <w:rsid w:val="009C32D6"/>
    <w:rsid w:val="009D7901"/>
    <w:rsid w:val="009E5C12"/>
    <w:rsid w:val="009F0030"/>
    <w:rsid w:val="009F4687"/>
    <w:rsid w:val="009F5E32"/>
    <w:rsid w:val="00A01853"/>
    <w:rsid w:val="00A01A18"/>
    <w:rsid w:val="00A060D9"/>
    <w:rsid w:val="00A0705B"/>
    <w:rsid w:val="00A108B4"/>
    <w:rsid w:val="00A11677"/>
    <w:rsid w:val="00A11783"/>
    <w:rsid w:val="00A17216"/>
    <w:rsid w:val="00A214B3"/>
    <w:rsid w:val="00A2298B"/>
    <w:rsid w:val="00A35FDA"/>
    <w:rsid w:val="00A41BD1"/>
    <w:rsid w:val="00A55BB0"/>
    <w:rsid w:val="00A568A6"/>
    <w:rsid w:val="00A64AED"/>
    <w:rsid w:val="00A66286"/>
    <w:rsid w:val="00A74A2D"/>
    <w:rsid w:val="00A76C23"/>
    <w:rsid w:val="00A871C5"/>
    <w:rsid w:val="00A951DB"/>
    <w:rsid w:val="00AA4259"/>
    <w:rsid w:val="00AA75D5"/>
    <w:rsid w:val="00AA795A"/>
    <w:rsid w:val="00AB54C6"/>
    <w:rsid w:val="00AC29B9"/>
    <w:rsid w:val="00AD5314"/>
    <w:rsid w:val="00AD7652"/>
    <w:rsid w:val="00AE0C87"/>
    <w:rsid w:val="00AE1E1B"/>
    <w:rsid w:val="00AE3E22"/>
    <w:rsid w:val="00AF1A0E"/>
    <w:rsid w:val="00AF3062"/>
    <w:rsid w:val="00AF68FB"/>
    <w:rsid w:val="00B22762"/>
    <w:rsid w:val="00B339CA"/>
    <w:rsid w:val="00B343B1"/>
    <w:rsid w:val="00B41A02"/>
    <w:rsid w:val="00B44217"/>
    <w:rsid w:val="00B4478A"/>
    <w:rsid w:val="00B45D54"/>
    <w:rsid w:val="00B47F9C"/>
    <w:rsid w:val="00B510D8"/>
    <w:rsid w:val="00B57559"/>
    <w:rsid w:val="00B6076B"/>
    <w:rsid w:val="00B61F60"/>
    <w:rsid w:val="00B639EA"/>
    <w:rsid w:val="00B63A4C"/>
    <w:rsid w:val="00B6501D"/>
    <w:rsid w:val="00B67B8E"/>
    <w:rsid w:val="00B70A1F"/>
    <w:rsid w:val="00B75024"/>
    <w:rsid w:val="00B85A28"/>
    <w:rsid w:val="00B87D9A"/>
    <w:rsid w:val="00B96CC4"/>
    <w:rsid w:val="00BA2793"/>
    <w:rsid w:val="00BA35C5"/>
    <w:rsid w:val="00BA40C3"/>
    <w:rsid w:val="00BB33CA"/>
    <w:rsid w:val="00BC1F21"/>
    <w:rsid w:val="00BC6A88"/>
    <w:rsid w:val="00BC7A78"/>
    <w:rsid w:val="00BD53BE"/>
    <w:rsid w:val="00BD6520"/>
    <w:rsid w:val="00BF0288"/>
    <w:rsid w:val="00BF1024"/>
    <w:rsid w:val="00BF2BC2"/>
    <w:rsid w:val="00BF3094"/>
    <w:rsid w:val="00BF329D"/>
    <w:rsid w:val="00BF4257"/>
    <w:rsid w:val="00BF6F00"/>
    <w:rsid w:val="00BF742E"/>
    <w:rsid w:val="00C10A08"/>
    <w:rsid w:val="00C1423F"/>
    <w:rsid w:val="00C2202F"/>
    <w:rsid w:val="00C22EDC"/>
    <w:rsid w:val="00C2368D"/>
    <w:rsid w:val="00C251A4"/>
    <w:rsid w:val="00C300B8"/>
    <w:rsid w:val="00C37A70"/>
    <w:rsid w:val="00C42256"/>
    <w:rsid w:val="00C44956"/>
    <w:rsid w:val="00C57287"/>
    <w:rsid w:val="00C57711"/>
    <w:rsid w:val="00C60FD4"/>
    <w:rsid w:val="00C61F94"/>
    <w:rsid w:val="00C6273F"/>
    <w:rsid w:val="00C664DD"/>
    <w:rsid w:val="00C74878"/>
    <w:rsid w:val="00C74C8A"/>
    <w:rsid w:val="00C7615F"/>
    <w:rsid w:val="00C77110"/>
    <w:rsid w:val="00C80B0F"/>
    <w:rsid w:val="00C843FB"/>
    <w:rsid w:val="00C866D4"/>
    <w:rsid w:val="00C94F3D"/>
    <w:rsid w:val="00C953D9"/>
    <w:rsid w:val="00C96357"/>
    <w:rsid w:val="00C974D1"/>
    <w:rsid w:val="00C9787E"/>
    <w:rsid w:val="00CB3D70"/>
    <w:rsid w:val="00CB4553"/>
    <w:rsid w:val="00CB586D"/>
    <w:rsid w:val="00CB7357"/>
    <w:rsid w:val="00CB744F"/>
    <w:rsid w:val="00CC4DD8"/>
    <w:rsid w:val="00CD1172"/>
    <w:rsid w:val="00CD27E8"/>
    <w:rsid w:val="00CD51EF"/>
    <w:rsid w:val="00CE3420"/>
    <w:rsid w:val="00CE7DA6"/>
    <w:rsid w:val="00D21613"/>
    <w:rsid w:val="00D221A0"/>
    <w:rsid w:val="00D251B2"/>
    <w:rsid w:val="00D30F6A"/>
    <w:rsid w:val="00D37C4B"/>
    <w:rsid w:val="00D514D6"/>
    <w:rsid w:val="00D51A82"/>
    <w:rsid w:val="00D564A1"/>
    <w:rsid w:val="00D61DC8"/>
    <w:rsid w:val="00D7028B"/>
    <w:rsid w:val="00D829AC"/>
    <w:rsid w:val="00D83F5D"/>
    <w:rsid w:val="00D93E84"/>
    <w:rsid w:val="00DA0A2A"/>
    <w:rsid w:val="00DA1C16"/>
    <w:rsid w:val="00DA3182"/>
    <w:rsid w:val="00DA448D"/>
    <w:rsid w:val="00DC395A"/>
    <w:rsid w:val="00DC4167"/>
    <w:rsid w:val="00DC7C81"/>
    <w:rsid w:val="00DD1F05"/>
    <w:rsid w:val="00DD7FCE"/>
    <w:rsid w:val="00DE0B6F"/>
    <w:rsid w:val="00DE53EE"/>
    <w:rsid w:val="00DE6AED"/>
    <w:rsid w:val="00E0005F"/>
    <w:rsid w:val="00E0126A"/>
    <w:rsid w:val="00E073D0"/>
    <w:rsid w:val="00E12824"/>
    <w:rsid w:val="00E15E92"/>
    <w:rsid w:val="00E162CF"/>
    <w:rsid w:val="00E20E55"/>
    <w:rsid w:val="00E23094"/>
    <w:rsid w:val="00E2625A"/>
    <w:rsid w:val="00E32EB5"/>
    <w:rsid w:val="00E345E4"/>
    <w:rsid w:val="00E34838"/>
    <w:rsid w:val="00E424F5"/>
    <w:rsid w:val="00E468DF"/>
    <w:rsid w:val="00E50A87"/>
    <w:rsid w:val="00E514DC"/>
    <w:rsid w:val="00E52293"/>
    <w:rsid w:val="00E538DD"/>
    <w:rsid w:val="00E6573A"/>
    <w:rsid w:val="00E71A94"/>
    <w:rsid w:val="00E80860"/>
    <w:rsid w:val="00E81D47"/>
    <w:rsid w:val="00E8273B"/>
    <w:rsid w:val="00E85A87"/>
    <w:rsid w:val="00E90226"/>
    <w:rsid w:val="00E91A00"/>
    <w:rsid w:val="00E923C4"/>
    <w:rsid w:val="00E95A19"/>
    <w:rsid w:val="00E95FE8"/>
    <w:rsid w:val="00EB1979"/>
    <w:rsid w:val="00EB4832"/>
    <w:rsid w:val="00EB5259"/>
    <w:rsid w:val="00EB62FD"/>
    <w:rsid w:val="00EC386C"/>
    <w:rsid w:val="00ED3A56"/>
    <w:rsid w:val="00EE4A6A"/>
    <w:rsid w:val="00EE609F"/>
    <w:rsid w:val="00F00131"/>
    <w:rsid w:val="00F00BED"/>
    <w:rsid w:val="00F039C2"/>
    <w:rsid w:val="00F03F75"/>
    <w:rsid w:val="00F05943"/>
    <w:rsid w:val="00F06CD0"/>
    <w:rsid w:val="00F14011"/>
    <w:rsid w:val="00F247D2"/>
    <w:rsid w:val="00F250CC"/>
    <w:rsid w:val="00F279E7"/>
    <w:rsid w:val="00F3548B"/>
    <w:rsid w:val="00F3733C"/>
    <w:rsid w:val="00F45EE3"/>
    <w:rsid w:val="00F654E1"/>
    <w:rsid w:val="00F72584"/>
    <w:rsid w:val="00F75090"/>
    <w:rsid w:val="00F83CC1"/>
    <w:rsid w:val="00F905D6"/>
    <w:rsid w:val="00F91E17"/>
    <w:rsid w:val="00FA71D0"/>
    <w:rsid w:val="00FB11F9"/>
    <w:rsid w:val="00FB44E0"/>
    <w:rsid w:val="00FE2AFB"/>
    <w:rsid w:val="00FE4680"/>
    <w:rsid w:val="00FE6EBD"/>
    <w:rsid w:val="00FE733C"/>
    <w:rsid w:val="00FF0248"/>
    <w:rsid w:val="00FF166D"/>
    <w:rsid w:val="00FF34E1"/>
    <w:rsid w:val="00FF75C7"/>
    <w:rsid w:val="00FF75EF"/>
    <w:rsid w:val="01486F26"/>
    <w:rsid w:val="016B1BE9"/>
    <w:rsid w:val="01BD7805"/>
    <w:rsid w:val="03517AFD"/>
    <w:rsid w:val="03792828"/>
    <w:rsid w:val="03BE576D"/>
    <w:rsid w:val="03F24E13"/>
    <w:rsid w:val="040E0DCE"/>
    <w:rsid w:val="0459572E"/>
    <w:rsid w:val="04B81D6C"/>
    <w:rsid w:val="04D27AB3"/>
    <w:rsid w:val="04DB57EE"/>
    <w:rsid w:val="04E87C29"/>
    <w:rsid w:val="04E9334D"/>
    <w:rsid w:val="05762682"/>
    <w:rsid w:val="057A4030"/>
    <w:rsid w:val="06513C12"/>
    <w:rsid w:val="06C453DB"/>
    <w:rsid w:val="06D531F2"/>
    <w:rsid w:val="06D83C1C"/>
    <w:rsid w:val="06F23CF7"/>
    <w:rsid w:val="074D2EBE"/>
    <w:rsid w:val="0764209E"/>
    <w:rsid w:val="076D157B"/>
    <w:rsid w:val="07792D5D"/>
    <w:rsid w:val="077C72D8"/>
    <w:rsid w:val="08907E2C"/>
    <w:rsid w:val="08B11B50"/>
    <w:rsid w:val="08B71677"/>
    <w:rsid w:val="090515DA"/>
    <w:rsid w:val="09D74E7C"/>
    <w:rsid w:val="09EC6054"/>
    <w:rsid w:val="0A6846DC"/>
    <w:rsid w:val="0B2969A4"/>
    <w:rsid w:val="0B561A91"/>
    <w:rsid w:val="0C3305B1"/>
    <w:rsid w:val="0C380678"/>
    <w:rsid w:val="0CEE1C17"/>
    <w:rsid w:val="0D520E2B"/>
    <w:rsid w:val="0D52631D"/>
    <w:rsid w:val="0DA638C4"/>
    <w:rsid w:val="0DBD709A"/>
    <w:rsid w:val="0DDD27E8"/>
    <w:rsid w:val="0E234ADA"/>
    <w:rsid w:val="0E281E78"/>
    <w:rsid w:val="0E3B40E5"/>
    <w:rsid w:val="0E8E76C6"/>
    <w:rsid w:val="0EA8251A"/>
    <w:rsid w:val="0EFE2F29"/>
    <w:rsid w:val="0F376802"/>
    <w:rsid w:val="0F723DF2"/>
    <w:rsid w:val="0F835409"/>
    <w:rsid w:val="0F9A5D6C"/>
    <w:rsid w:val="0FBE0F3A"/>
    <w:rsid w:val="0FCD6A7A"/>
    <w:rsid w:val="0FFA72CB"/>
    <w:rsid w:val="10164BC9"/>
    <w:rsid w:val="10AF7A57"/>
    <w:rsid w:val="10BC407B"/>
    <w:rsid w:val="10F90765"/>
    <w:rsid w:val="11146062"/>
    <w:rsid w:val="118B7CD4"/>
    <w:rsid w:val="11A669F6"/>
    <w:rsid w:val="11D3174D"/>
    <w:rsid w:val="1217313B"/>
    <w:rsid w:val="127824AC"/>
    <w:rsid w:val="12A83E03"/>
    <w:rsid w:val="12E64CA0"/>
    <w:rsid w:val="132F16E4"/>
    <w:rsid w:val="13DF64D2"/>
    <w:rsid w:val="14206D94"/>
    <w:rsid w:val="149A0C5C"/>
    <w:rsid w:val="14A94E42"/>
    <w:rsid w:val="14B87E06"/>
    <w:rsid w:val="14CB6184"/>
    <w:rsid w:val="14E92B28"/>
    <w:rsid w:val="14F65EE2"/>
    <w:rsid w:val="15314318"/>
    <w:rsid w:val="155D5052"/>
    <w:rsid w:val="155E1C9F"/>
    <w:rsid w:val="15786FC5"/>
    <w:rsid w:val="15C84263"/>
    <w:rsid w:val="16064589"/>
    <w:rsid w:val="163A687E"/>
    <w:rsid w:val="16713D51"/>
    <w:rsid w:val="16752F7D"/>
    <w:rsid w:val="16E121FC"/>
    <w:rsid w:val="16FA74C1"/>
    <w:rsid w:val="180F2DD5"/>
    <w:rsid w:val="1844446B"/>
    <w:rsid w:val="1852584C"/>
    <w:rsid w:val="18547572"/>
    <w:rsid w:val="1869511A"/>
    <w:rsid w:val="18BC11C4"/>
    <w:rsid w:val="19CA048B"/>
    <w:rsid w:val="19CD0264"/>
    <w:rsid w:val="19F5383D"/>
    <w:rsid w:val="1A1B6D1D"/>
    <w:rsid w:val="1A2F45ED"/>
    <w:rsid w:val="1A606BF3"/>
    <w:rsid w:val="1A862D90"/>
    <w:rsid w:val="1B300F6C"/>
    <w:rsid w:val="1B4F12C0"/>
    <w:rsid w:val="1B7B5105"/>
    <w:rsid w:val="1B967850"/>
    <w:rsid w:val="1BAA7EFE"/>
    <w:rsid w:val="1BDE34C7"/>
    <w:rsid w:val="1C4763D0"/>
    <w:rsid w:val="1CFD5095"/>
    <w:rsid w:val="1D1D05D0"/>
    <w:rsid w:val="1DAF59AD"/>
    <w:rsid w:val="1E171F67"/>
    <w:rsid w:val="1E2B09AC"/>
    <w:rsid w:val="1E5E47E0"/>
    <w:rsid w:val="1E726D03"/>
    <w:rsid w:val="1E9E793A"/>
    <w:rsid w:val="1EA75ED9"/>
    <w:rsid w:val="1EA93299"/>
    <w:rsid w:val="1ECF255D"/>
    <w:rsid w:val="1EF501D6"/>
    <w:rsid w:val="1F423B59"/>
    <w:rsid w:val="1F6D3FD0"/>
    <w:rsid w:val="1F8E148B"/>
    <w:rsid w:val="1FA2286B"/>
    <w:rsid w:val="1FBD03EE"/>
    <w:rsid w:val="1FD8624A"/>
    <w:rsid w:val="20646250"/>
    <w:rsid w:val="209D3E8A"/>
    <w:rsid w:val="215D18CA"/>
    <w:rsid w:val="21AF2EA8"/>
    <w:rsid w:val="21B37EAA"/>
    <w:rsid w:val="22B504E7"/>
    <w:rsid w:val="230B6D7B"/>
    <w:rsid w:val="234F09A3"/>
    <w:rsid w:val="239E30FD"/>
    <w:rsid w:val="23A61754"/>
    <w:rsid w:val="23D96864"/>
    <w:rsid w:val="24012F5B"/>
    <w:rsid w:val="2417482D"/>
    <w:rsid w:val="243968CB"/>
    <w:rsid w:val="2483093E"/>
    <w:rsid w:val="250B582A"/>
    <w:rsid w:val="25407062"/>
    <w:rsid w:val="256F72EE"/>
    <w:rsid w:val="25BD5676"/>
    <w:rsid w:val="25E34B04"/>
    <w:rsid w:val="268B217A"/>
    <w:rsid w:val="26D63BC5"/>
    <w:rsid w:val="26DA5E4E"/>
    <w:rsid w:val="26FB2934"/>
    <w:rsid w:val="279D398E"/>
    <w:rsid w:val="27A6763C"/>
    <w:rsid w:val="27AF712B"/>
    <w:rsid w:val="27C17045"/>
    <w:rsid w:val="27ED1B32"/>
    <w:rsid w:val="287D44E9"/>
    <w:rsid w:val="28E07A13"/>
    <w:rsid w:val="2976210D"/>
    <w:rsid w:val="29AF164A"/>
    <w:rsid w:val="2A1364A4"/>
    <w:rsid w:val="2A150B64"/>
    <w:rsid w:val="2A272910"/>
    <w:rsid w:val="2A3C16E7"/>
    <w:rsid w:val="2A5C5ABE"/>
    <w:rsid w:val="2A844CD1"/>
    <w:rsid w:val="2A9B544E"/>
    <w:rsid w:val="2AEF4CAE"/>
    <w:rsid w:val="2B806CD4"/>
    <w:rsid w:val="2BB77158"/>
    <w:rsid w:val="2BC27B9A"/>
    <w:rsid w:val="2C82342A"/>
    <w:rsid w:val="2CB35BE4"/>
    <w:rsid w:val="2CC108FE"/>
    <w:rsid w:val="2D8F4537"/>
    <w:rsid w:val="2D97199D"/>
    <w:rsid w:val="2EA0798E"/>
    <w:rsid w:val="2EAA4650"/>
    <w:rsid w:val="2EF9389F"/>
    <w:rsid w:val="2EFC30B5"/>
    <w:rsid w:val="2F18478E"/>
    <w:rsid w:val="2F3F4014"/>
    <w:rsid w:val="2F54744C"/>
    <w:rsid w:val="2FAF7316"/>
    <w:rsid w:val="2FE3744B"/>
    <w:rsid w:val="2FE46587"/>
    <w:rsid w:val="301D04AA"/>
    <w:rsid w:val="3061779D"/>
    <w:rsid w:val="30C43E10"/>
    <w:rsid w:val="30CD1B59"/>
    <w:rsid w:val="30FB72ED"/>
    <w:rsid w:val="31216728"/>
    <w:rsid w:val="313408FA"/>
    <w:rsid w:val="316F5DC0"/>
    <w:rsid w:val="31CB333D"/>
    <w:rsid w:val="31EA512D"/>
    <w:rsid w:val="31F262CE"/>
    <w:rsid w:val="31FC720D"/>
    <w:rsid w:val="32366270"/>
    <w:rsid w:val="3256436B"/>
    <w:rsid w:val="32C37383"/>
    <w:rsid w:val="32F440A4"/>
    <w:rsid w:val="33707BCD"/>
    <w:rsid w:val="34515C51"/>
    <w:rsid w:val="3457409D"/>
    <w:rsid w:val="34585631"/>
    <w:rsid w:val="348338B6"/>
    <w:rsid w:val="34D24B88"/>
    <w:rsid w:val="35304CE5"/>
    <w:rsid w:val="35350E44"/>
    <w:rsid w:val="356D67F6"/>
    <w:rsid w:val="35DC5FD6"/>
    <w:rsid w:val="364B73D6"/>
    <w:rsid w:val="367B056B"/>
    <w:rsid w:val="36E20E17"/>
    <w:rsid w:val="3760713E"/>
    <w:rsid w:val="37C506A2"/>
    <w:rsid w:val="388C3A31"/>
    <w:rsid w:val="38911814"/>
    <w:rsid w:val="39BC62B2"/>
    <w:rsid w:val="39F92A8F"/>
    <w:rsid w:val="3A2C5C22"/>
    <w:rsid w:val="3A321714"/>
    <w:rsid w:val="3A622FD7"/>
    <w:rsid w:val="3B60479E"/>
    <w:rsid w:val="3B6D478E"/>
    <w:rsid w:val="3B96271A"/>
    <w:rsid w:val="3BC163A5"/>
    <w:rsid w:val="3BC91BB9"/>
    <w:rsid w:val="3C9A2FBB"/>
    <w:rsid w:val="3C9B5249"/>
    <w:rsid w:val="3DB82D1C"/>
    <w:rsid w:val="3DE35914"/>
    <w:rsid w:val="3E7C6B3F"/>
    <w:rsid w:val="3ED65A24"/>
    <w:rsid w:val="3EED6225"/>
    <w:rsid w:val="3EF7149A"/>
    <w:rsid w:val="3F2C6E3C"/>
    <w:rsid w:val="3F8832C9"/>
    <w:rsid w:val="40884021"/>
    <w:rsid w:val="40E06C2D"/>
    <w:rsid w:val="40F47828"/>
    <w:rsid w:val="4106759F"/>
    <w:rsid w:val="411C0DB7"/>
    <w:rsid w:val="412F4629"/>
    <w:rsid w:val="42045EAD"/>
    <w:rsid w:val="42703755"/>
    <w:rsid w:val="42A649BD"/>
    <w:rsid w:val="42F63EC1"/>
    <w:rsid w:val="43341DBD"/>
    <w:rsid w:val="43AC75E1"/>
    <w:rsid w:val="43C45BBD"/>
    <w:rsid w:val="43D46EDF"/>
    <w:rsid w:val="43EA577A"/>
    <w:rsid w:val="4462343E"/>
    <w:rsid w:val="44FD333B"/>
    <w:rsid w:val="461C0723"/>
    <w:rsid w:val="46500769"/>
    <w:rsid w:val="468C7558"/>
    <w:rsid w:val="469C5229"/>
    <w:rsid w:val="46B7752B"/>
    <w:rsid w:val="46E946F4"/>
    <w:rsid w:val="46F102C2"/>
    <w:rsid w:val="4750610E"/>
    <w:rsid w:val="47585719"/>
    <w:rsid w:val="47781235"/>
    <w:rsid w:val="48197F7E"/>
    <w:rsid w:val="48297FEF"/>
    <w:rsid w:val="486B2000"/>
    <w:rsid w:val="48C90054"/>
    <w:rsid w:val="4922651A"/>
    <w:rsid w:val="49620FF1"/>
    <w:rsid w:val="4970645C"/>
    <w:rsid w:val="49B86DBC"/>
    <w:rsid w:val="49DB4721"/>
    <w:rsid w:val="49FC71EB"/>
    <w:rsid w:val="4A767D68"/>
    <w:rsid w:val="4A9B1B42"/>
    <w:rsid w:val="4AB47131"/>
    <w:rsid w:val="4B1060AE"/>
    <w:rsid w:val="4B220FD2"/>
    <w:rsid w:val="4B4A0E91"/>
    <w:rsid w:val="4BDF1396"/>
    <w:rsid w:val="4CCD7F99"/>
    <w:rsid w:val="4D784993"/>
    <w:rsid w:val="4DC537A4"/>
    <w:rsid w:val="4DC67AE9"/>
    <w:rsid w:val="4E4F3708"/>
    <w:rsid w:val="4E560179"/>
    <w:rsid w:val="4E696012"/>
    <w:rsid w:val="4E7C48E9"/>
    <w:rsid w:val="4EBA0BB9"/>
    <w:rsid w:val="4F045279"/>
    <w:rsid w:val="4F703A45"/>
    <w:rsid w:val="4FDD194C"/>
    <w:rsid w:val="50051AD4"/>
    <w:rsid w:val="501A64A6"/>
    <w:rsid w:val="503663ED"/>
    <w:rsid w:val="507D0499"/>
    <w:rsid w:val="5086507D"/>
    <w:rsid w:val="50B17BD8"/>
    <w:rsid w:val="50C575CE"/>
    <w:rsid w:val="51164CFE"/>
    <w:rsid w:val="516E6567"/>
    <w:rsid w:val="51B95CA3"/>
    <w:rsid w:val="51BD14A4"/>
    <w:rsid w:val="51F725FD"/>
    <w:rsid w:val="52241F91"/>
    <w:rsid w:val="52443AC9"/>
    <w:rsid w:val="52D4745E"/>
    <w:rsid w:val="531B053B"/>
    <w:rsid w:val="533B65FF"/>
    <w:rsid w:val="533F1FC8"/>
    <w:rsid w:val="53776EFD"/>
    <w:rsid w:val="53DF3944"/>
    <w:rsid w:val="547C67AB"/>
    <w:rsid w:val="54DD2950"/>
    <w:rsid w:val="54DF1D88"/>
    <w:rsid w:val="54E464D8"/>
    <w:rsid w:val="54FF2D77"/>
    <w:rsid w:val="55472994"/>
    <w:rsid w:val="55545065"/>
    <w:rsid w:val="55575AD8"/>
    <w:rsid w:val="55964CF9"/>
    <w:rsid w:val="559705B3"/>
    <w:rsid w:val="55AD2FF1"/>
    <w:rsid w:val="55BE6DB7"/>
    <w:rsid w:val="55C57DC6"/>
    <w:rsid w:val="55CB18ED"/>
    <w:rsid w:val="56180CDC"/>
    <w:rsid w:val="562A2986"/>
    <w:rsid w:val="56360535"/>
    <w:rsid w:val="568F4F11"/>
    <w:rsid w:val="569C67A5"/>
    <w:rsid w:val="56AD24B8"/>
    <w:rsid w:val="56C9113A"/>
    <w:rsid w:val="56F03CB1"/>
    <w:rsid w:val="57370BA2"/>
    <w:rsid w:val="575335D8"/>
    <w:rsid w:val="578A0489"/>
    <w:rsid w:val="57AD23C0"/>
    <w:rsid w:val="57B74973"/>
    <w:rsid w:val="57CF589D"/>
    <w:rsid w:val="57D95649"/>
    <w:rsid w:val="57F12C32"/>
    <w:rsid w:val="582162A3"/>
    <w:rsid w:val="586B3E58"/>
    <w:rsid w:val="58787C44"/>
    <w:rsid w:val="587D549A"/>
    <w:rsid w:val="59227449"/>
    <w:rsid w:val="59430F14"/>
    <w:rsid w:val="59A2586F"/>
    <w:rsid w:val="59E31A85"/>
    <w:rsid w:val="5A986178"/>
    <w:rsid w:val="5AE90FB3"/>
    <w:rsid w:val="5B3E1B63"/>
    <w:rsid w:val="5B4E4959"/>
    <w:rsid w:val="5B794F58"/>
    <w:rsid w:val="5BBF4699"/>
    <w:rsid w:val="5BD461DF"/>
    <w:rsid w:val="5BEA53BB"/>
    <w:rsid w:val="5C032D84"/>
    <w:rsid w:val="5CDC1CED"/>
    <w:rsid w:val="5CF63215"/>
    <w:rsid w:val="5D1C5A4F"/>
    <w:rsid w:val="5D220B39"/>
    <w:rsid w:val="5D4D1097"/>
    <w:rsid w:val="5D76048E"/>
    <w:rsid w:val="5DE0502D"/>
    <w:rsid w:val="5DEC4018"/>
    <w:rsid w:val="5E333019"/>
    <w:rsid w:val="5E362F1A"/>
    <w:rsid w:val="5E6A0F75"/>
    <w:rsid w:val="5E833980"/>
    <w:rsid w:val="5E83409D"/>
    <w:rsid w:val="5EF61E7F"/>
    <w:rsid w:val="5F1A7A93"/>
    <w:rsid w:val="5F830B05"/>
    <w:rsid w:val="602C56DD"/>
    <w:rsid w:val="604D6B8C"/>
    <w:rsid w:val="605E2F06"/>
    <w:rsid w:val="6071063C"/>
    <w:rsid w:val="609564F0"/>
    <w:rsid w:val="60CE2BA1"/>
    <w:rsid w:val="6169605F"/>
    <w:rsid w:val="61C60977"/>
    <w:rsid w:val="61D54CBD"/>
    <w:rsid w:val="620E45EE"/>
    <w:rsid w:val="62813B67"/>
    <w:rsid w:val="628C2AF9"/>
    <w:rsid w:val="62E10FFE"/>
    <w:rsid w:val="62EF64B1"/>
    <w:rsid w:val="634642EB"/>
    <w:rsid w:val="63612E4E"/>
    <w:rsid w:val="636813A7"/>
    <w:rsid w:val="63DE27AE"/>
    <w:rsid w:val="63FC37E9"/>
    <w:rsid w:val="643B539B"/>
    <w:rsid w:val="64C971CE"/>
    <w:rsid w:val="64EF47EC"/>
    <w:rsid w:val="65312B91"/>
    <w:rsid w:val="654A7124"/>
    <w:rsid w:val="65872C52"/>
    <w:rsid w:val="65DF6E96"/>
    <w:rsid w:val="65FD4057"/>
    <w:rsid w:val="66146A07"/>
    <w:rsid w:val="666170AF"/>
    <w:rsid w:val="66C10C98"/>
    <w:rsid w:val="66FD6985"/>
    <w:rsid w:val="675E5725"/>
    <w:rsid w:val="6775314C"/>
    <w:rsid w:val="67D619EE"/>
    <w:rsid w:val="67ED169D"/>
    <w:rsid w:val="67F035DA"/>
    <w:rsid w:val="6927054E"/>
    <w:rsid w:val="6954235C"/>
    <w:rsid w:val="69902FB2"/>
    <w:rsid w:val="69DC5752"/>
    <w:rsid w:val="6ACA793F"/>
    <w:rsid w:val="6AF70B4B"/>
    <w:rsid w:val="6B3F0684"/>
    <w:rsid w:val="6B7071D4"/>
    <w:rsid w:val="6BCE77FC"/>
    <w:rsid w:val="6BFE3A48"/>
    <w:rsid w:val="6C041C46"/>
    <w:rsid w:val="6C0437E2"/>
    <w:rsid w:val="6C423720"/>
    <w:rsid w:val="6C9E5A1B"/>
    <w:rsid w:val="6CD12293"/>
    <w:rsid w:val="6CDD3B27"/>
    <w:rsid w:val="6CDF5E82"/>
    <w:rsid w:val="6D5971A4"/>
    <w:rsid w:val="6DA1665E"/>
    <w:rsid w:val="6DF5526E"/>
    <w:rsid w:val="6DFD7C93"/>
    <w:rsid w:val="6E062690"/>
    <w:rsid w:val="6E7064CD"/>
    <w:rsid w:val="6EF1108D"/>
    <w:rsid w:val="6FD6290B"/>
    <w:rsid w:val="70992012"/>
    <w:rsid w:val="71286A35"/>
    <w:rsid w:val="71AD64C7"/>
    <w:rsid w:val="71DA7308"/>
    <w:rsid w:val="72273572"/>
    <w:rsid w:val="730714A6"/>
    <w:rsid w:val="73274FE7"/>
    <w:rsid w:val="73275933"/>
    <w:rsid w:val="73345098"/>
    <w:rsid w:val="733B14D4"/>
    <w:rsid w:val="7347769A"/>
    <w:rsid w:val="7351733F"/>
    <w:rsid w:val="73727874"/>
    <w:rsid w:val="73A666B6"/>
    <w:rsid w:val="73EA17FE"/>
    <w:rsid w:val="7413666D"/>
    <w:rsid w:val="743E5E83"/>
    <w:rsid w:val="745B11B6"/>
    <w:rsid w:val="74DF4CF9"/>
    <w:rsid w:val="755D48D9"/>
    <w:rsid w:val="75826884"/>
    <w:rsid w:val="758E216C"/>
    <w:rsid w:val="759E4985"/>
    <w:rsid w:val="759F2407"/>
    <w:rsid w:val="75D25B06"/>
    <w:rsid w:val="7652792C"/>
    <w:rsid w:val="76703298"/>
    <w:rsid w:val="76900071"/>
    <w:rsid w:val="76A70FB1"/>
    <w:rsid w:val="76B3225C"/>
    <w:rsid w:val="76DA690B"/>
    <w:rsid w:val="774849C1"/>
    <w:rsid w:val="78237BA7"/>
    <w:rsid w:val="782C23C9"/>
    <w:rsid w:val="784861E8"/>
    <w:rsid w:val="784E081A"/>
    <w:rsid w:val="78E81581"/>
    <w:rsid w:val="791B6AC1"/>
    <w:rsid w:val="79A05E1A"/>
    <w:rsid w:val="7A390A00"/>
    <w:rsid w:val="7A9244A9"/>
    <w:rsid w:val="7ACE4BAC"/>
    <w:rsid w:val="7AFF1EDF"/>
    <w:rsid w:val="7BAE229B"/>
    <w:rsid w:val="7C00185F"/>
    <w:rsid w:val="7C0A0823"/>
    <w:rsid w:val="7C0F66D8"/>
    <w:rsid w:val="7C5B3A94"/>
    <w:rsid w:val="7C5D6F97"/>
    <w:rsid w:val="7D0F3586"/>
    <w:rsid w:val="7D1775B7"/>
    <w:rsid w:val="7D543CAC"/>
    <w:rsid w:val="7D9E6320"/>
    <w:rsid w:val="7DBB5DC3"/>
    <w:rsid w:val="7DE737F1"/>
    <w:rsid w:val="7E162D9E"/>
    <w:rsid w:val="7E2535F5"/>
    <w:rsid w:val="7E9E07CB"/>
    <w:rsid w:val="7FD66CA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semiHidden="0"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0" w:semiHidden="0" w:name="toc 1" w:locked="1"/>
    <w:lsdException w:uiPriority="39" w:name="toc 2" w:locked="1"/>
    <w:lsdException w:qFormat="1" w:unhideWhenUsed="0" w:uiPriority="0" w:semiHidden="0"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qFormat="1" w:unhideWhenUsed="0" w:uiPriority="0" w:semiHidden="0"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qFormat="1" w:unhideWhenUsed="0" w:uiPriority="99" w:name="annotation reference"/>
    <w:lsdException w:uiPriority="0" w:name="line number" w:locked="1"/>
    <w:lsdException w:qFormat="1"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qFormat="1" w:uiPriority="1" w:name="Default Paragraph Font"/>
    <w:lsdException w:qFormat="1" w:unhideWhenUsed="0" w:uiPriority="0" w:semiHidden="0" w:name="Body Text" w:locked="1"/>
    <w:lsdException w:qFormat="1" w:unhideWhenUsed="0" w:uiPriority="0" w:semiHidden="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qFormat="1" w:unhideWhenUsed="0" w:uiPriority="0" w:semiHidden="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qFormat="1" w:uiPriority="99" w:semiHidden="0" w:name="HTML Preformatted" w:locked="1"/>
    <w:lsdException w:uiPriority="0" w:name="HTML Sample" w:locked="1"/>
    <w:lsdException w:uiPriority="0" w:name="HTML Typewriter" w:locked="1"/>
    <w:lsdException w:uiPriority="0" w:name="HTML Variable" w:locked="1"/>
    <w:lsdException w:qFormat="1" w:uiPriority="99" w:name="Normal Table"/>
    <w:lsdException w:qFormat="1" w:unhideWhenUsed="0"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name="Balloon Text"/>
    <w:lsdException w:unhideWhenUsed="0" w:uiPriority="5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szCs w:val="28"/>
      <w:lang w:val="en-US" w:eastAsia="zh-CN" w:bidi="ar-SA"/>
    </w:rPr>
  </w:style>
  <w:style w:type="paragraph" w:styleId="4">
    <w:name w:val="heading 2"/>
    <w:basedOn w:val="1"/>
    <w:next w:val="1"/>
    <w:semiHidden/>
    <w:unhideWhenUsed/>
    <w:qFormat/>
    <w:locked/>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unhideWhenUsed/>
    <w:qFormat/>
    <w:locked/>
    <w:uiPriority w:val="9"/>
    <w:pPr>
      <w:keepNext/>
      <w:keepLines/>
      <w:spacing w:line="413" w:lineRule="auto"/>
      <w:outlineLvl w:val="2"/>
    </w:pPr>
    <w:rPr>
      <w:b/>
      <w:sz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locked/>
    <w:uiPriority w:val="0"/>
    <w:pPr>
      <w:spacing w:after="120"/>
    </w:pPr>
    <w:rPr>
      <w:rFonts w:ascii="Calibri" w:hAnsi="Calibri"/>
    </w:rPr>
  </w:style>
  <w:style w:type="paragraph" w:customStyle="1" w:styleId="3">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6">
    <w:name w:val="annotation text"/>
    <w:basedOn w:val="1"/>
    <w:link w:val="35"/>
    <w:semiHidden/>
    <w:qFormat/>
    <w:uiPriority w:val="99"/>
    <w:pPr>
      <w:jc w:val="left"/>
    </w:pPr>
  </w:style>
  <w:style w:type="paragraph" w:styleId="7">
    <w:name w:val="Body Text Indent"/>
    <w:basedOn w:val="1"/>
    <w:qFormat/>
    <w:locked/>
    <w:uiPriority w:val="0"/>
    <w:pPr>
      <w:ind w:firstLine="626" w:firstLineChars="200"/>
    </w:pPr>
    <w:rPr>
      <w:rFonts w:eastAsia="楷体_GB2312"/>
      <w:b/>
      <w:bCs/>
      <w:sz w:val="30"/>
      <w:szCs w:val="24"/>
    </w:rPr>
  </w:style>
  <w:style w:type="paragraph" w:styleId="8">
    <w:name w:val="toc 3"/>
    <w:basedOn w:val="1"/>
    <w:next w:val="1"/>
    <w:qFormat/>
    <w:locked/>
    <w:uiPriority w:val="0"/>
    <w:pPr>
      <w:ind w:left="840" w:leftChars="400"/>
    </w:pPr>
  </w:style>
  <w:style w:type="paragraph" w:styleId="9">
    <w:name w:val="Balloon Text"/>
    <w:basedOn w:val="1"/>
    <w:link w:val="31"/>
    <w:semiHidden/>
    <w:qFormat/>
    <w:uiPriority w:val="99"/>
    <w:rPr>
      <w:sz w:val="18"/>
      <w:szCs w:val="18"/>
    </w:rPr>
  </w:style>
  <w:style w:type="paragraph" w:styleId="10">
    <w:name w:val="footer"/>
    <w:basedOn w:val="1"/>
    <w:link w:val="32"/>
    <w:qFormat/>
    <w:uiPriority w:val="99"/>
    <w:pPr>
      <w:tabs>
        <w:tab w:val="center" w:pos="4153"/>
        <w:tab w:val="right" w:pos="8306"/>
      </w:tabs>
      <w:snapToGrid w:val="0"/>
      <w:jc w:val="left"/>
    </w:pPr>
    <w:rPr>
      <w:sz w:val="18"/>
      <w:szCs w:val="18"/>
    </w:rPr>
  </w:style>
  <w:style w:type="paragraph" w:styleId="11">
    <w:name w:val="header"/>
    <w:basedOn w:val="1"/>
    <w:link w:val="33"/>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locked/>
    <w:uiPriority w:val="0"/>
    <w:pPr>
      <w:spacing w:line="288" w:lineRule="auto"/>
      <w:jc w:val="left"/>
    </w:pPr>
    <w:rPr>
      <w:rFonts w:ascii="宋体" w:hAnsi="Calibri"/>
      <w:color w:val="000000"/>
      <w:szCs w:val="21"/>
    </w:rPr>
  </w:style>
  <w:style w:type="paragraph" w:styleId="13">
    <w:name w:val="footnote text"/>
    <w:basedOn w:val="1"/>
    <w:next w:val="2"/>
    <w:qFormat/>
    <w:locked/>
    <w:uiPriority w:val="0"/>
    <w:pPr>
      <w:snapToGrid w:val="0"/>
      <w:jc w:val="left"/>
    </w:pPr>
    <w:rPr>
      <w:sz w:val="18"/>
      <w:szCs w:val="18"/>
    </w:rPr>
  </w:style>
  <w:style w:type="paragraph" w:styleId="14">
    <w:name w:val="HTML Preformatted"/>
    <w:basedOn w:val="1"/>
    <w:link w:val="37"/>
    <w:unhideWhenUsed/>
    <w:qFormat/>
    <w:lock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5">
    <w:name w:val="annotation subject"/>
    <w:basedOn w:val="6"/>
    <w:next w:val="6"/>
    <w:link w:val="36"/>
    <w:semiHidden/>
    <w:qFormat/>
    <w:uiPriority w:val="99"/>
    <w:rPr>
      <w:b/>
      <w:bCs/>
    </w:rPr>
  </w:style>
  <w:style w:type="paragraph" w:styleId="16">
    <w:name w:val="Body Text First Indent 2"/>
    <w:basedOn w:val="7"/>
    <w:next w:val="2"/>
    <w:qFormat/>
    <w:locked/>
    <w:uiPriority w:val="0"/>
    <w:pPr>
      <w:ind w:firstLine="420"/>
    </w:pPr>
  </w:style>
  <w:style w:type="character" w:styleId="19">
    <w:name w:val="Strong"/>
    <w:basedOn w:val="18"/>
    <w:qFormat/>
    <w:locked/>
    <w:uiPriority w:val="22"/>
    <w:rPr>
      <w:b/>
    </w:rPr>
  </w:style>
  <w:style w:type="character" w:styleId="20">
    <w:name w:val="page number"/>
    <w:basedOn w:val="18"/>
    <w:qFormat/>
    <w:uiPriority w:val="99"/>
  </w:style>
  <w:style w:type="character" w:styleId="21">
    <w:name w:val="annotation reference"/>
    <w:semiHidden/>
    <w:qFormat/>
    <w:uiPriority w:val="99"/>
    <w:rPr>
      <w:sz w:val="21"/>
      <w:szCs w:val="21"/>
    </w:rPr>
  </w:style>
  <w:style w:type="paragraph" w:customStyle="1" w:styleId="22">
    <w:name w:val="目录 11"/>
    <w:basedOn w:val="1"/>
    <w:next w:val="1"/>
    <w:qFormat/>
    <w:uiPriority w:val="0"/>
    <w:pPr>
      <w:widowControl/>
      <w:wordWrap w:val="0"/>
    </w:pPr>
    <w:rPr>
      <w:kern w:val="0"/>
      <w:szCs w:val="21"/>
    </w:rPr>
  </w:style>
  <w:style w:type="paragraph" w:customStyle="1" w:styleId="23">
    <w:name w:val="Char Char Char Char Char"/>
    <w:basedOn w:val="1"/>
    <w:qFormat/>
    <w:uiPriority w:val="99"/>
    <w:pPr>
      <w:tabs>
        <w:tab w:val="left" w:pos="360"/>
      </w:tabs>
    </w:pPr>
    <w:rPr>
      <w:sz w:val="21"/>
      <w:szCs w:val="21"/>
    </w:rPr>
  </w:style>
  <w:style w:type="paragraph" w:customStyle="1" w:styleId="24">
    <w:name w:val="reader-word-layer reader-word-s2-3"/>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5">
    <w:name w:val="reader-word-layer reader-word-s4-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6">
    <w:name w:val="reader-word-layer reader-word-s5-0 reader-word-s5-4"/>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7">
    <w:name w:val="Char Char Char Char"/>
    <w:basedOn w:val="1"/>
    <w:qFormat/>
    <w:uiPriority w:val="99"/>
    <w:rPr>
      <w:sz w:val="21"/>
      <w:szCs w:val="21"/>
    </w:rPr>
  </w:style>
  <w:style w:type="paragraph" w:customStyle="1" w:styleId="28">
    <w:name w:val="List Paragraph1"/>
    <w:basedOn w:val="1"/>
    <w:qFormat/>
    <w:uiPriority w:val="99"/>
    <w:pPr>
      <w:ind w:firstLine="420" w:firstLineChars="200"/>
    </w:pPr>
  </w:style>
  <w:style w:type="paragraph" w:customStyle="1" w:styleId="29">
    <w:name w:val="普通(网站)1"/>
    <w:qFormat/>
    <w:uiPriority w:val="99"/>
    <w:pPr>
      <w:spacing w:before="100" w:beforeAutospacing="1" w:after="100" w:afterAutospacing="1"/>
    </w:pPr>
    <w:rPr>
      <w:rFonts w:ascii="宋体" w:hAnsi="宋体" w:eastAsia="宋体" w:cs="宋体"/>
      <w:sz w:val="24"/>
      <w:szCs w:val="24"/>
      <w:lang w:val="en-US" w:eastAsia="zh-CN" w:bidi="ar-SA"/>
    </w:rPr>
  </w:style>
  <w:style w:type="paragraph" w:customStyle="1" w:styleId="30">
    <w:name w:val="Normal (Web)1"/>
    <w:basedOn w:val="1"/>
    <w:qFormat/>
    <w:uiPriority w:val="99"/>
    <w:pPr>
      <w:spacing w:beforeAutospacing="1" w:afterAutospacing="1"/>
    </w:pPr>
    <w:rPr>
      <w:rFonts w:ascii="宋体" w:hAnsi="宋体" w:cs="宋体"/>
      <w:sz w:val="24"/>
      <w:szCs w:val="24"/>
    </w:rPr>
  </w:style>
  <w:style w:type="character" w:customStyle="1" w:styleId="31">
    <w:name w:val="批注框文本 Char"/>
    <w:link w:val="9"/>
    <w:semiHidden/>
    <w:qFormat/>
    <w:locked/>
    <w:uiPriority w:val="99"/>
    <w:rPr>
      <w:sz w:val="2"/>
      <w:szCs w:val="2"/>
    </w:rPr>
  </w:style>
  <w:style w:type="character" w:customStyle="1" w:styleId="32">
    <w:name w:val="页脚 Char"/>
    <w:link w:val="10"/>
    <w:semiHidden/>
    <w:qFormat/>
    <w:locked/>
    <w:uiPriority w:val="99"/>
    <w:rPr>
      <w:sz w:val="18"/>
      <w:szCs w:val="18"/>
    </w:rPr>
  </w:style>
  <w:style w:type="character" w:customStyle="1" w:styleId="33">
    <w:name w:val="页眉 Char"/>
    <w:link w:val="11"/>
    <w:qFormat/>
    <w:locked/>
    <w:uiPriority w:val="99"/>
    <w:rPr>
      <w:kern w:val="2"/>
      <w:sz w:val="18"/>
      <w:szCs w:val="18"/>
    </w:rPr>
  </w:style>
  <w:style w:type="character" w:customStyle="1" w:styleId="34">
    <w:name w:val="Page Number1"/>
    <w:basedOn w:val="18"/>
    <w:qFormat/>
    <w:uiPriority w:val="99"/>
  </w:style>
  <w:style w:type="character" w:customStyle="1" w:styleId="35">
    <w:name w:val="批注文字 Char"/>
    <w:link w:val="6"/>
    <w:semiHidden/>
    <w:qFormat/>
    <w:locked/>
    <w:uiPriority w:val="99"/>
    <w:rPr>
      <w:sz w:val="28"/>
      <w:szCs w:val="28"/>
    </w:rPr>
  </w:style>
  <w:style w:type="character" w:customStyle="1" w:styleId="36">
    <w:name w:val="批注主题 Char"/>
    <w:link w:val="15"/>
    <w:semiHidden/>
    <w:qFormat/>
    <w:locked/>
    <w:uiPriority w:val="99"/>
    <w:rPr>
      <w:b/>
      <w:bCs/>
      <w:sz w:val="28"/>
      <w:szCs w:val="28"/>
    </w:rPr>
  </w:style>
  <w:style w:type="character" w:customStyle="1" w:styleId="37">
    <w:name w:val="HTML 预设格式 Char"/>
    <w:link w:val="14"/>
    <w:semiHidden/>
    <w:qFormat/>
    <w:uiPriority w:val="99"/>
    <w:rPr>
      <w:rFonts w:ascii="宋体" w:hAnsi="宋体" w:cs="宋体"/>
      <w:sz w:val="24"/>
      <w:szCs w:val="24"/>
    </w:rPr>
  </w:style>
  <w:style w:type="paragraph" w:customStyle="1" w:styleId="38">
    <w:name w:val="p17"/>
    <w:basedOn w:val="1"/>
    <w:qFormat/>
    <w:uiPriority w:val="0"/>
    <w:pPr>
      <w:widowControl/>
      <w:spacing w:after="120"/>
      <w:ind w:left="420"/>
    </w:pPr>
    <w:rPr>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13</Pages>
  <Words>6117</Words>
  <Characters>7084</Characters>
  <Lines>52</Lines>
  <Paragraphs>14</Paragraphs>
  <TotalTime>1</TotalTime>
  <ScaleCrop>false</ScaleCrop>
  <LinksUpToDate>false</LinksUpToDate>
  <CharactersWithSpaces>7096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2016-11-23T02:14:00Z</dcterms:created>
  <dc:creator>Lenovo User</dc:creator>
  <cp:lastModifiedBy>Administrator</cp:lastModifiedBy>
  <cp:lastPrinted>2026-06-25T08:09:00Z</cp:lastPrinted>
  <dcterms:modified xsi:type="dcterms:W3CDTF">2026-08-10T03:32:42Z</dcterms:modified>
  <dc:title>长子营镇2014年财政预算执行情况</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8DE88CB2264C4A198BDBF4BA157DD97F_13</vt:lpwstr>
  </property>
  <property fmtid="{D5CDD505-2E9C-101B-9397-08002B2CF9AE}" pid="4" name="KSOTemplateDocerSaveRecord">
    <vt:lpwstr>eyJoZGlkIjoiNmJjMjQ5ZjczNzVjMDk1NzRmMDQzOWMzNmY4Yjk2ZWIiLCJ1c2VySWQiOiIzMjM3NjM3MzYifQ==</vt:lpwstr>
  </property>
</Properties>
</file>