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textAlignment w:val="auto"/>
        <w:outlineLvl w:val="9"/>
        <w:rPr>
          <w:color w:val="auto"/>
        </w:rPr>
      </w:pP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大兴区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采育镇</w:t>
      </w: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2023年调整预算方案的说明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left"/>
        <w:textAlignment w:val="auto"/>
        <w:outlineLvl w:val="9"/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一、大兴区采育镇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55537万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元，较调整前增加 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21757万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其中：税收收入增加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766万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元，原因是增值税增加；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专项转移支付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增加18760万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上年结余收入增加2231万元，原因是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根据2022年区与镇财政结算单进行调整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二、大兴区采育镇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55537万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55537万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主要的增减变化原因有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：专项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转移支付增加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18760万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上年结余增加2231万元，原因是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根据2022年区与镇财政结算单进行调整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ascii="黑体" w:hAnsi="黑体" w:eastAsia="黑体"/>
          <w:b/>
          <w:color w:val="auto"/>
          <w:sz w:val="32"/>
          <w:szCs w:val="30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三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明细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55537万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55537万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主要的增减变化原因有：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转移支付增加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18760万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上年结余增加2231万元，原因是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根据2022年区与镇财政结算单进行调整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四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rFonts w:hint="default"/>
          <w:color w:val="auto"/>
          <w:lang w:val="en-US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级政府性基金预算收入调整为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13170万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10048.5万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区级下达专项增加。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五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、大兴区采育镇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both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年政府性基金预算总支出调整为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13170万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元，其中：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政府性基金预算支出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13170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六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其他重要事项说明</w:t>
      </w:r>
      <w:r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预算绩效工作开展情况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采育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进一步深化全面实施预算绩效管理，不断强化预算绩效深度融合。一是积极推进绩效目标管理，实现绩效目标全覆盖，夯实预算绩效管理基础。二是继续开展事前评估工作，实现绩效管理重心前移。三是绩效运行监控全面铺开，强化项目过程管理。四是积极开展绩效评价工作，不断提升财政资金使用效益。五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按区财政局要求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大力推进成本绩效分析，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选取公厕运维项目进行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成本绩效分析。</w:t>
      </w:r>
    </w:p>
    <w:p>
      <w:pPr>
        <w:keepNext w:val="0"/>
        <w:keepLines w:val="0"/>
        <w:widowControl/>
        <w:suppressLineNumbers w:val="0"/>
        <w:jc w:val="left"/>
        <w:rPr>
          <w:color w:val="auto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ZHei-B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50B07EEB"/>
    <w:rsid w:val="0AFE6E5F"/>
    <w:rsid w:val="1B2C5C22"/>
    <w:rsid w:val="2B346570"/>
    <w:rsid w:val="2D661482"/>
    <w:rsid w:val="372A6B90"/>
    <w:rsid w:val="3CF43CC6"/>
    <w:rsid w:val="48B47AD7"/>
    <w:rsid w:val="50B07EEB"/>
    <w:rsid w:val="51D610EC"/>
    <w:rsid w:val="60690E7E"/>
    <w:rsid w:val="69E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17"/>
    <w:basedOn w:val="1"/>
    <w:qFormat/>
    <w:uiPriority w:val="0"/>
    <w:pPr>
      <w:widowControl/>
      <w:spacing w:after="120"/>
      <w:ind w:left="420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2023-11-03T06:33:00Z</dcterms:created>
  <dc:creator>一小蝶儿豆腐</dc:creator>
  <cp:lastModifiedBy>hp</cp:lastModifiedBy>
  <dcterms:modified xsi:type="dcterms:W3CDTF">2023-11-07T07:11:33Z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23A90E45455B4F61905DB95F8E1B31C6_11</vt:lpwstr>
  </property>
</Properties>
</file>