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jc w:val="center"/>
        <w:textAlignment w:val="auto"/>
        <w:outlineLvl w:val="9"/>
        <w:rPr>
          <w:color w:val="auto"/>
        </w:rPr>
      </w:pPr>
      <w:r>
        <w:rPr>
          <w:rFonts w:ascii="方正小标宋简体" w:hAnsi="方正小标宋简体" w:eastAsia="方正小标宋简体" w:cs="方正小标宋简体"/>
          <w:color w:val="auto"/>
          <w:kern w:val="0"/>
          <w:sz w:val="43"/>
          <w:szCs w:val="43"/>
          <w:lang w:val="en-US" w:eastAsia="zh-CN" w:bidi="ar"/>
        </w:rPr>
        <w:t>大兴区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3"/>
          <w:szCs w:val="43"/>
          <w:lang w:val="en-US" w:eastAsia="zh-CN" w:bidi="ar"/>
        </w:rPr>
        <w:t>采育镇</w:t>
      </w:r>
      <w:r>
        <w:rPr>
          <w:rFonts w:ascii="方正小标宋简体" w:hAnsi="方正小标宋简体" w:eastAsia="方正小标宋简体" w:cs="方正小标宋简体"/>
          <w:color w:val="auto"/>
          <w:kern w:val="0"/>
          <w:sz w:val="43"/>
          <w:szCs w:val="43"/>
          <w:lang w:val="en-US" w:eastAsia="zh-CN" w:bidi="ar"/>
        </w:rPr>
        <w:t>2023年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3"/>
          <w:szCs w:val="43"/>
          <w:lang w:val="en-US" w:eastAsia="zh-CN" w:bidi="ar"/>
        </w:rPr>
        <w:t>预算调整公开套表</w:t>
      </w:r>
      <w:r>
        <w:rPr>
          <w:rFonts w:ascii="方正小标宋简体" w:hAnsi="方正小标宋简体" w:eastAsia="方正小标宋简体" w:cs="方正小标宋简体"/>
          <w:color w:val="auto"/>
          <w:kern w:val="0"/>
          <w:sz w:val="43"/>
          <w:szCs w:val="43"/>
          <w:lang w:val="en-US" w:eastAsia="zh-CN" w:bidi="ar"/>
        </w:rPr>
        <w:t>说明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jc w:val="left"/>
        <w:textAlignment w:val="auto"/>
        <w:outlineLvl w:val="9"/>
        <w:rPr>
          <w:rFonts w:ascii="FZHei-B01" w:hAnsi="FZHei-B01" w:eastAsia="FZHei-B01" w:cs="FZHei-B01"/>
          <w:color w:val="auto"/>
          <w:kern w:val="0"/>
          <w:sz w:val="31"/>
          <w:szCs w:val="3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color w:val="auto"/>
        </w:rPr>
      </w:pPr>
      <w:r>
        <w:rPr>
          <w:rFonts w:hint="eastAsia" w:ascii="黑体" w:hAnsi="黑体" w:eastAsia="黑体"/>
          <w:b/>
          <w:color w:val="auto"/>
          <w:sz w:val="32"/>
          <w:szCs w:val="30"/>
        </w:rPr>
        <w:t>一、大兴区采育镇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2023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年一般公共预算收入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调整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预算表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60" w:lineRule="exact"/>
        <w:ind w:left="0" w:leftChars="0" w:right="0" w:rightChars="0" w:firstLine="62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</w:pP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2023 年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级一般公共预算收入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67872万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元，较调整前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55537万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 xml:space="preserve">增加 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12335万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元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，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其中：税收收入增加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1100万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元，原因是增值税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收入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增加；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非税收入增加19万元，原因是综合执法队罚没收入；专项转移支付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收入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增加3557万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元，原因是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区级下达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专项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增加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一般转移支付收入增加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highlight w:val="none"/>
          <w:lang w:val="en-US" w:eastAsia="zh-CN" w:bidi="ar"/>
        </w:rPr>
        <w:t>7659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万元，原因是区级下达一般转移支付增加。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3" w:firstLineChars="200"/>
        <w:textAlignment w:val="auto"/>
        <w:outlineLvl w:val="9"/>
        <w:rPr>
          <w:color w:val="auto"/>
        </w:rPr>
      </w:pPr>
      <w:r>
        <w:rPr>
          <w:rFonts w:hint="eastAsia" w:ascii="黑体" w:hAnsi="黑体" w:eastAsia="黑体"/>
          <w:b/>
          <w:color w:val="auto"/>
          <w:sz w:val="32"/>
          <w:szCs w:val="30"/>
        </w:rPr>
        <w:t>二、大兴区采育镇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2023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年一般公共预算支出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调整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预算表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20" w:firstLineChars="200"/>
        <w:jc w:val="left"/>
        <w:textAlignment w:val="auto"/>
        <w:outlineLvl w:val="9"/>
        <w:rPr>
          <w:color w:val="auto"/>
        </w:rPr>
      </w:pP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2023 年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级一般公共预算总支出调整为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67872万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元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60" w:lineRule="exact"/>
        <w:ind w:left="0" w:leftChars="0" w:right="0" w:rightChars="0" w:firstLine="620" w:firstLineChars="200"/>
        <w:textAlignment w:val="auto"/>
        <w:outlineLvl w:val="9"/>
        <w:rPr>
          <w:color w:val="auto"/>
        </w:rPr>
      </w:pP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主要的增减变化原因有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：专项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转移支付增加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3557万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元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，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原因是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区级下达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专项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增加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一般转移支付及非税收入增加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highlight w:val="none"/>
          <w:lang w:val="en-US" w:eastAsia="zh-CN" w:bidi="ar"/>
        </w:rPr>
        <w:t>7678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万元，原因是区级下达一般转移支付增加，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ascii="黑体" w:hAnsi="黑体" w:eastAsia="黑体"/>
          <w:b/>
          <w:color w:val="auto"/>
          <w:sz w:val="32"/>
          <w:szCs w:val="30"/>
        </w:rPr>
      </w:pP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三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、大兴区采育镇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2023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年一般公共预算支出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调整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预算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明细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表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after="0"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b w:val="0"/>
          <w:bCs w:val="0"/>
          <w:color w:val="auto"/>
          <w:highlight w:val="none"/>
          <w:lang w:val="en-US" w:eastAsia="zh-CN"/>
        </w:rPr>
      </w:pPr>
      <w:r>
        <w:rPr>
          <w:rFonts w:hint="eastAsia" w:ascii="仿宋_GB2312" w:eastAsia="仿宋_GB2312"/>
          <w:b w:val="0"/>
          <w:bCs w:val="0"/>
          <w:color w:val="auto"/>
          <w:highlight w:val="none"/>
          <w:lang w:val="en-US" w:eastAsia="zh-CN"/>
        </w:rPr>
        <w:t>一般公共预算总支出由55537万元，调整为67872万元，增加12335万元。主要调整情况如下：</w:t>
      </w:r>
    </w:p>
    <w:p>
      <w:pPr>
        <w:pStyle w:val="8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after="0"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b w:val="0"/>
          <w:bCs w:val="0"/>
          <w:color w:val="auto"/>
          <w:highlight w:val="none"/>
          <w:lang w:val="en-US" w:eastAsia="zh-CN"/>
        </w:rPr>
      </w:pPr>
      <w:r>
        <w:rPr>
          <w:rFonts w:hint="eastAsia" w:ascii="仿宋_GB2312" w:eastAsia="仿宋_GB2312"/>
          <w:b w:val="0"/>
          <w:bCs w:val="0"/>
          <w:color w:val="auto"/>
          <w:highlight w:val="none"/>
          <w:lang w:val="en-US" w:eastAsia="zh-CN"/>
        </w:rPr>
        <w:t>1.一般公共服务支出由15136.49万元，调整为17940.69万元，增加2804.2万元。</w:t>
      </w:r>
      <w:bookmarkStart w:id="0" w:name="_GoBack"/>
      <w:bookmarkEnd w:id="0"/>
    </w:p>
    <w:p>
      <w:pPr>
        <w:pStyle w:val="8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after="0"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b w:val="0"/>
          <w:bCs w:val="0"/>
          <w:color w:val="auto"/>
          <w:highlight w:val="none"/>
          <w:lang w:val="en-US" w:eastAsia="zh-CN"/>
        </w:rPr>
      </w:pPr>
      <w:r>
        <w:rPr>
          <w:rFonts w:hint="eastAsia" w:ascii="仿宋_GB2312" w:eastAsia="仿宋_GB2312"/>
          <w:b w:val="0"/>
          <w:bCs w:val="0"/>
          <w:color w:val="auto"/>
          <w:highlight w:val="none"/>
          <w:lang w:val="en-US" w:eastAsia="zh-CN"/>
        </w:rPr>
        <w:t>2.社会保障和就业支出由1721.01万元，调整为1731万元，增加9.99万元。</w:t>
      </w:r>
    </w:p>
    <w:p>
      <w:pPr>
        <w:pStyle w:val="8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after="0"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b w:val="0"/>
          <w:bCs w:val="0"/>
          <w:color w:val="auto"/>
          <w:highlight w:val="none"/>
          <w:lang w:val="en-US" w:eastAsia="zh-CN"/>
        </w:rPr>
      </w:pPr>
      <w:r>
        <w:rPr>
          <w:rFonts w:hint="eastAsia" w:ascii="仿宋_GB2312" w:eastAsia="仿宋_GB2312"/>
          <w:b w:val="0"/>
          <w:bCs w:val="0"/>
          <w:color w:val="auto"/>
          <w:highlight w:val="none"/>
          <w:lang w:val="en-US" w:eastAsia="zh-CN"/>
        </w:rPr>
        <w:t>3.卫生健康支出由5694.18万元，调整为6165.63万元，增加471.45万元。</w:t>
      </w:r>
    </w:p>
    <w:p>
      <w:pPr>
        <w:pStyle w:val="8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after="0"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b w:val="0"/>
          <w:bCs w:val="0"/>
          <w:color w:val="auto"/>
          <w:highlight w:val="none"/>
          <w:lang w:val="en-US" w:eastAsia="zh-CN"/>
        </w:rPr>
      </w:pPr>
      <w:r>
        <w:rPr>
          <w:rFonts w:hint="eastAsia" w:ascii="仿宋_GB2312" w:eastAsia="仿宋_GB2312"/>
          <w:b w:val="0"/>
          <w:bCs w:val="0"/>
          <w:color w:val="auto"/>
          <w:highlight w:val="none"/>
          <w:lang w:val="en-US" w:eastAsia="zh-CN"/>
        </w:rPr>
        <w:t>4.节能环保支出由2045.5万元，调整为2161.07万元，增加115.57万元。</w:t>
      </w:r>
    </w:p>
    <w:p>
      <w:pPr>
        <w:pStyle w:val="8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after="0"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b w:val="0"/>
          <w:bCs w:val="0"/>
          <w:color w:val="auto"/>
          <w:highlight w:val="none"/>
          <w:lang w:val="en-US" w:eastAsia="zh-CN"/>
        </w:rPr>
      </w:pPr>
      <w:r>
        <w:rPr>
          <w:rFonts w:hint="eastAsia" w:ascii="仿宋_GB2312" w:eastAsia="仿宋_GB2312"/>
          <w:b w:val="0"/>
          <w:bCs w:val="0"/>
          <w:color w:val="auto"/>
          <w:highlight w:val="none"/>
          <w:lang w:val="en-US" w:eastAsia="zh-CN"/>
        </w:rPr>
        <w:t>5.城乡社区支出由10639.36万元，调整为16889.16万元，增加6249.8万元。</w:t>
      </w:r>
    </w:p>
    <w:p>
      <w:pPr>
        <w:pStyle w:val="8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after="0"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b w:val="0"/>
          <w:bCs w:val="0"/>
          <w:color w:val="auto"/>
          <w:highlight w:val="none"/>
          <w:lang w:val="en-US" w:eastAsia="zh-CN"/>
        </w:rPr>
      </w:pPr>
      <w:r>
        <w:rPr>
          <w:rFonts w:hint="eastAsia" w:ascii="仿宋_GB2312" w:eastAsia="仿宋_GB2312"/>
          <w:b w:val="0"/>
          <w:bCs w:val="0"/>
          <w:color w:val="auto"/>
          <w:highlight w:val="none"/>
          <w:lang w:val="en-US" w:eastAsia="zh-CN"/>
        </w:rPr>
        <w:t>6.农林水支出由19343.31万元，调整为22023.92万元，增加2680.61万元。</w:t>
      </w:r>
    </w:p>
    <w:p>
      <w:pPr>
        <w:pStyle w:val="8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after="0"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b w:val="0"/>
          <w:bCs w:val="0"/>
          <w:color w:val="auto"/>
          <w:highlight w:val="none"/>
          <w:lang w:val="en-US" w:eastAsia="zh-CN"/>
        </w:rPr>
      </w:pPr>
      <w:r>
        <w:rPr>
          <w:rFonts w:hint="eastAsia" w:ascii="仿宋_GB2312" w:eastAsia="仿宋_GB2312"/>
          <w:b w:val="0"/>
          <w:bCs w:val="0"/>
          <w:color w:val="auto"/>
          <w:highlight w:val="none"/>
          <w:lang w:val="en-US" w:eastAsia="zh-CN"/>
        </w:rPr>
        <w:t>7.自然资源海洋气象等支出调整为4.02万元，增加4.02万元。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color w:val="auto"/>
        </w:rPr>
      </w:pP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四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、大兴区采育镇</w:t>
      </w:r>
      <w:r>
        <w:rPr>
          <w:rFonts w:hint="eastAsia" w:ascii="黑体" w:hAnsi="黑体" w:eastAsia="黑体"/>
          <w:b/>
          <w:color w:val="auto"/>
          <w:sz w:val="32"/>
          <w:szCs w:val="30"/>
          <w:lang w:eastAsia="zh-CN"/>
        </w:rPr>
        <w:t>202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3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年政府性基金</w:t>
      </w:r>
      <w:r>
        <w:rPr>
          <w:rFonts w:hint="eastAsia" w:ascii="黑体" w:hAnsi="黑体" w:eastAsia="黑体"/>
          <w:b/>
          <w:color w:val="auto"/>
          <w:sz w:val="32"/>
          <w:szCs w:val="30"/>
          <w:lang w:eastAsia="zh-CN"/>
        </w:rPr>
        <w:t>收入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调整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预算表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20" w:firstLineChars="200"/>
        <w:jc w:val="left"/>
        <w:textAlignment w:val="auto"/>
        <w:outlineLvl w:val="9"/>
        <w:rPr>
          <w:rFonts w:hint="default"/>
          <w:color w:val="auto"/>
          <w:lang w:val="en-US"/>
        </w:rPr>
      </w:pP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2023 年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级政府性基金预算收入调整为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15461万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元，增加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2291万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元，主要是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区级下达专项增加。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color w:val="auto"/>
        </w:rPr>
      </w:pP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五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、大兴区采育镇</w:t>
      </w:r>
      <w:r>
        <w:rPr>
          <w:rFonts w:hint="eastAsia" w:ascii="黑体" w:hAnsi="黑体" w:eastAsia="黑体"/>
          <w:b/>
          <w:color w:val="auto"/>
          <w:sz w:val="32"/>
          <w:szCs w:val="30"/>
          <w:lang w:eastAsia="zh-CN"/>
        </w:rPr>
        <w:t>202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3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年政府性基金支出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调整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预算表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20" w:firstLineChars="200"/>
        <w:jc w:val="both"/>
        <w:textAlignment w:val="auto"/>
        <w:outlineLvl w:val="9"/>
        <w:rPr>
          <w:color w:val="auto"/>
        </w:rPr>
      </w:pP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2023 年政府性基金预算总支出调整为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15461万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 xml:space="preserve">元，其中：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jc w:val="both"/>
        <w:textAlignment w:val="auto"/>
        <w:outlineLvl w:val="9"/>
        <w:rPr>
          <w:color w:val="auto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城乡社区支出15411万元，较调整前增加2291万元；其他支出50万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 xml:space="preserve">元。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color w:val="auto"/>
        </w:rPr>
      </w:pP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六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、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其他重要事项说明</w:t>
      </w:r>
      <w:r>
        <w:rPr>
          <w:rFonts w:ascii="FZHei-B01" w:hAnsi="FZHei-B01" w:eastAsia="FZHei-B01" w:cs="FZHei-B01"/>
          <w:color w:val="auto"/>
          <w:kern w:val="0"/>
          <w:sz w:val="31"/>
          <w:szCs w:val="3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20" w:firstLineChars="200"/>
        <w:jc w:val="left"/>
        <w:textAlignment w:val="auto"/>
        <w:outlineLvl w:val="9"/>
        <w:rPr>
          <w:color w:val="auto"/>
        </w:rPr>
      </w:pPr>
      <w:r>
        <w:rPr>
          <w:rFonts w:ascii="仿宋_GB2312" w:hAnsi="仿宋_GB2312" w:eastAsia="仿宋_GB2312" w:cs="仿宋_GB2312"/>
          <w:b w:val="0"/>
          <w:bCs w:val="0"/>
          <w:color w:val="auto"/>
          <w:kern w:val="0"/>
          <w:sz w:val="31"/>
          <w:szCs w:val="31"/>
          <w:lang w:val="en-US" w:eastAsia="zh-CN" w:bidi="ar"/>
        </w:rPr>
        <w:t>预算绩效工作开展情况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1"/>
          <w:szCs w:val="31"/>
          <w:lang w:val="en-US" w:eastAsia="zh-CN" w:bidi="ar"/>
        </w:rPr>
        <w:t>：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采育镇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进一步深化全面实施预算绩效管理，不断强化预算绩效深度融合。一是积极推进绩效目标管理，实现绩效目标全覆盖，夯实预算绩效管理基础。二是继续开展事前评估工作，实现绩效管理重心前移。三是绩效运行监控全面铺开，强化项目过程管理。四是积极开展绩效评价工作，不断提升财政资金使用效益。五是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按区财政局要求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大力推进成本绩效分析，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选取公厕运维项目进行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成本绩效分析。</w:t>
      </w:r>
    </w:p>
    <w:p>
      <w:pPr>
        <w:keepNext w:val="0"/>
        <w:keepLines w:val="0"/>
        <w:widowControl/>
        <w:suppressLineNumbers w:val="0"/>
        <w:jc w:val="left"/>
        <w:rPr>
          <w:color w:val="auto"/>
        </w:rPr>
      </w:pPr>
    </w:p>
    <w:p>
      <w:pPr>
        <w:rPr>
          <w:color w:val="auto"/>
        </w:rPr>
      </w:pPr>
    </w:p>
    <w:sectPr>
      <w:footerReference r:id="rId3" w:type="default"/>
      <w:pgSz w:w="11906" w:h="16838"/>
      <w:pgMar w:top="1440" w:right="1689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FZHei-B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0NDFkNDU2NDkwYWNlYjZhOTc3ZjBkYmI2ODQ0NGEifQ=="/>
  </w:docVars>
  <w:rsids>
    <w:rsidRoot w:val="50B07EEB"/>
    <w:rsid w:val="0AFE6E5F"/>
    <w:rsid w:val="0C3036BB"/>
    <w:rsid w:val="1B2C5C22"/>
    <w:rsid w:val="2B346570"/>
    <w:rsid w:val="2D2F5494"/>
    <w:rsid w:val="2D661482"/>
    <w:rsid w:val="372A6B90"/>
    <w:rsid w:val="3CF43CC6"/>
    <w:rsid w:val="48B47AD7"/>
    <w:rsid w:val="50B07EEB"/>
    <w:rsid w:val="51D610EC"/>
    <w:rsid w:val="52D467EB"/>
    <w:rsid w:val="5F2C1951"/>
    <w:rsid w:val="60690E7E"/>
    <w:rsid w:val="62DC0DD8"/>
    <w:rsid w:val="69EC15DA"/>
    <w:rsid w:val="69F6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288" w:lineRule="auto"/>
      <w:jc w:val="left"/>
    </w:pPr>
    <w:rPr>
      <w:rFonts w:ascii="宋体" w:hAnsi="Calibri" w:eastAsia="宋体" w:cs="Times New Roman"/>
      <w:color w:val="000000"/>
      <w:szCs w:val="21"/>
    </w:r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p17"/>
    <w:basedOn w:val="1"/>
    <w:qFormat/>
    <w:uiPriority w:val="0"/>
    <w:pPr>
      <w:widowControl/>
      <w:spacing w:after="120"/>
      <w:ind w:left="420"/>
    </w:pPr>
    <w:rPr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2023-11-03T06:33:00Z</dcterms:created>
  <dc:creator>一小蝶儿豆腐</dc:creator>
  <cp:lastModifiedBy>一小蝶儿豆腐</cp:lastModifiedBy>
  <dcterms:modified xsi:type="dcterms:W3CDTF">2023-11-28T03:59:52Z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2DA2E84A1FE1419A8E6168D3EAC075F4_13</vt:lpwstr>
  </property>
</Properties>
</file>