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autoSpaceDN w:val="0"/>
        <w:spacing w:line="560" w:lineRule="exact"/>
        <w:jc w:val="left"/>
        <w:rPr>
          <w:rFonts w:hint="eastAsia" w:ascii="楷体_GB2312" w:hAnsi="楷体_GB2312" w:eastAsia="楷体_GB2312" w:cs="楷体_GB2312"/>
          <w:sz w:val="32"/>
          <w:szCs w:val="32"/>
          <w:lang w:val="zh-CN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val="en-US" w:eastAsia="zh-CN"/>
        </w:rPr>
        <w:t>采育镇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20</w:t>
      </w:r>
      <w:r>
        <w:rPr>
          <w:rFonts w:hint="eastAsia" w:hAnsi="方正小标宋简体" w:cs="方正小标宋简体"/>
          <w:b w:val="0"/>
          <w:bCs w:val="0"/>
          <w:color w:val="auto"/>
          <w:sz w:val="44"/>
          <w:szCs w:val="44"/>
          <w:highlight w:val="none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年财政预算执行情况和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20</w:t>
      </w:r>
      <w:r>
        <w:rPr>
          <w:rFonts w:hint="eastAsia" w:hAnsi="方正小标宋简体" w:cs="方正小标宋简体"/>
          <w:b w:val="0"/>
          <w:bCs w:val="0"/>
          <w:color w:val="auto"/>
          <w:sz w:val="44"/>
          <w:szCs w:val="44"/>
          <w:highlight w:val="none"/>
          <w:lang w:val="en-US" w:eastAsia="zh-CN"/>
        </w:rPr>
        <w:t>24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年财政预算草案的报告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560" w:lineRule="exact"/>
        <w:ind w:left="0" w:leftChars="0" w:right="0" w:rightChars="0" w:firstLine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color="auto" w:fill="FFFFFF"/>
        </w:rPr>
      </w:pP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color="auto" w:fill="FFFFFF"/>
        </w:rPr>
        <w:t>各位代表：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受采育镇人民政府委托，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向大会提交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采育镇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财政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预算执行情况和20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财政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预算草案的报告，请予审议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rPr>
          <w:rFonts w:hint="default" w:ascii="黑体" w:hAnsi="黑体" w:eastAsia="黑体" w:cs="黑体"/>
          <w:b w:val="0"/>
          <w:bCs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pacing w:val="0"/>
          <w:sz w:val="32"/>
          <w:szCs w:val="32"/>
          <w:highlight w:val="none"/>
          <w:lang w:val="en-US" w:eastAsia="zh-CN"/>
        </w:rPr>
        <w:t>第一部分 2023年预算执行情况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2023年在镇党委、镇政府的坚强领导下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采育镇深入贯彻落实党的二十大精神，深入贯彻习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近平总书记对北京一系列重要讲话精神，坚持稳中求进工作总基调，按照“三落一提”的基本要求，着力推动全镇高质量发展。用政府过“紧日子”换取百姓“好日子”，稳步推进各项财政管理工作，有力保障民生事业、产业经济、重点项目的平稳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/>
          <w:spacing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napToGrid w:val="0"/>
          <w:kern w:val="32"/>
          <w:sz w:val="32"/>
          <w:szCs w:val="32"/>
          <w:highlight w:val="none"/>
        </w:rPr>
        <w:t>一、一般公共预算执行情况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采育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镇镇级一般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公共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预算总收入为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65026.53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万元，其中：一般公共预算收入为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62795.38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万元，上年结转收入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2231.15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采育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镇镇级一般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公共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预算总支出为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64367.57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万元，其中：一般公共预算支出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61417.09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万元，一般公共预算上解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2950.48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。结余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658.96万元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560" w:lineRule="exact"/>
        <w:ind w:right="0" w:rightChars="0" w:firstLine="640" w:firstLineChars="200"/>
        <w:textAlignment w:val="auto"/>
        <w:rPr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highlight w:val="none"/>
          <w:lang w:val="en-US" w:eastAsia="zh-CN" w:bidi="ar-SA"/>
        </w:rPr>
        <w:t>（一）主要收入科目执行情况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pacing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spacing w:val="0"/>
          <w:kern w:val="2"/>
          <w:sz w:val="32"/>
          <w:szCs w:val="32"/>
          <w:highlight w:val="none"/>
          <w:lang w:val="en-US" w:eastAsia="zh-CN" w:bidi="ar-SA"/>
        </w:rPr>
        <w:t>2023年税收收入8.7亿元，其中纳入经开区税收5.83亿元，大兴区域税收2.87亿元。大兴区域税收实现财政收入5308.29万元，比去年同期增加1093.78万元，增长25.95%。完成了区级下达任务基数的150.21%。其中：土地增值税1143万元，比去年同期减少1213.25万元；增值税2303.24万元，比去年同期增加2662.99万元；企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val="en-US" w:eastAsia="zh-CN"/>
        </w:rPr>
        <w:t>业所得税615.99万元，</w:t>
      </w:r>
      <w:r>
        <w:rPr>
          <w:rFonts w:hint="eastAsia" w:ascii="仿宋_GB2312" w:hAnsi="仿宋_GB2312" w:eastAsia="仿宋_GB2312" w:cs="仿宋_GB2312"/>
          <w:b w:val="0"/>
          <w:bCs/>
          <w:spacing w:val="0"/>
          <w:kern w:val="2"/>
          <w:sz w:val="32"/>
          <w:szCs w:val="32"/>
          <w:highlight w:val="none"/>
          <w:lang w:val="en-US" w:eastAsia="zh-CN" w:bidi="ar-SA"/>
        </w:rPr>
        <w:t>比去年同期减少188.11万元；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val="en-US" w:eastAsia="zh-CN"/>
        </w:rPr>
        <w:t>房产税558万元，</w:t>
      </w:r>
      <w:r>
        <w:rPr>
          <w:rFonts w:hint="eastAsia" w:ascii="仿宋_GB2312" w:hAnsi="仿宋_GB2312" w:eastAsia="仿宋_GB2312" w:cs="仿宋_GB2312"/>
          <w:b w:val="0"/>
          <w:bCs/>
          <w:spacing w:val="0"/>
          <w:kern w:val="2"/>
          <w:sz w:val="32"/>
          <w:szCs w:val="32"/>
          <w:highlight w:val="none"/>
          <w:lang w:val="en-US" w:eastAsia="zh-CN" w:bidi="ar-SA"/>
        </w:rPr>
        <w:t>比去年同期增加138.6万元；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val="en-US" w:eastAsia="zh-CN"/>
        </w:rPr>
        <w:t>印花税267.03万</w:t>
      </w:r>
      <w:r>
        <w:rPr>
          <w:rFonts w:hint="eastAsia" w:ascii="仿宋_GB2312" w:hAnsi="仿宋_GB2312" w:eastAsia="仿宋_GB2312" w:cs="仿宋_GB2312"/>
          <w:b w:val="0"/>
          <w:bCs/>
          <w:spacing w:val="0"/>
          <w:kern w:val="2"/>
          <w:sz w:val="32"/>
          <w:szCs w:val="32"/>
          <w:highlight w:val="none"/>
          <w:lang w:val="en-US" w:eastAsia="zh-CN" w:bidi="ar-SA"/>
        </w:rPr>
        <w:t>元，比去年同期减少88.7万元；城市维护建设税401.53万元，比去年同期减少216.25万元；城镇土地使用税19.5万元，比去年同期减少1.5万元。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default" w:eastAsia="仿宋_GB2312"/>
          <w:b w:val="0"/>
          <w:bCs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highlight w:val="none"/>
          <w:lang w:val="en-US" w:eastAsia="zh-CN" w:bidi="ar-SA"/>
        </w:rPr>
        <w:t>（二）主要支出科目执行情况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一般公共服务支出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13961.29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，完成预算调整的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77.82%。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主要用于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在编人员工资、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村（社区）党组织服务群众经费、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外围防线队伍经费、政府运转经费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公共安全支出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30.79万元。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完成预算调整的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98.69%。主要用于法律服务经费。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教育支出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743.2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，完成预算调整的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97.89%。主要用于西区幼儿园项目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采育一小分校项目建设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文化旅游体育与传媒支出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106.22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完成预算调整的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103.91%。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用于大兴区旅游公共服务设备设施提升项目、葡萄节宣传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政府宣传运行经费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社会保障和就业支出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1841.30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完成预算调整的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106.37%。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用于在编人员保险、公益性岗位补贴、义务兵优待金、养老驿站建设补助、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优抚对象补助、残疾人补助等。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卫生健康支出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6867.87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完成预算调整的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111.39%。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用于在编人员医疗保险、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防疫经费、计划生育工作经费、基本公共卫生经费、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职工健康体检费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节能环保支出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1778.72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完成预算调整的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82.31%。主要用于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大气污染防治、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农村污水生态治理、电暖器及太阳能提升住户电费补贴、采暖季煤改电长效管护等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城乡社区支出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12133.94万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完成预算调整的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71.84%。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疏解整治促提升、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社区基础设施维护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社会治理指挥中心建设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农村公厕运维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政府编外人员工资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农林水支出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23764.72万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完成预算调整的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107.9%。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农村公益事业投入、村干部工资、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农机购置补贴、美丽乡村、生猪产业优化提升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现代农业产业园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、平原造林土地流转及养护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10.自然资源海洋气象等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127.49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完成预算调整的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3171.39%。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用于宅基地、集体建设用地地籍调查和确权登记。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11.住房保障支出61.55万元，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完成预算调整的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95.29%。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用于抗震节能农宅建设项目、住房补贴等。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ascii="黑体" w:hAnsi="黑体" w:eastAsia="黑体" w:cs="黑体"/>
          <w:snapToGrid w:val="0"/>
          <w:kern w:val="32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napToGrid w:val="0"/>
          <w:kern w:val="32"/>
          <w:sz w:val="32"/>
          <w:szCs w:val="32"/>
          <w:highlight w:val="none"/>
        </w:rPr>
        <w:t>二、政府性基金预算执行情况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采育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镇镇级政府性基金预算总收入为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20039.23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万元，其中：政府性基金预算收入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3121.5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万元，专项转移支付收入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16917.73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采育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镇镇级政府性基金预算总支出为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20039.23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。完成预算调整的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129.61%。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主要用于：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美丽乡村建设、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乡村公路大修及养护、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老旧果园复耕项目、凤河绿道项目、土地整治项目、平原造林工程、西区幼儿园建设、雨污水管线建设等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ascii="黑体" w:hAnsi="黑体" w:eastAsia="黑体" w:cs="黑体"/>
          <w:snapToGrid w:val="0"/>
          <w:kern w:val="32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napToGrid w:val="0"/>
          <w:kern w:val="32"/>
          <w:sz w:val="32"/>
          <w:szCs w:val="32"/>
          <w:highlight w:val="none"/>
        </w:rPr>
        <w:t>三、202</w:t>
      </w:r>
      <w:r>
        <w:rPr>
          <w:rFonts w:hint="eastAsia" w:ascii="黑体" w:hAnsi="黑体" w:eastAsia="黑体" w:cs="黑体"/>
          <w:snapToGrid w:val="0"/>
          <w:kern w:val="3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黑体" w:hAnsi="黑体" w:eastAsia="黑体" w:cs="黑体"/>
          <w:snapToGrid w:val="0"/>
          <w:kern w:val="32"/>
          <w:sz w:val="32"/>
          <w:szCs w:val="32"/>
          <w:highlight w:val="none"/>
        </w:rPr>
        <w:t>年财政工作完成情况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highlight w:val="none"/>
        </w:rPr>
        <w:t>（一）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highlight w:val="none"/>
          <w:lang w:eastAsia="zh-CN"/>
        </w:rPr>
        <w:t>夯实基础，稳住镇域经济运行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采育镇始终坚持把财源建设放在全年工作的重要位置，从内外两个方面着手，主动作为，勤征细管，挖潜增收。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一方面创新思路，对外加强联系，通过与税务、财源建设专班联系，实现各税种应收尽收，颗粒归仓，保证采育镇在全区财源建设工作中名列前茅。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另一方面强化统筹，对内加强管理，2023年采育镇先后建立税收分析制度、重点企业台账，并形成财源建设工作机制。通过定期税收分析的工作机制，为领导决策提供数据支撑，同时通过优化服务，为企业纾难解困，助力镇域企业发展，实现镇域稳步增收的局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highlight w:val="none"/>
        </w:rPr>
        <w:t>(二)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highlight w:val="none"/>
          <w:lang w:val="en-US" w:eastAsia="zh-CN"/>
        </w:rPr>
        <w:t>兜牢底线，持之以恒保障民生发展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坚持以人民为中心的发展思想，全面落实各项民生政策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一是支农力度不断加大，惠农政策取得实效。全年实际发放小麦及玉米补贴、农机购置补贴等各类农业补贴1007万元。二是大力推进美丽乡村建设。全年农村道路基础设施、污水生态治理、户厕清掏等项目支出9631万元，农村生产生活条件得到了进一步改善。三是注重民生福祉，保证困有所济。全年共拨付残疾人、优抚、社会救助对象等补助资金475万元，保障了弱势群体的基本生活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。在财政收支平衡压力加大的情况下，坚持民生投入稳定增长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让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每一位采育人获得幸福感。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highlight w:val="none"/>
          <w:lang w:eastAsia="zh-CN"/>
        </w:rPr>
        <w:t>三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highlight w:val="none"/>
        </w:rPr>
        <w:t>）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highlight w:val="none"/>
          <w:lang w:val="en-US" w:eastAsia="zh-CN"/>
        </w:rPr>
        <w:t>规范管理，强化保障财政资金高效运行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围绕制度建设，积极履行职能，提高财政管理效益。一是强化预算管理。依托预算一体化管理系统，将项目库与预算编制及执行过程紧密衔接，完整反映单位所发生的的全部经济业务，提升资金管理规范化水平。二是严格执行财务制度。2023年修订并印发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《采育镇财务制度手册》，明确财务程序和审核要件，严格规范资金使用流程，确保财务工作有制可依，减少资金使用风险。严格按照项目管理制度，加大招标、审计力度，以政府为主体申请招标项目共计108个，已完成招标的项目84个，节约资金309.2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各位代表，202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采育镇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财政运行总体较好，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全面落实各项工作部署，提高财政资金保障能力，圆满完成全年财政工作任务。在取得一定成效的同时，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面临的困难和问题也不容忽视，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收支“紧平衡”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状态依然凸显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；“三保”压力较大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，刚性支出增加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资金使用效益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还有提升的空间，落实“紧日子”的意识和措施还不到位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。我们将高度重视这些问题，采取有力措施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努力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解决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eastAsia="zh-CN"/>
        </w:rPr>
        <w:t>。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/>
        <w:jc w:val="center"/>
        <w:textAlignment w:val="auto"/>
        <w:rPr>
          <w:rFonts w:ascii="仿宋_GB2312" w:hAnsi="仿宋_GB2312" w:eastAsia="仿宋_GB2312" w:cs="仿宋_GB2312"/>
          <w:b w:val="0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  <w:lang w:val="en-US" w:eastAsia="zh-CN"/>
        </w:rPr>
        <w:t xml:space="preserve">第二部分 </w:t>
      </w: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202</w:t>
      </w: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/>
          <w:sz w:val="32"/>
          <w:szCs w:val="32"/>
          <w:highlight w:val="none"/>
        </w:rPr>
        <w:t>年预算草案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32"/>
          <w:sz w:val="32"/>
          <w:szCs w:val="32"/>
          <w:highlight w:val="none"/>
        </w:rPr>
        <w:t>一、202</w:t>
      </w:r>
      <w:r>
        <w:rPr>
          <w:rFonts w:hint="eastAsia" w:ascii="黑体" w:hAnsi="黑体" w:eastAsia="黑体" w:cs="黑体"/>
          <w:snapToGrid w:val="0"/>
          <w:kern w:val="3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黑体" w:eastAsia="黑体" w:cs="黑体"/>
          <w:snapToGrid w:val="0"/>
          <w:kern w:val="32"/>
          <w:sz w:val="32"/>
          <w:szCs w:val="32"/>
          <w:highlight w:val="none"/>
        </w:rPr>
        <w:t>年预算编制指导思想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2024年采育镇预算编制的指导思想是：全面贯彻党的二十大和二十届一中、二中全会精神，深入贯彻习近平新时代中国特色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</w:rPr>
        <w:t>社会主义思想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FFFFFF"/>
          <w:lang w:val="en-US" w:eastAsia="zh-CN"/>
        </w:rPr>
        <w:t>和习近平总书记对北京一系列重要讲话精神，紧紧围绕中央和北京市关于深化预算管理制度改革的总体要求，认真落实区委区政府各项工作部署，按照“三落一提”工作要求，坚持稳中求进，科学合理安排财政预算收支计划，扎实做好“六稳”“六保”工作，提升财政保障能力，全力促进镇域经济高质量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ascii="黑体" w:hAnsi="黑体" w:eastAsia="黑体" w:cs="黑体"/>
          <w:snapToGrid w:val="0"/>
          <w:kern w:val="32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napToGrid w:val="0"/>
          <w:kern w:val="32"/>
          <w:sz w:val="32"/>
          <w:szCs w:val="32"/>
          <w:highlight w:val="none"/>
        </w:rPr>
        <w:t>二、202</w:t>
      </w:r>
      <w:r>
        <w:rPr>
          <w:rFonts w:hint="eastAsia" w:ascii="黑体" w:hAnsi="黑体" w:eastAsia="黑体" w:cs="黑体"/>
          <w:snapToGrid w:val="0"/>
          <w:kern w:val="3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黑体" w:eastAsia="黑体" w:cs="黑体"/>
          <w:snapToGrid w:val="0"/>
          <w:kern w:val="32"/>
          <w:sz w:val="32"/>
          <w:szCs w:val="32"/>
          <w:highlight w:val="none"/>
        </w:rPr>
        <w:t>年预算收支总体安排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rPr>
          <w:rFonts w:ascii="楷体_GB2312" w:hAnsi="楷体_GB2312" w:eastAsia="楷体_GB2312" w:cs="楷体_GB2312"/>
          <w:bCs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</w:rPr>
        <w:t>（一）202</w:t>
      </w: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</w:rPr>
        <w:t>年一般公共预算收支安排情况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一般公共预算总收入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57738.72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万元。其中：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镇级财政收入3534万元，一般转移支付收入30807.07万元，专项转移支付收入21397.65万元，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上年结转收入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一般公共预算总支出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57738.72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万元。其中：一般公共预算支出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53738.72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万元，上解支出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3000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万元，预备费安排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结余为零。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一般公共预算收支平衡。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rPr>
          <w:rFonts w:ascii="楷体_GB2312" w:hAnsi="楷体_GB2312" w:eastAsia="楷体_GB2312" w:cs="楷体_GB2312"/>
          <w:bCs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</w:rPr>
        <w:t>（二）202</w:t>
      </w: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</w:rPr>
        <w:t>年政府性</w:t>
      </w: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  <w:lang w:eastAsia="zh-CN"/>
        </w:rPr>
        <w:t>基金</w:t>
      </w: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</w:rPr>
        <w:t>预算收支安排情况</w:t>
      </w:r>
    </w:p>
    <w:p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政府性基金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预算总收入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5319.31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万元（含专项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转移支付收入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2197.81万元）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政府性基金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预算总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5319.31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收支平衡。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rPr>
          <w:rFonts w:ascii="楷体_GB2312" w:hAnsi="楷体_GB2312" w:eastAsia="楷体_GB2312" w:cs="楷体_GB2312"/>
          <w:bCs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</w:rPr>
        <w:t>（三）202</w:t>
      </w: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</w:rPr>
        <w:t>年预算具体安排情况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1.一般公共服务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安排资金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14734.56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万元，主要用于机关工作人员经费、办公经费及党建业务等。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2.公共安全支出安排资金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31.2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万元，主要用于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法律服务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3.文化旅游体育与传媒支出安排资金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115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万元，主要用于文化事业发展项目、促进基层文化活动质量等。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4.社会保障和就业支出安排资金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1765.19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万元，主要用于优抚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社救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、残疾人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、在编人员保险等。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5.卫生健康支出安排资金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4782.6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万元，主要用于镇级卫生院设备购置、机构运转、乡医补助、公共卫生及人员工资等。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default" w:eastAsia="仿宋_GB231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6.节能环保支出安排资金1484.91万元，主要用于煤改电（气）长效管护、大气精细化治理等。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.城乡社区支出安排资金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13206.15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万元，主要用于城乡综合治理、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编外用工经费、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环境整治、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农村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基础设施建设等。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.农林水支出安排资金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22672.03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万元，主要用于农村公益事业、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村干部工资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、动物防疫、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妇女创新创业工作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default" w:eastAsia="仿宋_GB231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9.自然资源海洋气象等支出安排资金266.39万元，主要用于房地一体的宅基地、集体建设用地权籍调查和确权登记。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ascii="仿宋_GB2312" w:hAnsi="仿宋_GB2312" w:eastAsia="仿宋_GB2312" w:cs="仿宋_GB2312"/>
          <w:b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highlight w:val="none"/>
        </w:rPr>
        <w:t>.上解支出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highlight w:val="none"/>
          <w:lang w:val="en-US" w:eastAsia="zh-CN"/>
        </w:rPr>
        <w:t>3000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.预备费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default" w:ascii="黑体" w:hAnsi="黑体" w:eastAsia="黑体" w:cs="黑体"/>
          <w:snapToGrid w:val="0"/>
          <w:kern w:val="32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32"/>
          <w:sz w:val="32"/>
          <w:szCs w:val="32"/>
          <w:highlight w:val="none"/>
        </w:rPr>
        <w:t>三、</w:t>
      </w:r>
      <w:r>
        <w:rPr>
          <w:rFonts w:hint="eastAsia" w:ascii="黑体" w:hAnsi="黑体" w:eastAsia="黑体" w:cs="黑体"/>
          <w:snapToGrid w:val="0"/>
          <w:kern w:val="32"/>
          <w:sz w:val="32"/>
          <w:szCs w:val="32"/>
          <w:highlight w:val="none"/>
          <w:lang w:eastAsia="zh-CN"/>
        </w:rPr>
        <w:t>切实做好</w:t>
      </w:r>
      <w:r>
        <w:rPr>
          <w:rFonts w:hint="eastAsia" w:ascii="黑体" w:hAnsi="黑体" w:eastAsia="黑体" w:cs="黑体"/>
          <w:snapToGrid w:val="0"/>
          <w:kern w:val="32"/>
          <w:sz w:val="32"/>
          <w:szCs w:val="32"/>
          <w:highlight w:val="none"/>
          <w:lang w:val="en-US" w:eastAsia="zh-CN"/>
        </w:rPr>
        <w:t>2024年财政管理和预算执行工作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Cs/>
          <w:kern w:val="2"/>
          <w:sz w:val="32"/>
          <w:szCs w:val="32"/>
          <w:highlight w:val="none"/>
        </w:rPr>
        <w:t>（一）</w:t>
      </w:r>
      <w:r>
        <w:rPr>
          <w:rFonts w:hint="eastAsia" w:ascii="楷体_GB2312" w:hAnsi="楷体_GB2312" w:eastAsia="楷体_GB2312" w:cs="楷体_GB2312"/>
          <w:bCs/>
          <w:kern w:val="2"/>
          <w:sz w:val="32"/>
          <w:szCs w:val="32"/>
          <w:highlight w:val="none"/>
          <w:lang w:eastAsia="zh-CN"/>
        </w:rPr>
        <w:t>多措并举抓收入，增强财政保障能力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>年财政收入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任务基数3534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>万元。为确保20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>年财政收入任务的完成，准备采取以下措施: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eastAsia="zh-CN"/>
        </w:rPr>
        <w:t>一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>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着力加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强财源建设，提升财政硬核实力。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紧盯招商引资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实效，持续挖掘新的收入增长点。加强对重点项目的进程跟踪，推进项目尽快达产增效。完善财政收入管理体系，强化重点税源分析监测，强化目标导向，逐户引导企业增收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加大企业扶持，培育后续税源。加大对园区企业、骨干税源企业帮扶力度，加大招商引资力度，大力培植新兴税源，增强镇域经济发展后劲。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楷体_GB2312" w:hAnsi="楷体_GB2312" w:eastAsia="楷体_GB2312" w:cs="楷体_GB2312"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Cs/>
          <w:kern w:val="2"/>
          <w:szCs w:val="32"/>
          <w:highlight w:val="none"/>
        </w:rPr>
        <w:t>（二）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highlight w:val="none"/>
          <w:lang w:val="en-US" w:eastAsia="zh-CN" w:bidi="ar-SA"/>
        </w:rPr>
        <w:t>合理分配稳支出，推动镇域事业发展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调整优化支出结构，理顺保基本民生、保工资、保运转在财政支出中的优先顺序，确保“三保”支出不留硬缺口。加强预算管控，使厉行节约反对浪费走向制度化、常态化和长效化。</w:t>
      </w:r>
      <w:r>
        <w:rPr>
          <w:rFonts w:hint="eastAsia" w:ascii="仿宋_GB2312" w:hAnsi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二是坚持建设节约型政府。继续坚持政府过“紧日子”思想不动摇。规范“三公”经费管理，从预算编制环节源头上压缩“三公”经费预算规模。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楷体_GB2312" w:hAnsi="楷体_GB2312" w:eastAsia="楷体_GB2312" w:cs="楷体_GB2312"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Cs/>
          <w:kern w:val="2"/>
          <w:szCs w:val="32"/>
          <w:highlight w:val="none"/>
        </w:rPr>
        <w:t>（三）</w:t>
      </w:r>
      <w:r>
        <w:rPr>
          <w:rFonts w:hint="eastAsia" w:ascii="楷体_GB2312" w:hAnsi="楷体_GB2312" w:eastAsia="楷体_GB2312" w:cs="楷体_GB2312"/>
          <w:bCs/>
          <w:kern w:val="2"/>
          <w:szCs w:val="32"/>
          <w:highlight w:val="none"/>
          <w:lang w:eastAsia="zh-CN"/>
        </w:rPr>
        <w:t>严守底线防风险，完善财政监管体系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color w:val="auto"/>
          <w:kern w:val="2"/>
          <w:sz w:val="32"/>
          <w:szCs w:val="32"/>
          <w:highlight w:val="none"/>
          <w:shd w:val="clear" w:color="auto" w:fill="FFFFFF"/>
          <w:lang w:val="en-US" w:eastAsia="zh-CN" w:bidi="ar-SA"/>
        </w:rPr>
        <w:t>一是加大专项资金管理力度。严格按照专项资金使用方向，加快支出进度，确保将社会保障、教科文卫、城乡建设等专项资金用在刀刃上。二是提升财政信息公开质量。明确政府信息公开主体责任，确保公开的数据完整、真实、准确。着力建设“透明财政”。三是自觉接受人大监督。认真落实镇人大的决定、决议。强化主动接受人大监督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>各位代表，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eastAsia="zh-CN"/>
        </w:rPr>
        <w:t>初心如磐，使命在肩。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eastAsia="zh-CN"/>
        </w:rPr>
        <w:t>各项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>财政工作任务艰巨，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eastAsia="zh-CN"/>
        </w:rPr>
        <w:t>使命光荣。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>新形势下，我们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eastAsia="zh-CN"/>
        </w:rPr>
        <w:t>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>在镇党委的正确领导下，在镇人大的监督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eastAsia="zh-CN"/>
        </w:rPr>
        <w:t>支持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>下，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砥砺深耕、抢抓机遇、狠抓落实，全力保障镇域工作，推动财政保障能力达到新水平，努力在采育镇新的赶考之路上交出更优异的答卷。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0NDFkNDU2NDkwYWNlYjZhOTc3ZjBkYmI2ODQ0NGEifQ=="/>
  </w:docVars>
  <w:rsids>
    <w:rsidRoot w:val="326C53C5"/>
    <w:rsid w:val="2FD50A7A"/>
    <w:rsid w:val="326C53C5"/>
    <w:rsid w:val="3D3A6F1E"/>
    <w:rsid w:val="4605319D"/>
    <w:rsid w:val="7FB6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0"/>
    <w:pPr>
      <w:spacing w:line="288" w:lineRule="auto"/>
      <w:jc w:val="left"/>
    </w:pPr>
    <w:rPr>
      <w:rFonts w:ascii="宋体"/>
      <w:color w:val="000000"/>
      <w:szCs w:val="21"/>
    </w:r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"/>
    <w:basedOn w:val="1"/>
    <w:next w:val="1"/>
    <w:autoRedefine/>
    <w:qFormat/>
    <w:uiPriority w:val="0"/>
    <w:rPr>
      <w:rFonts w:eastAsia="仿宋_GB2312"/>
      <w:sz w:val="32"/>
    </w:rPr>
  </w:style>
  <w:style w:type="paragraph" w:styleId="5">
    <w:name w:val="toc 3"/>
    <w:basedOn w:val="1"/>
    <w:next w:val="1"/>
    <w:autoRedefine/>
    <w:qFormat/>
    <w:uiPriority w:val="0"/>
    <w:pPr>
      <w:ind w:left="840" w:leftChars="400"/>
    </w:p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11">
    <w:name w:val="p0"/>
    <w:basedOn w:val="1"/>
    <w:autoRedefine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12">
    <w:name w:val="Pa0"/>
    <w:basedOn w:val="1"/>
    <w:next w:val="1"/>
    <w:autoRedefine/>
    <w:qFormat/>
    <w:uiPriority w:val="99"/>
    <w:pPr>
      <w:autoSpaceDE w:val="0"/>
      <w:autoSpaceDN w:val="0"/>
      <w:adjustRightInd w:val="0"/>
      <w:spacing w:line="441" w:lineRule="atLeast"/>
      <w:jc w:val="left"/>
    </w:pPr>
    <w:rPr>
      <w:rFonts w:ascii="方正小标宋简体" w:eastAsia="方正小标宋简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2024-01-22T02:25:00Z</dcterms:created>
  <dc:creator>XYSD</dc:creator>
  <cp:lastModifiedBy>一小蝶儿豆腐</cp:lastModifiedBy>
  <cp:lastPrinted>2024-01-22T02:54:00Z</cp:lastPrinted>
  <dcterms:modified xsi:type="dcterms:W3CDTF">2024-02-04T06:56:42Z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8B673CD5E5AB47FCA9ABB25FD787B763_13</vt:lpwstr>
  </property>
</Properties>
</file>