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大兴区礼贤镇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预算年预算执行情况和202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年预算草案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录</w:t>
      </w:r>
    </w:p>
    <w:tbl>
      <w:tblPr>
        <w:tblStyle w:val="6"/>
        <w:tblW w:w="88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一、大兴区礼贤镇2024年一般公共预算收入预算表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二、大兴区礼贤镇2024年一般公共预算支出预算表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三、大兴区礼贤镇2024年本级一般公共预算支出预算表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四、大兴区礼贤镇2024年一般公共预算基本支出预算表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五、大兴区礼贤镇2024年一般公共预算“三公经费”财政拨款支出预算表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六、大兴区礼贤镇2024年政府性基金预算收入预算表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七、大兴区礼贤镇2024年政府性基金预算支出预算表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八、大兴区礼贤镇2024年本级政府性基金预算支出预算表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九、大兴区礼贤镇2024年国有资本经营预算收入预算表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十、大兴区礼贤镇2024年国有资本经营预算支出预算表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十一、大兴区礼贤镇2024年本级国有资本经营预算支出预算表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十二、大兴区礼贤镇2024年社会保险基金预算收入预算表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十三、大兴区礼贤镇2024年社会保险基金预算支出预算表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十四、大兴区礼贤镇2024年一般预算税收返还和转移支付明细表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十五、大兴区礼贤镇2024年一般公共预算对下级专项转移支付明细表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十六、大兴区礼贤镇2024年政府性基金预算转移支付明细表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十七、大兴区礼贤镇2024年政府性基金预算对下级专项转移支付明细表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十八、大兴区礼贤镇2024年一般公共预算大额项目绩效目标情况表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十九、大兴区礼贤镇2023年地方政府债务限额及余额预算情况表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二十、大兴区礼贤镇2023年地方政府一般债务余额情况表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二十一、大兴区礼贤镇2023年地方政府专项债务余额情况表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二十二、大兴区礼贤镇政府债券发行及还本付息情况表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二十三、其他重要事项的情况说明</w:t>
            </w:r>
          </w:p>
        </w:tc>
      </w:tr>
    </w:tbl>
    <w:p>
      <w:pPr>
        <w:spacing w:line="620" w:lineRule="exact"/>
        <w:ind w:firstLine="602" w:firstLineChars="200"/>
        <w:jc w:val="left"/>
        <w:rPr>
          <w:rFonts w:ascii="黑体" w:hAnsi="Tahoma" w:eastAsia="黑体" w:cs="Tahoma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一、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礼贤镇</w:t>
      </w:r>
      <w:r>
        <w:rPr>
          <w:rFonts w:ascii="黑体" w:hAnsi="Tahoma" w:eastAsia="黑体" w:cs="Tahoma"/>
          <w:color w:val="000000"/>
          <w:sz w:val="32"/>
          <w:szCs w:val="32"/>
        </w:rPr>
        <w:t>20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2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年一般公共预算收入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预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ind w:firstLine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礼贤镇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一般公共预算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58212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为上年执行数的94.72%，主要是因为2023年存在一次性增收情况，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财政收入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为税收返还形成的财政收入</w:t>
      </w:r>
      <w:r>
        <w:rPr>
          <w:rFonts w:hint="eastAsia" w:ascii="仿宋_GB2312" w:hAnsi="文星标宋" w:eastAsia="仿宋_GB2312" w:cs="宋体"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预算数4803万元，为上年执行数的35.02%万元，财政收入按照基数测算；非税收入无预算；一般性转移收入22973.92万元，为上年执行数的84.99%，专项转移支付收入20254.71万元，为上年执行数的110.36%；上年结余9929.76万元，为2023年结余的464.18%。</w:t>
      </w:r>
    </w:p>
    <w:p>
      <w:pPr>
        <w:ind w:firstLine="643" w:firstLineChars="200"/>
        <w:rPr>
          <w:rFonts w:hint="eastAsia" w:ascii="黑体" w:hAnsi="Tahoma" w:eastAsia="黑体" w:cs="Tahoma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</w:t>
      </w:r>
      <w:r>
        <w:rPr>
          <w:rFonts w:hint="eastAsia" w:ascii="黑体" w:hAnsi="文星标宋" w:eastAsia="黑体" w:cs="Tahoma"/>
          <w:b w:val="0"/>
          <w:bCs w:val="0"/>
          <w:color w:val="000000"/>
          <w:sz w:val="32"/>
          <w:szCs w:val="32"/>
          <w:lang w:val="en-US" w:eastAsia="zh-CN"/>
        </w:rPr>
        <w:t>《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大兴区礼贤镇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年一般公共预算支出预算表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黑体" w:hAnsi="Tahoma" w:eastAsia="黑体" w:cs="Tahoma"/>
          <w:b w:val="0"/>
          <w:bCs w:val="0"/>
          <w:color w:val="000000"/>
          <w:sz w:val="32"/>
          <w:szCs w:val="32"/>
          <w:lang w:val="en-US" w:eastAsia="zh-CN"/>
        </w:rPr>
        <w:t>的说明</w:t>
      </w:r>
    </w:p>
    <w:p>
      <w:pPr>
        <w:spacing w:line="620" w:lineRule="exact"/>
        <w:ind w:firstLine="640" w:firstLineChars="200"/>
        <w:rPr>
          <w:rFonts w:hint="eastAsia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2024年一般公共预算财政拨款支出54779.36万元，为上年预算执行数的114.11%，预算与上年执行差距的原因详见《礼贤镇2024年一般公共预算本级支出预算说明》说明，上解支出3413万元，为上年执行数的97.48%，主要是按照需上解项目测算，调整上解支出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三、关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本级一般公共预算支出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礼贤镇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年一般公共预算支出数为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54779.36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为上年预算执行数的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114.11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一般公共服务支出预算数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11328.98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为上年执行数的90.41%，主要为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2024年为打造节约型政府，压减一般性预算支出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2.教育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预算数64万元为上年执行数的6.36%,主要为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2024年预算无专项资金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旅游体育与传媒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支出预算执行数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140.84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,为上年执行数的79.2%,主要为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2024年预算无追加的专项资金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社会保障和就业支出预算数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2283.8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,为上年执行数的134.45%，为正常人员保险等事项增加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5.卫生健康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4017.87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为上年执行数的80.74%，2024年无区级专项预算安排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节能环保支出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预算数557.99万元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为上年执行数的83.17%，2024年无区级专项预算安排。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城乡社区支出预算数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9586.57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为上年执行数的139.23%，2024年无区级专项预算安排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农林水支出预算数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24828.29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为上年执行数的126.08%，2024年无区级专项预算安排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9.交通运输支出预算数10.55万元，为上年执行数的72.61%，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2024年预算无追加的专项资金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10.自然资源海洋气象等支出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231.31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为上年执行数的183.56%，2024年增加宅基地确权登记专项投入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0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</w:rPr>
        <w:t>灾害防治及应急管理支出预算数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228.65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为上年执行数的100%，无变动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12.2024年</w:t>
      </w:r>
      <w:r>
        <w:rPr>
          <w:rFonts w:hint="eastAsia" w:ascii="仿宋_GB2312" w:hAnsi="仿宋_GB2312" w:eastAsia="仿宋_GB2312" w:cs="仿宋_GB2312"/>
          <w:sz w:val="32"/>
          <w:szCs w:val="32"/>
        </w:rPr>
        <w:t>预备费为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620" w:lineRule="exact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关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于《大兴区礼贤镇2024年一般公共预算基本支出预算表》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礼贤镇2024年一般公共预算基本支出8696.88万元，其中：工资奖金津补贴3846.08万元，社会保障缴费1158.19万元，住房积金422.39万元，办公经费437.33万元，会议费1.4万元，培训费1万元，公务接待费1.5万元、公务用车运行维护费33万元、维修（护）费13万元，工资福利支出2674.03万元、商品和服务支出3.43万元、社会福利和救助0.13万元、离退休费105.4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礼贤镇202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年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一般公共预算“三公经费”财政拨款支出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预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" w:firstLineChars="19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礼贤镇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2023年年初预算数为34.5万元，2023年预算执行数为10.92万元，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年“三公经费”财政拨款预算数为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因公出国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2023年预算执行数为</w:t>
      </w:r>
      <w:r>
        <w:rPr>
          <w:rFonts w:hint="eastAsia" w:ascii="仿宋_GB2312" w:hAnsi="仿宋_GB2312" w:eastAsia="仿宋_GB2312" w:cs="仿宋_GB2312"/>
          <w:sz w:val="32"/>
          <w:szCs w:val="32"/>
        </w:rPr>
        <w:t>0万元，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2024年无预算安排。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公务接待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2023年预算执行数为</w:t>
      </w:r>
      <w:r>
        <w:rPr>
          <w:rFonts w:hint="eastAsia" w:ascii="仿宋_GB2312" w:hAnsi="仿宋_GB2312" w:eastAsia="仿宋_GB2312" w:cs="仿宋_GB2312"/>
          <w:sz w:val="32"/>
          <w:szCs w:val="32"/>
        </w:rPr>
        <w:t>0万元，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2024年预算安排1.5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2023年预算执行数为10.92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万元（全部为公车运行维护费，公车购置费为0万元），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2024年预算安排33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按编制内可用车辆安排预算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六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政府性基金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预算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收入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预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礼贤镇政府性基金收入均为转移支付,2024年预算数为5684.99万元，其中：一般性转移支付收入1959万元，较上年执行数无增减变化；专项转移支付收入3725.99万元，为上年执行数的25.29%，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2024年减少农村基础设施建设的预算安排。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礼贤镇202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政府性基金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预算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支出</w:t>
      </w: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 xml:space="preserve">2024年府性基金预算数为5684.99万元，为上年执行数的34.06%，其中：本级预算数为5684.99万元具体情况说明见《礼贤镇2023年本级政府性基金支出预算说明》，上解支出0万元。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礼贤镇2024年本级政府性基金预算支出预算表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政府性基金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预算数为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5684.99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城乡社区支出5616.50 万元，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为上年执行数的33.71%，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主要是因为2023年区追加基础建设专项基金较多；其他支出68.49 万元，</w:t>
      </w:r>
      <w:r>
        <w:rPr>
          <w:rFonts w:hint="eastAsia" w:ascii="仿宋_GB2312" w:hAnsi="文星标宋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为上年执行数的217.31%，主要是因为2024年追加用于体育事业的彩票公益金的预算安排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礼贤镇202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国有资本经营预算收入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预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算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礼贤镇202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国有资本经营预算支出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关于《大兴区礼贤镇2024年本级国有资本经营预算支出预算表》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礼贤镇2024年社会保险基金预算收入预算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礼贤镇2024年社会保险基金预算支出预算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礼贤镇2024年一般</w:t>
      </w:r>
      <w:bookmarkStart w:id="0" w:name="_GoBack"/>
      <w:bookmarkEnd w:id="0"/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预算税收返还和转移支付明细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十五、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礼贤镇2024年一般公共预算对下级专项转移支付明细表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ind w:firstLine="640" w:firstLineChars="200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ind w:firstLine="640" w:firstLineChars="200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十六、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礼贤镇2024年政府性基金预算转移支付明细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pStyle w:val="2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ind w:firstLine="640" w:firstLineChars="200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十七、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关于《大兴区礼贤镇2024年政府性基金预算对下级专项转移支付明细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pStyle w:val="2"/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ind w:firstLine="640" w:firstLineChars="200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十八、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大兴区礼贤镇2024年一般公共预算大额项目绩效目标情况表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pStyle w:val="2"/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2024年一般公共预算重点大额项目预算39项，预算金额37534.19万元，具体情况见公开表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十九、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关于《大兴区礼贤镇2023年地方政府债务限额及余额预算情况表》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二十</w:t>
      </w:r>
      <w:r>
        <w:rPr>
          <w:rFonts w:hint="eastAsia"/>
          <w:lang w:val="en-US" w:eastAsia="zh-CN"/>
        </w:rPr>
        <w:t>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关于《大兴区礼贤镇2023年地方政府一般债务余额情况表》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二十一、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关于《大兴区礼贤镇2023年地方政府专项债务余额情况表》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二十二、关于《大兴区</w:t>
      </w: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礼贤镇政府债券发行及还本付息情况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表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黑体" w:hAnsi="Tahoma" w:eastAsia="黑体" w:cs="Tahoma"/>
          <w:color w:val="000000"/>
          <w:sz w:val="32"/>
          <w:szCs w:val="32"/>
          <w:lang w:val="en-US" w:eastAsia="zh-CN"/>
        </w:rPr>
        <w:t>的说明</w:t>
      </w:r>
    </w:p>
    <w:p>
      <w:pPr>
        <w:widowControl/>
        <w:ind w:firstLine="640" w:firstLineChars="200"/>
        <w:jc w:val="left"/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本单位不涉及上述表内数据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widowControl/>
        <w:ind w:firstLine="640" w:firstLineChars="200"/>
        <w:jc w:val="left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二十三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、其他重要事项的情况说明</w:t>
      </w:r>
    </w:p>
    <w:p>
      <w:pPr>
        <w:widowControl/>
        <w:ind w:firstLine="643" w:firstLineChars="200"/>
        <w:jc w:val="left"/>
        <w:rPr>
          <w:rFonts w:ascii="仿宋_GB2312" w:hAnsi="文星标宋" w:eastAsia="仿宋_GB2312" w:cs="宋体"/>
          <w:b/>
          <w:bCs w:val="0"/>
          <w:color w:val="000000"/>
          <w:kern w:val="0"/>
          <w:sz w:val="32"/>
          <w:szCs w:val="32"/>
        </w:rPr>
      </w:pPr>
      <w:r>
        <w:rPr>
          <w:rFonts w:ascii="仿宋_GB2312" w:hAnsi="文星标宋" w:eastAsia="仿宋_GB2312" w:cs="宋体"/>
          <w:b/>
          <w:bCs w:val="0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文星标宋" w:eastAsia="仿宋_GB2312" w:cs="宋体"/>
          <w:b/>
          <w:bCs w:val="0"/>
          <w:color w:val="000000"/>
          <w:kern w:val="0"/>
          <w:sz w:val="32"/>
          <w:szCs w:val="32"/>
        </w:rPr>
        <w:t>举借债务情况说明</w:t>
      </w:r>
    </w:p>
    <w:p>
      <w:pPr>
        <w:widowControl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礼贤镇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无举借债务情况。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ascii="仿宋_GB2312" w:hAnsi="仿宋_GB2312" w:eastAsia="仿宋_GB2312" w:cs="仿宋_GB2312"/>
          <w:b/>
          <w:bCs w:val="0"/>
          <w:sz w:val="32"/>
          <w:szCs w:val="32"/>
          <w:highlight w:val="lightGray"/>
        </w:rPr>
      </w:pPr>
      <w:r>
        <w:rPr>
          <w:rFonts w:hint="eastAsia" w:ascii="仿宋_GB2312" w:hAnsi="文星标宋" w:eastAsia="仿宋_GB2312" w:cs="宋体"/>
          <w:b/>
          <w:bCs w:val="0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预算绩效管理工作情况</w:t>
      </w:r>
    </w:p>
    <w:p>
      <w:pPr>
        <w:widowControl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礼贤镇根据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《大兴区预算绩效管理办法》，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结合本镇工作实际制定礼贤镇2024年预算绩效管理工作方案，将绩效管理理念贯穿预算编制、执行、决算全过程，并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</w:rPr>
        <w:t>加强成本绩效分析，强化成本绩效分析结果应用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665D"/>
    <w:multiLevelType w:val="singleLevel"/>
    <w:tmpl w:val="031B665D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579"/>
    <w:rsid w:val="000011B1"/>
    <w:rsid w:val="00014763"/>
    <w:rsid w:val="00032CC3"/>
    <w:rsid w:val="00071890"/>
    <w:rsid w:val="0007348C"/>
    <w:rsid w:val="000F1810"/>
    <w:rsid w:val="000F4CB0"/>
    <w:rsid w:val="00114C13"/>
    <w:rsid w:val="00170928"/>
    <w:rsid w:val="00180B9B"/>
    <w:rsid w:val="001A0409"/>
    <w:rsid w:val="00233989"/>
    <w:rsid w:val="00285FBC"/>
    <w:rsid w:val="002B5E57"/>
    <w:rsid w:val="002D2537"/>
    <w:rsid w:val="002D6802"/>
    <w:rsid w:val="003256BB"/>
    <w:rsid w:val="0034353A"/>
    <w:rsid w:val="003B1473"/>
    <w:rsid w:val="003C1D89"/>
    <w:rsid w:val="003E5DC2"/>
    <w:rsid w:val="003E6D61"/>
    <w:rsid w:val="003F1C05"/>
    <w:rsid w:val="003F5984"/>
    <w:rsid w:val="004020D2"/>
    <w:rsid w:val="00491E78"/>
    <w:rsid w:val="004F37BC"/>
    <w:rsid w:val="00590E1A"/>
    <w:rsid w:val="00696666"/>
    <w:rsid w:val="006E6879"/>
    <w:rsid w:val="007052C4"/>
    <w:rsid w:val="007102A1"/>
    <w:rsid w:val="00714579"/>
    <w:rsid w:val="00774DD7"/>
    <w:rsid w:val="00795A35"/>
    <w:rsid w:val="007A621D"/>
    <w:rsid w:val="007B3C13"/>
    <w:rsid w:val="00801391"/>
    <w:rsid w:val="00845F4B"/>
    <w:rsid w:val="0088681D"/>
    <w:rsid w:val="00890887"/>
    <w:rsid w:val="00897EFE"/>
    <w:rsid w:val="00926B19"/>
    <w:rsid w:val="00957C3F"/>
    <w:rsid w:val="00966A1C"/>
    <w:rsid w:val="00A4220E"/>
    <w:rsid w:val="00A61BB2"/>
    <w:rsid w:val="00A94E84"/>
    <w:rsid w:val="00AE0517"/>
    <w:rsid w:val="00B5664E"/>
    <w:rsid w:val="00B66FF1"/>
    <w:rsid w:val="00B710A9"/>
    <w:rsid w:val="00B71A82"/>
    <w:rsid w:val="00C0025E"/>
    <w:rsid w:val="00C27C19"/>
    <w:rsid w:val="00C31F0B"/>
    <w:rsid w:val="00C879B1"/>
    <w:rsid w:val="00C920A4"/>
    <w:rsid w:val="00D27E3E"/>
    <w:rsid w:val="00D73000"/>
    <w:rsid w:val="00D9534F"/>
    <w:rsid w:val="00DF4B50"/>
    <w:rsid w:val="00E15970"/>
    <w:rsid w:val="00E224E4"/>
    <w:rsid w:val="00E561CD"/>
    <w:rsid w:val="00E612CD"/>
    <w:rsid w:val="00E70E11"/>
    <w:rsid w:val="00E81B84"/>
    <w:rsid w:val="00EA0BD5"/>
    <w:rsid w:val="00EB711E"/>
    <w:rsid w:val="00F033AA"/>
    <w:rsid w:val="00F25BC0"/>
    <w:rsid w:val="00F3683A"/>
    <w:rsid w:val="00F4444B"/>
    <w:rsid w:val="00F83619"/>
    <w:rsid w:val="00FD57DC"/>
    <w:rsid w:val="02F91424"/>
    <w:rsid w:val="036E7255"/>
    <w:rsid w:val="04B801B3"/>
    <w:rsid w:val="05F21B29"/>
    <w:rsid w:val="06804090"/>
    <w:rsid w:val="083315C2"/>
    <w:rsid w:val="08872358"/>
    <w:rsid w:val="08EA30CD"/>
    <w:rsid w:val="0A0A6DD4"/>
    <w:rsid w:val="0A200654"/>
    <w:rsid w:val="0A5E2EB9"/>
    <w:rsid w:val="0ACB049C"/>
    <w:rsid w:val="0B153B83"/>
    <w:rsid w:val="0B2F615C"/>
    <w:rsid w:val="0B7379F5"/>
    <w:rsid w:val="0BA55134"/>
    <w:rsid w:val="0C305891"/>
    <w:rsid w:val="0C8B2073"/>
    <w:rsid w:val="0CFB1BF5"/>
    <w:rsid w:val="0D3C08CC"/>
    <w:rsid w:val="0D772B41"/>
    <w:rsid w:val="0DC04E93"/>
    <w:rsid w:val="0E6F3118"/>
    <w:rsid w:val="0E9565DD"/>
    <w:rsid w:val="0E9B1237"/>
    <w:rsid w:val="0F43362F"/>
    <w:rsid w:val="10814AAE"/>
    <w:rsid w:val="11065C0C"/>
    <w:rsid w:val="14B87A23"/>
    <w:rsid w:val="156977B0"/>
    <w:rsid w:val="15C56EE7"/>
    <w:rsid w:val="161529CC"/>
    <w:rsid w:val="16983FE3"/>
    <w:rsid w:val="18EA5492"/>
    <w:rsid w:val="19043509"/>
    <w:rsid w:val="199B21A3"/>
    <w:rsid w:val="1A790844"/>
    <w:rsid w:val="1B024387"/>
    <w:rsid w:val="1B581499"/>
    <w:rsid w:val="1B6F2705"/>
    <w:rsid w:val="1CAE42B7"/>
    <w:rsid w:val="1CF72489"/>
    <w:rsid w:val="1D44579E"/>
    <w:rsid w:val="1E6B3A70"/>
    <w:rsid w:val="1E9C1AD9"/>
    <w:rsid w:val="1EB44A9F"/>
    <w:rsid w:val="1F64367B"/>
    <w:rsid w:val="1FF33600"/>
    <w:rsid w:val="20254CE8"/>
    <w:rsid w:val="2041182C"/>
    <w:rsid w:val="207F19D9"/>
    <w:rsid w:val="20DE288A"/>
    <w:rsid w:val="21D04F6F"/>
    <w:rsid w:val="21DC0E5F"/>
    <w:rsid w:val="222A0F59"/>
    <w:rsid w:val="22861E3E"/>
    <w:rsid w:val="230E220F"/>
    <w:rsid w:val="23FD5FDC"/>
    <w:rsid w:val="2400550C"/>
    <w:rsid w:val="24862BB6"/>
    <w:rsid w:val="24875AA0"/>
    <w:rsid w:val="24B14700"/>
    <w:rsid w:val="25020E44"/>
    <w:rsid w:val="25B5746E"/>
    <w:rsid w:val="263C55A4"/>
    <w:rsid w:val="269D2D2C"/>
    <w:rsid w:val="26A55BF0"/>
    <w:rsid w:val="26A94FD4"/>
    <w:rsid w:val="28995C2A"/>
    <w:rsid w:val="28C13594"/>
    <w:rsid w:val="28E9015D"/>
    <w:rsid w:val="293B573B"/>
    <w:rsid w:val="2AA619BE"/>
    <w:rsid w:val="2B447EC3"/>
    <w:rsid w:val="2BF8439D"/>
    <w:rsid w:val="2CF81093"/>
    <w:rsid w:val="2EF00B7E"/>
    <w:rsid w:val="2F282D35"/>
    <w:rsid w:val="2F2F5D6D"/>
    <w:rsid w:val="2FA45F89"/>
    <w:rsid w:val="30543389"/>
    <w:rsid w:val="314220C1"/>
    <w:rsid w:val="3149210E"/>
    <w:rsid w:val="31556185"/>
    <w:rsid w:val="31C72E63"/>
    <w:rsid w:val="31DF1599"/>
    <w:rsid w:val="31FA74A6"/>
    <w:rsid w:val="321A6CDF"/>
    <w:rsid w:val="32FA4FED"/>
    <w:rsid w:val="33B83F0C"/>
    <w:rsid w:val="34537150"/>
    <w:rsid w:val="34860963"/>
    <w:rsid w:val="36681E2C"/>
    <w:rsid w:val="36CB31EC"/>
    <w:rsid w:val="37851063"/>
    <w:rsid w:val="37D12DB7"/>
    <w:rsid w:val="38606C84"/>
    <w:rsid w:val="39FA1154"/>
    <w:rsid w:val="3AE37EB9"/>
    <w:rsid w:val="3B5D0361"/>
    <w:rsid w:val="3D0834A0"/>
    <w:rsid w:val="3D2C138D"/>
    <w:rsid w:val="3D51199D"/>
    <w:rsid w:val="3FC3386A"/>
    <w:rsid w:val="410A3FA9"/>
    <w:rsid w:val="42BA5695"/>
    <w:rsid w:val="42CF2027"/>
    <w:rsid w:val="435B715B"/>
    <w:rsid w:val="4457051B"/>
    <w:rsid w:val="4565204C"/>
    <w:rsid w:val="45741E62"/>
    <w:rsid w:val="461A2231"/>
    <w:rsid w:val="46776FF2"/>
    <w:rsid w:val="47A25A58"/>
    <w:rsid w:val="47FE08AD"/>
    <w:rsid w:val="494D4ECC"/>
    <w:rsid w:val="497D56C8"/>
    <w:rsid w:val="49FD0462"/>
    <w:rsid w:val="4A2513ED"/>
    <w:rsid w:val="4C474A97"/>
    <w:rsid w:val="4C893BCB"/>
    <w:rsid w:val="4D2974D6"/>
    <w:rsid w:val="4D426481"/>
    <w:rsid w:val="4D542BB9"/>
    <w:rsid w:val="4D6277D3"/>
    <w:rsid w:val="4DA15A46"/>
    <w:rsid w:val="4EE3199A"/>
    <w:rsid w:val="4F954938"/>
    <w:rsid w:val="4FE50BB2"/>
    <w:rsid w:val="50C253BC"/>
    <w:rsid w:val="50C61652"/>
    <w:rsid w:val="50CA7EE7"/>
    <w:rsid w:val="5203693C"/>
    <w:rsid w:val="524F2A28"/>
    <w:rsid w:val="52DC630E"/>
    <w:rsid w:val="52EE1AB7"/>
    <w:rsid w:val="53721ECB"/>
    <w:rsid w:val="555A64B2"/>
    <w:rsid w:val="55755062"/>
    <w:rsid w:val="560023AD"/>
    <w:rsid w:val="560A618E"/>
    <w:rsid w:val="568C2D1F"/>
    <w:rsid w:val="56C637AA"/>
    <w:rsid w:val="574042EB"/>
    <w:rsid w:val="58201FC5"/>
    <w:rsid w:val="583F50A1"/>
    <w:rsid w:val="58D16C75"/>
    <w:rsid w:val="59193186"/>
    <w:rsid w:val="59351084"/>
    <w:rsid w:val="5A89200E"/>
    <w:rsid w:val="5ABB113E"/>
    <w:rsid w:val="5AFC56EB"/>
    <w:rsid w:val="5B446BE4"/>
    <w:rsid w:val="5C496D59"/>
    <w:rsid w:val="5D082A3D"/>
    <w:rsid w:val="5D163D70"/>
    <w:rsid w:val="5D5240D3"/>
    <w:rsid w:val="5E061250"/>
    <w:rsid w:val="5E723CEE"/>
    <w:rsid w:val="5F363A00"/>
    <w:rsid w:val="5F447F30"/>
    <w:rsid w:val="60261511"/>
    <w:rsid w:val="6042093F"/>
    <w:rsid w:val="60806C99"/>
    <w:rsid w:val="612B271E"/>
    <w:rsid w:val="623948BE"/>
    <w:rsid w:val="62FD18DC"/>
    <w:rsid w:val="63947476"/>
    <w:rsid w:val="647702DA"/>
    <w:rsid w:val="64DE667A"/>
    <w:rsid w:val="65482B8B"/>
    <w:rsid w:val="659713CC"/>
    <w:rsid w:val="65DD1EEA"/>
    <w:rsid w:val="66C34855"/>
    <w:rsid w:val="6758379B"/>
    <w:rsid w:val="675C7AE2"/>
    <w:rsid w:val="68317132"/>
    <w:rsid w:val="683822C6"/>
    <w:rsid w:val="68D1615F"/>
    <w:rsid w:val="69185F55"/>
    <w:rsid w:val="69771F38"/>
    <w:rsid w:val="6A7472A1"/>
    <w:rsid w:val="6B0A4850"/>
    <w:rsid w:val="6B4A2CD1"/>
    <w:rsid w:val="6C810662"/>
    <w:rsid w:val="6D4A2B89"/>
    <w:rsid w:val="6D4B0D40"/>
    <w:rsid w:val="6D765B4F"/>
    <w:rsid w:val="6E16394E"/>
    <w:rsid w:val="6F667C3D"/>
    <w:rsid w:val="6F6F73A9"/>
    <w:rsid w:val="714D5803"/>
    <w:rsid w:val="71B274D4"/>
    <w:rsid w:val="71D129F4"/>
    <w:rsid w:val="73B1457D"/>
    <w:rsid w:val="741A340C"/>
    <w:rsid w:val="746D72DB"/>
    <w:rsid w:val="755D2E15"/>
    <w:rsid w:val="75AE22E7"/>
    <w:rsid w:val="762F7EAC"/>
    <w:rsid w:val="7689509A"/>
    <w:rsid w:val="778C51DF"/>
    <w:rsid w:val="77C66CB1"/>
    <w:rsid w:val="77ED67E6"/>
    <w:rsid w:val="78D825C1"/>
    <w:rsid w:val="78FF087F"/>
    <w:rsid w:val="79CF6F47"/>
    <w:rsid w:val="79E2453E"/>
    <w:rsid w:val="7A534910"/>
    <w:rsid w:val="7A87258A"/>
    <w:rsid w:val="7A9668FD"/>
    <w:rsid w:val="7A985B3D"/>
    <w:rsid w:val="7AD57190"/>
    <w:rsid w:val="7D0C6EE4"/>
    <w:rsid w:val="7D36196D"/>
    <w:rsid w:val="7D617509"/>
    <w:rsid w:val="7D6463D1"/>
    <w:rsid w:val="7E026A4B"/>
    <w:rsid w:val="7E123C80"/>
    <w:rsid w:val="7E5456B8"/>
    <w:rsid w:val="7F21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134</Words>
  <Characters>764</Characters>
  <Lines>6</Lines>
  <Paragraphs>1</Paragraphs>
  <TotalTime>4</TotalTime>
  <ScaleCrop>false</ScaleCrop>
  <LinksUpToDate>false</LinksUpToDate>
  <CharactersWithSpaces>897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2016-02-14T07:57:00Z</dcterms:created>
  <dc:creator>微软用户</dc:creator>
  <cp:lastModifiedBy>孔祥祎</cp:lastModifiedBy>
  <cp:lastPrinted>2024-10-16T07:26:00Z</cp:lastPrinted>
  <dcterms:modified xsi:type="dcterms:W3CDTF">2024-10-29T06:51:09Z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