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D6870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大兴区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魏善庄镇2024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年预算公开套表说明</w:t>
      </w:r>
    </w:p>
    <w:p w14:paraId="78405711">
      <w:pPr>
        <w:jc w:val="center"/>
        <w:rPr>
          <w:sz w:val="30"/>
          <w:szCs w:val="30"/>
        </w:rPr>
      </w:pPr>
    </w:p>
    <w:p w14:paraId="4C92532F">
      <w:pPr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一、大兴区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魏善庄镇2024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年一般公共预算收入预算表</w:t>
      </w:r>
    </w:p>
    <w:p w14:paraId="47411999">
      <w:pPr>
        <w:ind w:firstLine="600"/>
        <w:rPr>
          <w:rFonts w:ascii="仿宋" w:hAnsi="仿宋" w:eastAsia="仿宋" w:cs="仿宋"/>
          <w:sz w:val="84"/>
          <w:szCs w:val="84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魏善庄镇2023年</w:t>
      </w:r>
      <w:r>
        <w:rPr>
          <w:rFonts w:hint="eastAsia" w:ascii="仿宋" w:hAnsi="仿宋" w:eastAsia="仿宋" w:cs="仿宋"/>
          <w:sz w:val="32"/>
          <w:szCs w:val="32"/>
        </w:rPr>
        <w:t>财政收入预算执行数为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10221.86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增加278.14</w:t>
      </w:r>
      <w:r>
        <w:rPr>
          <w:rFonts w:hint="eastAsia" w:ascii="仿宋" w:hAnsi="仿宋" w:eastAsia="仿宋" w:cs="仿宋"/>
          <w:sz w:val="32"/>
          <w:szCs w:val="32"/>
        </w:rPr>
        <w:t xml:space="preserve">万元，其中： </w:t>
      </w:r>
    </w:p>
    <w:p w14:paraId="38407CFF"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增值税形成财政收入执行数为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4503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5178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增加675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FF5AF4D">
      <w:pPr>
        <w:pStyle w:val="9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城建税形成财政收入执行数为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887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356C8601">
      <w:pPr>
        <w:pStyle w:val="9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企业所得税形成财政收入执行数为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2063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2063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36070DBB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房产税形成财政收入执行数为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2212661B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印花税形成财政收入执行数为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254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2232ABAB">
      <w:pPr>
        <w:pStyle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49AD00B1"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增值税</w:t>
      </w:r>
      <w:r>
        <w:rPr>
          <w:rFonts w:hint="eastAsia" w:ascii="仿宋" w:hAnsi="仿宋" w:eastAsia="仿宋" w:cs="仿宋"/>
          <w:sz w:val="32"/>
          <w:szCs w:val="32"/>
        </w:rPr>
        <w:t>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76C956A7"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</w:rPr>
        <w:t>税形成财政收入执行数为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，2024</w:t>
      </w:r>
      <w:r>
        <w:rPr>
          <w:rFonts w:hint="eastAsia" w:ascii="仿宋" w:hAnsi="仿宋" w:eastAsia="仿宋" w:cs="仿宋"/>
          <w:sz w:val="32"/>
          <w:szCs w:val="32"/>
        </w:rPr>
        <w:t>年预算数比上年执行数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无增减变化。</w:t>
      </w:r>
    </w:p>
    <w:p w14:paraId="57FE7097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年一般公共预算支出预算表</w:t>
      </w:r>
    </w:p>
    <w:p w14:paraId="7A6A94E4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魏善庄镇2024</w:t>
      </w:r>
      <w:r>
        <w:rPr>
          <w:rFonts w:hint="eastAsia" w:ascii="仿宋" w:hAnsi="仿宋" w:eastAsia="仿宋" w:cs="仿宋"/>
          <w:sz w:val="32"/>
          <w:szCs w:val="32"/>
        </w:rPr>
        <w:t>年一般公共预算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支出总</w:t>
      </w:r>
      <w:r>
        <w:rPr>
          <w:rFonts w:hint="eastAsia" w:ascii="仿宋" w:hAnsi="仿宋" w:eastAsia="仿宋" w:cs="仿宋"/>
          <w:sz w:val="32"/>
          <w:szCs w:val="32"/>
        </w:rPr>
        <w:t>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58545.45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54464.99万元，上解支出3280.46万元，预备费支出800万元。</w:t>
      </w:r>
    </w:p>
    <w:p w14:paraId="33126A02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本级支出主要的增减变化原因：部分专项转移支付资金在预算执行过程中下达，因此预算数为上年执行数的86.26%。</w:t>
      </w:r>
    </w:p>
    <w:p w14:paraId="5551B082">
      <w:pPr>
        <w:pStyle w:val="9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上解支出主要的增减变化原因：上解支出主要是根据实际情况测算，与执行数有差异。</w:t>
      </w:r>
    </w:p>
    <w:p w14:paraId="15BE71FB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一般公共预算支出预算表</w:t>
      </w:r>
    </w:p>
    <w:p w14:paraId="75B3041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魏善庄镇2023年</w:t>
      </w:r>
      <w:r>
        <w:rPr>
          <w:rFonts w:hint="eastAsia" w:ascii="仿宋" w:hAnsi="仿宋" w:eastAsia="仿宋" w:cs="仿宋"/>
          <w:sz w:val="32"/>
          <w:szCs w:val="32"/>
        </w:rPr>
        <w:t>一般公共预算支出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执行数为66128.52万元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2024年预算数为58545.45万元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其中：</w:t>
      </w:r>
    </w:p>
    <w:p w14:paraId="60F84B43"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1.一般公共服务支出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8072.73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7005.83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减少1066.9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31E6ADD2"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.文化旅游体育与传媒支出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371.89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251.48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减少120.41万元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3C3CB95">
      <w:pPr>
        <w:pStyle w:val="9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.社会保障和就业支出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1493.4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1670.25</w:t>
      </w:r>
      <w:r>
        <w:rPr>
          <w:rFonts w:hint="eastAsia" w:ascii="仿宋" w:hAnsi="仿宋" w:eastAsia="仿宋" w:cs="仿宋"/>
          <w:sz w:val="32"/>
          <w:szCs w:val="32"/>
        </w:rPr>
        <w:t>万元,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增加176.85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48E287EB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.卫生健康支出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6945.68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4130.05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2815.63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9F7F200">
      <w:pPr>
        <w:pStyle w:val="9"/>
        <w:ind w:firstLine="640"/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.节能环保支出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947.28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1117.68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增加170.4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4FD60F4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.城乡社区支出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13869.4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12245.43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1623.97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7C89E046">
      <w:pPr>
        <w:pStyle w:val="9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.农林水支出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24377.69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27620.7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增加3243.01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A4733D3"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.交通运输支出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156.7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128.91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减少27.79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393C209">
      <w:pPr>
        <w:pStyle w:val="9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9.自然资源海洋气象等支出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145.35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294.66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增加149.31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4A128B5B">
      <w:pPr>
        <w:pStyle w:val="9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10.住房保障支出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26.15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减少26.15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302E878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一般公共预算基本支出预算表的说明</w:t>
      </w:r>
    </w:p>
    <w:p w14:paraId="224CAB4C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魏善庄镇2024年</w:t>
      </w:r>
      <w:r>
        <w:rPr>
          <w:rFonts w:hint="eastAsia" w:ascii="仿宋" w:hAnsi="仿宋" w:eastAsia="仿宋" w:cs="仿宋"/>
          <w:sz w:val="32"/>
          <w:szCs w:val="32"/>
        </w:rPr>
        <w:t>一般公共预算基本支出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7358.32</w:t>
      </w:r>
      <w:r>
        <w:rPr>
          <w:rFonts w:hint="eastAsia" w:ascii="仿宋" w:hAnsi="仿宋" w:eastAsia="仿宋" w:cs="仿宋"/>
          <w:sz w:val="32"/>
          <w:szCs w:val="32"/>
        </w:rPr>
        <w:t>万元，其中：工资奖金津补贴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3377.01</w:t>
      </w:r>
      <w:r>
        <w:rPr>
          <w:rFonts w:hint="eastAsia" w:ascii="仿宋" w:hAnsi="仿宋" w:eastAsia="仿宋" w:cs="仿宋"/>
          <w:sz w:val="32"/>
          <w:szCs w:val="32"/>
        </w:rPr>
        <w:t>万元，社会保障缴费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1143.5</w:t>
      </w:r>
      <w:r>
        <w:rPr>
          <w:rFonts w:hint="eastAsia" w:ascii="仿宋" w:hAnsi="仿宋" w:eastAsia="仿宋" w:cs="仿宋"/>
          <w:sz w:val="32"/>
          <w:szCs w:val="32"/>
        </w:rPr>
        <w:t>万元，住房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</w:t>
      </w:r>
      <w:r>
        <w:rPr>
          <w:rFonts w:hint="eastAsia" w:ascii="仿宋" w:hAnsi="仿宋" w:eastAsia="仿宋" w:cs="仿宋"/>
          <w:sz w:val="32"/>
          <w:szCs w:val="32"/>
        </w:rPr>
        <w:t>积金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430</w:t>
      </w:r>
      <w:r>
        <w:rPr>
          <w:rFonts w:hint="eastAsia" w:ascii="仿宋" w:hAnsi="仿宋" w:eastAsia="仿宋" w:cs="仿宋"/>
          <w:sz w:val="32"/>
          <w:szCs w:val="32"/>
        </w:rPr>
        <w:t>万元，办公经费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431.03</w:t>
      </w:r>
      <w:r>
        <w:rPr>
          <w:rFonts w:hint="eastAsia" w:ascii="仿宋" w:hAnsi="仿宋" w:eastAsia="仿宋" w:cs="仿宋"/>
          <w:sz w:val="32"/>
          <w:szCs w:val="32"/>
        </w:rPr>
        <w:t>万元，会议费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万元，培训费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1.7</w:t>
      </w:r>
      <w:r>
        <w:rPr>
          <w:rFonts w:hint="eastAsia" w:ascii="仿宋" w:hAnsi="仿宋" w:eastAsia="仿宋" w:cs="仿宋"/>
          <w:sz w:val="32"/>
          <w:szCs w:val="32"/>
        </w:rPr>
        <w:t>万元、公务用车运行维护费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36.3</w:t>
      </w:r>
      <w:r>
        <w:rPr>
          <w:rFonts w:hint="eastAsia" w:ascii="仿宋" w:hAnsi="仿宋" w:eastAsia="仿宋" w:cs="仿宋"/>
          <w:sz w:val="32"/>
          <w:szCs w:val="32"/>
        </w:rPr>
        <w:t>万元、维修（护）费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28.45</w:t>
      </w:r>
      <w:r>
        <w:rPr>
          <w:rFonts w:hint="eastAsia" w:ascii="仿宋" w:hAnsi="仿宋" w:eastAsia="仿宋" w:cs="仿宋"/>
          <w:sz w:val="32"/>
          <w:szCs w:val="32"/>
        </w:rPr>
        <w:t>万元，工资福利支出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1811.97</w:t>
      </w:r>
      <w:r>
        <w:rPr>
          <w:rFonts w:hint="eastAsia" w:ascii="仿宋" w:hAnsi="仿宋" w:eastAsia="仿宋" w:cs="仿宋"/>
          <w:sz w:val="32"/>
          <w:szCs w:val="32"/>
        </w:rPr>
        <w:t>万元、商品和服务支出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2.14</w:t>
      </w:r>
      <w:r>
        <w:rPr>
          <w:rFonts w:hint="eastAsia" w:ascii="仿宋" w:hAnsi="仿宋" w:eastAsia="仿宋" w:cs="仿宋"/>
          <w:sz w:val="32"/>
          <w:szCs w:val="32"/>
        </w:rPr>
        <w:t>万元、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奖励金0.11万元、退休费87.11万元。</w:t>
      </w:r>
    </w:p>
    <w:p w14:paraId="1238E32F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一般公共预算“三公经费”财政拨款支出预算表</w:t>
      </w:r>
    </w:p>
    <w:p w14:paraId="0C50C510">
      <w:pPr>
        <w:ind w:firstLine="608" w:firstLineChars="19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魏善庄镇2023年</w:t>
      </w:r>
      <w:r>
        <w:rPr>
          <w:rFonts w:hint="eastAsia" w:ascii="仿宋" w:hAnsi="仿宋" w:eastAsia="仿宋" w:cs="仿宋"/>
          <w:sz w:val="32"/>
          <w:szCs w:val="32"/>
        </w:rPr>
        <w:t>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82.44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“三公经费”财政拨款预算数为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</w:p>
    <w:p w14:paraId="5F80C3E1">
      <w:pPr>
        <w:ind w:firstLine="608" w:firstLineChars="19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1.因公出国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预算执行数为0万元，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无预算安排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，无增减变化。</w:t>
      </w:r>
    </w:p>
    <w:p w14:paraId="3DC7632A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2.公务接待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预算执行数为0万元，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2024年预算较2023年预算执行增加1.7万元。</w:t>
      </w:r>
    </w:p>
    <w:p w14:paraId="0E6981C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3.公务用车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82.44</w:t>
      </w:r>
      <w:r>
        <w:rPr>
          <w:rFonts w:hint="eastAsia" w:ascii="仿宋" w:hAnsi="仿宋" w:eastAsia="仿宋" w:cs="仿宋"/>
          <w:sz w:val="32"/>
          <w:szCs w:val="32"/>
        </w:rPr>
        <w:t>万元（公车运行维护费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23.99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公务用车购置费58.45万元</w:t>
      </w:r>
      <w:r>
        <w:rPr>
          <w:rFonts w:hint="eastAsia" w:ascii="仿宋" w:hAnsi="仿宋" w:eastAsia="仿宋" w:cs="仿宋"/>
          <w:sz w:val="32"/>
          <w:szCs w:val="32"/>
        </w:rPr>
        <w:t>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36.3</w:t>
      </w:r>
      <w:r>
        <w:rPr>
          <w:rFonts w:hint="eastAsia" w:ascii="仿宋" w:hAnsi="仿宋" w:eastAsia="仿宋" w:cs="仿宋"/>
          <w:sz w:val="32"/>
          <w:szCs w:val="32"/>
        </w:rPr>
        <w:t>万元（按车辆编制数安排预算）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2024年预算较2023年执行数减少44.44万元。</w:t>
      </w:r>
    </w:p>
    <w:p w14:paraId="65B86D39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魏善庄镇2024年一般公共预算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专项转移支付明细表</w:t>
      </w:r>
    </w:p>
    <w:p w14:paraId="0F52123E">
      <w:pPr>
        <w:pStyle w:val="2"/>
        <w:numPr>
          <w:ilvl w:val="0"/>
          <w:numId w:val="0"/>
        </w:numPr>
        <w:ind w:firstLine="64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大兴区魏善庄镇2024年一般公共预算专项转移支付支出24063.75万元，主要支出科目如下：</w:t>
      </w:r>
    </w:p>
    <w:p w14:paraId="10A1283E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一般公共服务支出339.26万元；</w:t>
      </w:r>
    </w:p>
    <w:p w14:paraId="6765DD45">
      <w:pPr>
        <w:pStyle w:val="2"/>
        <w:rPr>
          <w:rFonts w:hint="default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文化旅游体育与传媒支出0.5万元；</w:t>
      </w:r>
    </w:p>
    <w:p w14:paraId="0BAB27E6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社会保障和就业支出38.68万元；</w:t>
      </w:r>
    </w:p>
    <w:p w14:paraId="0CEAD5D3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卫生健康支出634.88万元；</w:t>
      </w:r>
    </w:p>
    <w:p w14:paraId="06E9B384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节能环保支出512.64万元；</w:t>
      </w:r>
    </w:p>
    <w:p w14:paraId="0C5A74E0">
      <w:pPr>
        <w:pStyle w:val="2"/>
        <w:rPr>
          <w:rFonts w:hint="default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城乡社区支出232万元；</w:t>
      </w:r>
    </w:p>
    <w:p w14:paraId="34EDFFA2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农林水支出22305.79万元；</w:t>
      </w:r>
    </w:p>
    <w:p w14:paraId="26A616EE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政府性基金收入预算表</w:t>
      </w:r>
    </w:p>
    <w:p w14:paraId="1CBEAA85">
      <w:pPr>
        <w:rPr>
          <w:rFonts w:hint="eastAsia" w:eastAsia="仿宋"/>
          <w:sz w:val="30"/>
          <w:szCs w:val="30"/>
          <w:highlight w:val="yellow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</w:t>
      </w:r>
      <w:r>
        <w:rPr>
          <w:rFonts w:hint="eastAsia" w:ascii="仿宋" w:hAnsi="仿宋" w:eastAsia="仿宋" w:cs="仿宋"/>
          <w:sz w:val="32"/>
          <w:szCs w:val="32"/>
        </w:rPr>
        <w:t>政府性基金收入均为转移支付收入，不涉及表格内的收入内容。</w:t>
      </w:r>
    </w:p>
    <w:p w14:paraId="7C1883A8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政府性基金支出预算表</w:t>
      </w:r>
    </w:p>
    <w:p w14:paraId="0A123868">
      <w:pPr>
        <w:ind w:firstLine="608" w:firstLineChars="19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政府性基金预算数为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3142.81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其中：镇级支出3142.81万元，上解支出0万元。</w:t>
      </w:r>
    </w:p>
    <w:p w14:paraId="5893744C">
      <w:pPr>
        <w:ind w:firstLine="608" w:firstLineChars="19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镇级支出主要的增减变化原因：部分专项转移支付资金在预算执行过程中下达，因此预算数为上年执行数的14.19%。</w:t>
      </w:r>
    </w:p>
    <w:p w14:paraId="6359FBF6">
      <w:pPr>
        <w:ind w:firstLine="608" w:firstLineChars="19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上解支出与上年执行数相比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无增减变化。</w:t>
      </w:r>
    </w:p>
    <w:p w14:paraId="2367372F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魏善庄镇2024年本级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政府性基金支出预算表</w:t>
      </w:r>
    </w:p>
    <w:p w14:paraId="29662F13">
      <w:pPr>
        <w:pStyle w:val="9"/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魏善庄镇2023年</w:t>
      </w:r>
      <w:r>
        <w:rPr>
          <w:rFonts w:hint="eastAsia" w:ascii="仿宋" w:hAnsi="仿宋" w:eastAsia="仿宋" w:cs="仿宋"/>
          <w:sz w:val="32"/>
          <w:szCs w:val="32"/>
        </w:rPr>
        <w:t>政府性基金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镇级支出</w:t>
      </w:r>
      <w:r>
        <w:rPr>
          <w:rFonts w:hint="eastAsia" w:ascii="仿宋" w:hAnsi="仿宋" w:eastAsia="仿宋" w:cs="仿宋"/>
          <w:sz w:val="32"/>
          <w:szCs w:val="32"/>
        </w:rPr>
        <w:t>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22151.73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镇级支出</w:t>
      </w:r>
      <w:r>
        <w:rPr>
          <w:rFonts w:hint="eastAsia" w:ascii="仿宋" w:hAnsi="仿宋" w:eastAsia="仿宋" w:cs="仿宋"/>
          <w:sz w:val="32"/>
          <w:szCs w:val="32"/>
        </w:rPr>
        <w:t>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3142.81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</w:t>
      </w:r>
    </w:p>
    <w:p w14:paraId="054DC7AA">
      <w:pPr>
        <w:pStyle w:val="9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城乡社区支出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22151.73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3142.81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</w:rPr>
        <w:t>预算数比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</w:rPr>
        <w:t>预算执行数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减少19008.92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2D27F284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魏善庄镇2024年政府性基金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专项转移支付明细表</w:t>
      </w:r>
    </w:p>
    <w:p w14:paraId="5B8A1447"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大兴区魏善庄镇2024年政府性基金</w:t>
      </w: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专项转移支付支出287.81万元，主要支出科目如下：</w:t>
      </w:r>
    </w:p>
    <w:p w14:paraId="3D37B65A">
      <w:pPr>
        <w:ind w:firstLine="624" w:firstLineChars="200"/>
        <w:rPr>
          <w:rFonts w:hint="default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城乡社区支出287.81万元</w:t>
      </w:r>
    </w:p>
    <w:p w14:paraId="24214587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国有资本经营预算收入预算表</w:t>
      </w:r>
    </w:p>
    <w:p w14:paraId="75A9EC51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本单位不涉及上述表内数据。</w:t>
      </w:r>
    </w:p>
    <w:p w14:paraId="447BACCF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国有资本经营预算支出预算表</w:t>
      </w:r>
    </w:p>
    <w:p w14:paraId="16581CE9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385E2802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十三、大兴区魏善庄镇2024本级年国有资本经营预算支出预算表</w:t>
      </w:r>
    </w:p>
    <w:p w14:paraId="44483B0F">
      <w:pPr>
        <w:ind w:firstLine="6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 w14:paraId="12E0427C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社保基金预算收入预算表</w:t>
      </w:r>
    </w:p>
    <w:p w14:paraId="62797328"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1E8F234B"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社保基金预算支出预算表</w:t>
      </w:r>
    </w:p>
    <w:p w14:paraId="6E8DD7CD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0376417D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魏善庄镇2024年一般公共预算税收返还和转移支付表</w:t>
      </w:r>
    </w:p>
    <w:p w14:paraId="638FB132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025AE293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大兴区魏善庄镇2024年一般公共预算对下级专项转移支付明细表</w:t>
      </w:r>
    </w:p>
    <w:p w14:paraId="4B2D1B15"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5657E871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魏善庄镇2024年政府性基金转移支付明细表</w:t>
      </w:r>
    </w:p>
    <w:p w14:paraId="247E4305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6995D4F9">
      <w:pPr>
        <w:numPr>
          <w:ilvl w:val="0"/>
          <w:numId w:val="1"/>
        </w:numPr>
        <w:spacing w:before="70" w:line="323" w:lineRule="auto"/>
        <w:ind w:left="0" w:leftChars="0" w:right="13" w:firstLine="643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大兴区魏善庄镇2024年政府性基金预算对下级专项转移支付明细表</w:t>
      </w:r>
    </w:p>
    <w:p w14:paraId="1DB69BF3">
      <w:pPr>
        <w:ind w:firstLine="600"/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3E1E141B">
      <w:pPr>
        <w:ind w:firstLine="6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二十、大兴区魏善庄镇2024年大额项目绩效目标情况表</w:t>
      </w:r>
    </w:p>
    <w:p w14:paraId="00719798">
      <w:pPr>
        <w:pStyle w:val="2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2024年重点大额项目绩效目标情况表具体见公开表</w:t>
      </w:r>
      <w:r>
        <w:rPr>
          <w:rFonts w:hint="eastAsia" w:ascii="黑体" w:hAnsi="文星标宋" w:eastAsia="仿宋_GB2312" w:cs="Tahoma"/>
          <w:color w:val="000000"/>
          <w:kern w:val="2"/>
          <w:sz w:val="32"/>
          <w:szCs w:val="32"/>
          <w:lang w:val="en-US" w:eastAsia="zh-CN" w:bidi="ar-SA"/>
        </w:rPr>
        <w:t>。</w:t>
      </w:r>
    </w:p>
    <w:p w14:paraId="5D4AF0E9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二十一、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魏善庄镇2023年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地方政府债务限额及余额决算情况表</w:t>
      </w:r>
    </w:p>
    <w:p w14:paraId="56F7E4DE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3B8DFCC2">
      <w:pPr>
        <w:ind w:firstLine="6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魏善庄镇2023年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地方政府一般债务余额情况表</w:t>
      </w:r>
    </w:p>
    <w:p w14:paraId="72A74B40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01AB9B61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二十三、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魏善庄镇2023年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地方政府专项债务余额情况表</w:t>
      </w:r>
    </w:p>
    <w:p w14:paraId="1CD5C2FB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7A4E21F5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二十四、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魏善庄镇政府债务发行及还本付息情况表</w:t>
      </w:r>
    </w:p>
    <w:p w14:paraId="7AE747AE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 w14:paraId="16E0E91F">
      <w:pPr>
        <w:ind w:firstLine="6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二十五、其他重要事项的情况说明</w:t>
      </w:r>
    </w:p>
    <w:p w14:paraId="1234AB66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 w14:paraId="48C487A8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本</w:t>
      </w:r>
      <w:r>
        <w:rPr>
          <w:rFonts w:hint="eastAsia" w:ascii="仿宋_GB2312" w:hAnsi="宋体" w:eastAsia="仿宋_GB2312" w:cs="宋体"/>
          <w:sz w:val="32"/>
          <w:szCs w:val="32"/>
        </w:rPr>
        <w:t>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 w14:paraId="303DC099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2.预算绩效管理工作情况</w:t>
      </w:r>
    </w:p>
    <w:p w14:paraId="07C50677"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不断完善事前评估、绩效目标管理、绩效监控、绩效评价、结果应用、绩效考核等绩效管理体系，实现预算绩效全链条管理，推进全成本预算绩效管理常态化。加强对财政资金和项目的监管，合理调配资金，完善风险防控体系，确保财政资金安全有效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6614CA"/>
    <w:multiLevelType w:val="singleLevel"/>
    <w:tmpl w:val="6D6614CA"/>
    <w:lvl w:ilvl="0" w:tentative="0">
      <w:start w:val="1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727F8"/>
    <w:rsid w:val="00180B9B"/>
    <w:rsid w:val="001A0409"/>
    <w:rsid w:val="001B3D95"/>
    <w:rsid w:val="00233989"/>
    <w:rsid w:val="002838EE"/>
    <w:rsid w:val="00285FBC"/>
    <w:rsid w:val="002B5E57"/>
    <w:rsid w:val="002D2537"/>
    <w:rsid w:val="002D6802"/>
    <w:rsid w:val="003256BB"/>
    <w:rsid w:val="0034353A"/>
    <w:rsid w:val="00356E1F"/>
    <w:rsid w:val="003658CC"/>
    <w:rsid w:val="00392183"/>
    <w:rsid w:val="003B1473"/>
    <w:rsid w:val="003C1D89"/>
    <w:rsid w:val="003E5DC2"/>
    <w:rsid w:val="003E6D61"/>
    <w:rsid w:val="003F1C05"/>
    <w:rsid w:val="003F5984"/>
    <w:rsid w:val="004020D2"/>
    <w:rsid w:val="00403E4E"/>
    <w:rsid w:val="00491E78"/>
    <w:rsid w:val="004B7534"/>
    <w:rsid w:val="004F37BC"/>
    <w:rsid w:val="00535223"/>
    <w:rsid w:val="00541E72"/>
    <w:rsid w:val="00553BF8"/>
    <w:rsid w:val="00583A06"/>
    <w:rsid w:val="00590E1A"/>
    <w:rsid w:val="006271BF"/>
    <w:rsid w:val="00671855"/>
    <w:rsid w:val="00696666"/>
    <w:rsid w:val="006E6879"/>
    <w:rsid w:val="006F681C"/>
    <w:rsid w:val="007052C4"/>
    <w:rsid w:val="007102A1"/>
    <w:rsid w:val="00714579"/>
    <w:rsid w:val="00774DD7"/>
    <w:rsid w:val="00795A35"/>
    <w:rsid w:val="007A621D"/>
    <w:rsid w:val="007B3C13"/>
    <w:rsid w:val="007D4356"/>
    <w:rsid w:val="00801391"/>
    <w:rsid w:val="00827709"/>
    <w:rsid w:val="00845F4B"/>
    <w:rsid w:val="0088681D"/>
    <w:rsid w:val="00890887"/>
    <w:rsid w:val="00897EFE"/>
    <w:rsid w:val="008E1E86"/>
    <w:rsid w:val="00926B19"/>
    <w:rsid w:val="00957C3F"/>
    <w:rsid w:val="00966A1C"/>
    <w:rsid w:val="009F459F"/>
    <w:rsid w:val="00A03228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54B16"/>
    <w:rsid w:val="00C879B1"/>
    <w:rsid w:val="00C920A4"/>
    <w:rsid w:val="00CD172F"/>
    <w:rsid w:val="00CE63B2"/>
    <w:rsid w:val="00D27E3E"/>
    <w:rsid w:val="00D73000"/>
    <w:rsid w:val="00D9534F"/>
    <w:rsid w:val="00DF4B50"/>
    <w:rsid w:val="00E15970"/>
    <w:rsid w:val="00E224E4"/>
    <w:rsid w:val="00E26503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F91424"/>
    <w:rsid w:val="04B801B3"/>
    <w:rsid w:val="04F11AFD"/>
    <w:rsid w:val="05F21B29"/>
    <w:rsid w:val="06077264"/>
    <w:rsid w:val="060F1B2F"/>
    <w:rsid w:val="06804090"/>
    <w:rsid w:val="06B036DE"/>
    <w:rsid w:val="074642FF"/>
    <w:rsid w:val="08485F03"/>
    <w:rsid w:val="087175BB"/>
    <w:rsid w:val="08961274"/>
    <w:rsid w:val="08EA30CD"/>
    <w:rsid w:val="091F67A4"/>
    <w:rsid w:val="094E3197"/>
    <w:rsid w:val="097462A7"/>
    <w:rsid w:val="0A0A6DD4"/>
    <w:rsid w:val="0A200654"/>
    <w:rsid w:val="0A5E2EB9"/>
    <w:rsid w:val="0B2F615C"/>
    <w:rsid w:val="0B7379F5"/>
    <w:rsid w:val="0C305891"/>
    <w:rsid w:val="0D3C08CC"/>
    <w:rsid w:val="0D772B41"/>
    <w:rsid w:val="0DC04E93"/>
    <w:rsid w:val="0E3B5D0C"/>
    <w:rsid w:val="0E9565DD"/>
    <w:rsid w:val="0E9B1237"/>
    <w:rsid w:val="0F43362F"/>
    <w:rsid w:val="11D61611"/>
    <w:rsid w:val="13730B42"/>
    <w:rsid w:val="14AE2DE6"/>
    <w:rsid w:val="14B87A23"/>
    <w:rsid w:val="15C56EE7"/>
    <w:rsid w:val="161529CC"/>
    <w:rsid w:val="16983FE3"/>
    <w:rsid w:val="18EA5492"/>
    <w:rsid w:val="1A790844"/>
    <w:rsid w:val="1B581499"/>
    <w:rsid w:val="1B6F2705"/>
    <w:rsid w:val="1CAE42B7"/>
    <w:rsid w:val="1CF72489"/>
    <w:rsid w:val="1CFC0FD3"/>
    <w:rsid w:val="1D44579E"/>
    <w:rsid w:val="1E6B3A70"/>
    <w:rsid w:val="1E7B5267"/>
    <w:rsid w:val="1E9C1AD9"/>
    <w:rsid w:val="1F61454D"/>
    <w:rsid w:val="1F64367B"/>
    <w:rsid w:val="1FF33600"/>
    <w:rsid w:val="20254CE8"/>
    <w:rsid w:val="207F19D9"/>
    <w:rsid w:val="213D37CC"/>
    <w:rsid w:val="21D04F6F"/>
    <w:rsid w:val="21DC0E5F"/>
    <w:rsid w:val="222A0F59"/>
    <w:rsid w:val="222F1585"/>
    <w:rsid w:val="23FD5FDC"/>
    <w:rsid w:val="2400550C"/>
    <w:rsid w:val="24215FBC"/>
    <w:rsid w:val="24875AA0"/>
    <w:rsid w:val="24B14700"/>
    <w:rsid w:val="25020E44"/>
    <w:rsid w:val="25B5746E"/>
    <w:rsid w:val="263C55A4"/>
    <w:rsid w:val="26A94FD4"/>
    <w:rsid w:val="26BA3AD5"/>
    <w:rsid w:val="26BD6829"/>
    <w:rsid w:val="270939F8"/>
    <w:rsid w:val="28CD1D3D"/>
    <w:rsid w:val="293B573B"/>
    <w:rsid w:val="2C4402A1"/>
    <w:rsid w:val="2CF81093"/>
    <w:rsid w:val="2E9477B6"/>
    <w:rsid w:val="2EF00B7E"/>
    <w:rsid w:val="2F282D35"/>
    <w:rsid w:val="2F2F5D6D"/>
    <w:rsid w:val="314220C1"/>
    <w:rsid w:val="31556185"/>
    <w:rsid w:val="31C72E63"/>
    <w:rsid w:val="31DF1599"/>
    <w:rsid w:val="321A6CDF"/>
    <w:rsid w:val="32FA4FED"/>
    <w:rsid w:val="33B83F0C"/>
    <w:rsid w:val="33F8260E"/>
    <w:rsid w:val="33FD3B57"/>
    <w:rsid w:val="34537150"/>
    <w:rsid w:val="345D2354"/>
    <w:rsid w:val="346338B1"/>
    <w:rsid w:val="350B71A5"/>
    <w:rsid w:val="366B122E"/>
    <w:rsid w:val="36B13534"/>
    <w:rsid w:val="36CB31EC"/>
    <w:rsid w:val="36F45BE4"/>
    <w:rsid w:val="37851063"/>
    <w:rsid w:val="37D12DB7"/>
    <w:rsid w:val="37D818CE"/>
    <w:rsid w:val="39224AE5"/>
    <w:rsid w:val="39777815"/>
    <w:rsid w:val="39FA1154"/>
    <w:rsid w:val="3A6B24F3"/>
    <w:rsid w:val="3AD447A0"/>
    <w:rsid w:val="3B5D0361"/>
    <w:rsid w:val="3C001252"/>
    <w:rsid w:val="3CB15C61"/>
    <w:rsid w:val="3D0834A0"/>
    <w:rsid w:val="3D51199D"/>
    <w:rsid w:val="3DC4658F"/>
    <w:rsid w:val="407F4018"/>
    <w:rsid w:val="410A3FA9"/>
    <w:rsid w:val="42BA5695"/>
    <w:rsid w:val="4457051B"/>
    <w:rsid w:val="45741E62"/>
    <w:rsid w:val="463F5897"/>
    <w:rsid w:val="46776FF2"/>
    <w:rsid w:val="47A25A58"/>
    <w:rsid w:val="47FE08AD"/>
    <w:rsid w:val="48463CC9"/>
    <w:rsid w:val="49FD0462"/>
    <w:rsid w:val="4A2513ED"/>
    <w:rsid w:val="4AB77738"/>
    <w:rsid w:val="4B8E68EE"/>
    <w:rsid w:val="4C474A97"/>
    <w:rsid w:val="4C893BCB"/>
    <w:rsid w:val="4D426481"/>
    <w:rsid w:val="4DA15A46"/>
    <w:rsid w:val="4DEA0F6E"/>
    <w:rsid w:val="4F954938"/>
    <w:rsid w:val="50C61652"/>
    <w:rsid w:val="50CA7EE7"/>
    <w:rsid w:val="51C856F7"/>
    <w:rsid w:val="524F2A28"/>
    <w:rsid w:val="52DC630E"/>
    <w:rsid w:val="52EE1AB7"/>
    <w:rsid w:val="53721ECB"/>
    <w:rsid w:val="555A64B2"/>
    <w:rsid w:val="558A2C66"/>
    <w:rsid w:val="560023AD"/>
    <w:rsid w:val="560A618E"/>
    <w:rsid w:val="56C637AA"/>
    <w:rsid w:val="57250B4B"/>
    <w:rsid w:val="574042EB"/>
    <w:rsid w:val="57CD6F08"/>
    <w:rsid w:val="58201FC5"/>
    <w:rsid w:val="583F50A1"/>
    <w:rsid w:val="58D16C75"/>
    <w:rsid w:val="59193186"/>
    <w:rsid w:val="5A673229"/>
    <w:rsid w:val="5A89200E"/>
    <w:rsid w:val="5ABB113E"/>
    <w:rsid w:val="5B446BE4"/>
    <w:rsid w:val="5C540B84"/>
    <w:rsid w:val="5C6B3FF6"/>
    <w:rsid w:val="5C8E2EC2"/>
    <w:rsid w:val="5D082A3D"/>
    <w:rsid w:val="5D163D70"/>
    <w:rsid w:val="5D6637FA"/>
    <w:rsid w:val="5E061250"/>
    <w:rsid w:val="5E723CEE"/>
    <w:rsid w:val="5F363A00"/>
    <w:rsid w:val="5F95411A"/>
    <w:rsid w:val="60261511"/>
    <w:rsid w:val="6042093F"/>
    <w:rsid w:val="60806C99"/>
    <w:rsid w:val="60EA4C46"/>
    <w:rsid w:val="612C0994"/>
    <w:rsid w:val="62FD18DC"/>
    <w:rsid w:val="63A86A79"/>
    <w:rsid w:val="647702DA"/>
    <w:rsid w:val="64DE667A"/>
    <w:rsid w:val="65482B8B"/>
    <w:rsid w:val="659713CC"/>
    <w:rsid w:val="675C7AE2"/>
    <w:rsid w:val="68317132"/>
    <w:rsid w:val="683822C6"/>
    <w:rsid w:val="68983FF2"/>
    <w:rsid w:val="68D03B01"/>
    <w:rsid w:val="68DE7983"/>
    <w:rsid w:val="6AF2635D"/>
    <w:rsid w:val="6B4A2CD1"/>
    <w:rsid w:val="6D4A2B89"/>
    <w:rsid w:val="6D4B0D40"/>
    <w:rsid w:val="6D6E3436"/>
    <w:rsid w:val="6F6F73A9"/>
    <w:rsid w:val="6FBB6796"/>
    <w:rsid w:val="71B274D4"/>
    <w:rsid w:val="71E235F8"/>
    <w:rsid w:val="73A45083"/>
    <w:rsid w:val="73B1457D"/>
    <w:rsid w:val="741A340C"/>
    <w:rsid w:val="75AE22E7"/>
    <w:rsid w:val="762F7EAC"/>
    <w:rsid w:val="76FB0156"/>
    <w:rsid w:val="778C51DF"/>
    <w:rsid w:val="78A614E3"/>
    <w:rsid w:val="78D825C1"/>
    <w:rsid w:val="78DA7E28"/>
    <w:rsid w:val="78EC2E1F"/>
    <w:rsid w:val="795E1A28"/>
    <w:rsid w:val="79CF6F47"/>
    <w:rsid w:val="7A534910"/>
    <w:rsid w:val="7A87258A"/>
    <w:rsid w:val="7A9668FD"/>
    <w:rsid w:val="7A985B3D"/>
    <w:rsid w:val="7AD57190"/>
    <w:rsid w:val="7C00177C"/>
    <w:rsid w:val="7D0C6EE4"/>
    <w:rsid w:val="7D617509"/>
    <w:rsid w:val="7D6463D1"/>
    <w:rsid w:val="7E026A4B"/>
    <w:rsid w:val="7E123C80"/>
    <w:rsid w:val="7EAF6DC9"/>
    <w:rsid w:val="7F2155E4"/>
    <w:rsid w:val="7FD9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2287</Words>
  <Characters>3063</Characters>
  <Lines>17</Lines>
  <Paragraphs>4</Paragraphs>
  <TotalTime>5</TotalTime>
  <ScaleCrop>false</ScaleCrop>
  <LinksUpToDate>false</LinksUpToDate>
  <CharactersWithSpaces>3072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2016-02-14T07:57:00Z</dcterms:created>
  <dc:creator>微软用户</dc:creator>
  <cp:lastModifiedBy>枫叶 </cp:lastModifiedBy>
  <dcterms:modified xsi:type="dcterms:W3CDTF">2025-03-07T02:08:01Z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723284EF92A946AA918A2BC51A7B2B40</vt:lpwstr>
  </property>
  <property fmtid="{D5CDD505-2E9C-101B-9397-08002B2CF9AE}" pid="4" name="KSOTemplateDocerSaveRecord">
    <vt:lpwstr>eyJoZGlkIjoiYjExMjExMjU4ODU0ZTYwOThiMGQ0ODczZDRlZWI2ZjciLCJ1c2VySWQiOiIxMDU2ODAyMzcxIn0=</vt:lpwstr>
  </property>
</Properties>
</file>