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035" w:type="dxa"/>
        <w:tblInd w:w="-387" w:type="dxa"/>
        <w:tblLayout w:type="fixed"/>
        <w:tblCellMar>
          <w:top w:w="0" w:type="dxa"/>
          <w:left w:w="108" w:type="dxa"/>
          <w:bottom w:w="0" w:type="dxa"/>
          <w:right w:w="108" w:type="dxa"/>
        </w:tblCellMar>
      </w:tblPr>
      <w:tblGrid>
        <w:gridCol w:w="1326"/>
        <w:gridCol w:w="1553"/>
        <w:gridCol w:w="1830"/>
        <w:gridCol w:w="217"/>
        <w:gridCol w:w="1268"/>
        <w:gridCol w:w="1455"/>
        <w:gridCol w:w="2386"/>
      </w:tblGrid>
      <w:tr>
        <w:tblPrEx>
          <w:tblCellMar>
            <w:top w:w="0" w:type="dxa"/>
            <w:left w:w="108" w:type="dxa"/>
            <w:bottom w:w="0" w:type="dxa"/>
            <w:right w:w="108" w:type="dxa"/>
          </w:tblCellMar>
        </w:tblPrEx>
        <w:trPr>
          <w:trHeight w:val="534" w:hRule="atLeast"/>
        </w:trPr>
        <w:tc>
          <w:tcPr>
            <w:tcW w:w="10035" w:type="dxa"/>
            <w:gridSpan w:val="7"/>
            <w:vAlign w:val="center"/>
          </w:tcPr>
          <w:p>
            <w:pPr>
              <w:pStyle w:val="2"/>
              <w:rPr>
                <w:kern w:val="0"/>
                <w:sz w:val="28"/>
                <w:szCs w:val="28"/>
              </w:rPr>
            </w:pPr>
            <w:bookmarkStart w:id="0" w:name="_Toc381790386"/>
            <w:bookmarkStart w:id="1" w:name="_Toc410210417"/>
            <w:r>
              <w:rPr>
                <w:rFonts w:hint="eastAsia"/>
                <w:color w:val="auto"/>
                <w:kern w:val="0"/>
                <w:sz w:val="28"/>
                <w:szCs w:val="28"/>
                <w:lang w:val="en-US" w:eastAsia="zh-CN"/>
              </w:rPr>
              <w:t>大兴区采育镇</w:t>
            </w:r>
            <w:r>
              <w:rPr>
                <w:rFonts w:hint="eastAsia"/>
                <w:kern w:val="0"/>
                <w:sz w:val="28"/>
                <w:szCs w:val="28"/>
              </w:rPr>
              <w:t>部门整体支出绩效目标申报表</w:t>
            </w:r>
            <w:bookmarkEnd w:id="0"/>
            <w:bookmarkEnd w:id="1"/>
          </w:p>
        </w:tc>
      </w:tr>
      <w:tr>
        <w:tblPrEx>
          <w:tblCellMar>
            <w:top w:w="0" w:type="dxa"/>
            <w:left w:w="108" w:type="dxa"/>
            <w:bottom w:w="0" w:type="dxa"/>
            <w:right w:w="108" w:type="dxa"/>
          </w:tblCellMar>
        </w:tblPrEx>
        <w:trPr>
          <w:trHeight w:val="405" w:hRule="atLeast"/>
        </w:trPr>
        <w:tc>
          <w:tcPr>
            <w:tcW w:w="10035" w:type="dxa"/>
            <w:gridSpan w:val="7"/>
            <w:tcBorders>
              <w:bottom w:val="single" w:color="auto" w:sz="4" w:space="0"/>
            </w:tcBorders>
            <w:vAlign w:val="center"/>
          </w:tcPr>
          <w:p>
            <w:pPr>
              <w:jc w:val="center"/>
              <w:rPr>
                <w:rFonts w:ascii="宋体" w:hAnsi="宋体" w:cs="宋体"/>
                <w:kern w:val="0"/>
              </w:rPr>
            </w:pPr>
            <w:r>
              <w:rPr>
                <w:rFonts w:hint="eastAsia" w:ascii="宋体" w:hAnsi="宋体" w:cs="宋体"/>
                <w:kern w:val="0"/>
              </w:rPr>
              <w:t>（</w:t>
            </w:r>
            <w:r>
              <w:rPr>
                <w:rFonts w:ascii="宋体" w:hAnsi="宋体"/>
                <w:kern w:val="0"/>
              </w:rPr>
              <w:t xml:space="preserve">  </w:t>
            </w:r>
            <w:r>
              <w:rPr>
                <w:rFonts w:hint="eastAsia" w:ascii="宋体" w:hAnsi="宋体"/>
                <w:kern w:val="0"/>
                <w:lang w:val="en-US" w:eastAsia="zh-CN"/>
              </w:rPr>
              <w:t xml:space="preserve">2024 </w:t>
            </w:r>
            <w:r>
              <w:rPr>
                <w:rFonts w:ascii="宋体" w:hAnsi="宋体"/>
                <w:kern w:val="0"/>
              </w:rPr>
              <w:t xml:space="preserve"> </w:t>
            </w:r>
            <w:r>
              <w:rPr>
                <w:rFonts w:hint="eastAsia" w:ascii="宋体" w:hAnsi="宋体" w:cs="宋体"/>
                <w:kern w:val="0"/>
              </w:rPr>
              <w:t>年度）</w:t>
            </w:r>
          </w:p>
        </w:tc>
      </w:tr>
      <w:tr>
        <w:tblPrEx>
          <w:tblCellMar>
            <w:top w:w="0" w:type="dxa"/>
            <w:left w:w="108" w:type="dxa"/>
            <w:bottom w:w="0" w:type="dxa"/>
            <w:right w:w="108" w:type="dxa"/>
          </w:tblCellMar>
        </w:tblPrEx>
        <w:trPr>
          <w:trHeight w:val="989" w:hRule="exact"/>
        </w:trPr>
        <w:tc>
          <w:tcPr>
            <w:tcW w:w="1326" w:type="dxa"/>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部门（单位）名称</w:t>
            </w:r>
          </w:p>
        </w:tc>
        <w:tc>
          <w:tcPr>
            <w:tcW w:w="8709" w:type="dxa"/>
            <w:gridSpan w:val="6"/>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北京市大兴区采育镇人民政府</w:t>
            </w:r>
          </w:p>
        </w:tc>
      </w:tr>
      <w:tr>
        <w:tblPrEx>
          <w:tblCellMar>
            <w:top w:w="0" w:type="dxa"/>
            <w:left w:w="108" w:type="dxa"/>
            <w:bottom w:w="0" w:type="dxa"/>
            <w:right w:w="108" w:type="dxa"/>
          </w:tblCellMar>
        </w:tblPrEx>
        <w:trPr>
          <w:trHeight w:val="567" w:hRule="exact"/>
        </w:trPr>
        <w:tc>
          <w:tcPr>
            <w:tcW w:w="1326"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部门（单位）总体资金情况（万元）</w:t>
            </w:r>
          </w:p>
        </w:tc>
        <w:tc>
          <w:tcPr>
            <w:tcW w:w="3600" w:type="dxa"/>
            <w:gridSpan w:val="3"/>
            <w:tcBorders>
              <w:top w:val="nil"/>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资金总额：</w:t>
            </w:r>
          </w:p>
        </w:tc>
        <w:tc>
          <w:tcPr>
            <w:tcW w:w="5109" w:type="dxa"/>
            <w:gridSpan w:val="3"/>
            <w:tcBorders>
              <w:top w:val="single" w:color="auto" w:sz="4" w:space="0"/>
              <w:left w:val="nil"/>
              <w:bottom w:val="single" w:color="auto" w:sz="4" w:space="0"/>
              <w:right w:val="single" w:color="auto" w:sz="4" w:space="0"/>
            </w:tcBorders>
            <w:vAlign w:val="center"/>
          </w:tcPr>
          <w:p>
            <w:pPr>
              <w:jc w:val="center"/>
              <w:rPr>
                <w:rFonts w:hint="default" w:ascii="宋体" w:hAnsi="宋体" w:cs="宋体"/>
                <w:kern w:val="0"/>
                <w:sz w:val="20"/>
                <w:szCs w:val="20"/>
                <w:lang w:val="en-US" w:eastAsia="zh-CN"/>
              </w:rPr>
            </w:pPr>
            <w:bookmarkStart w:id="2" w:name="_GoBack"/>
            <w:bookmarkEnd w:id="2"/>
            <w:r>
              <w:rPr>
                <w:rFonts w:hint="eastAsia" w:ascii="宋体" w:hAnsi="宋体" w:cs="宋体"/>
                <w:kern w:val="0"/>
                <w:sz w:val="20"/>
                <w:szCs w:val="20"/>
                <w:lang w:val="en-US" w:eastAsia="zh-CN"/>
              </w:rPr>
              <w:t>72134.03</w:t>
            </w:r>
          </w:p>
        </w:tc>
      </w:tr>
      <w:tr>
        <w:tblPrEx>
          <w:tblCellMar>
            <w:top w:w="0" w:type="dxa"/>
            <w:left w:w="108" w:type="dxa"/>
            <w:bottom w:w="0" w:type="dxa"/>
            <w:right w:w="108" w:type="dxa"/>
          </w:tblCellMar>
        </w:tblPrEx>
        <w:trPr>
          <w:trHeight w:val="567" w:hRule="exac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3600" w:type="dxa"/>
            <w:gridSpan w:val="3"/>
            <w:tcBorders>
              <w:top w:val="nil"/>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基本支出：</w:t>
            </w:r>
          </w:p>
        </w:tc>
        <w:tc>
          <w:tcPr>
            <w:tcW w:w="5109" w:type="dxa"/>
            <w:gridSpan w:val="3"/>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22622.06</w:t>
            </w:r>
          </w:p>
        </w:tc>
      </w:tr>
      <w:tr>
        <w:tblPrEx>
          <w:tblCellMar>
            <w:top w:w="0" w:type="dxa"/>
            <w:left w:w="108" w:type="dxa"/>
            <w:bottom w:w="0" w:type="dxa"/>
            <w:right w:w="108" w:type="dxa"/>
          </w:tblCellMar>
        </w:tblPrEx>
        <w:trPr>
          <w:trHeight w:val="636"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3600" w:type="dxa"/>
            <w:gridSpan w:val="3"/>
            <w:tcBorders>
              <w:top w:val="nil"/>
              <w:left w:val="nil"/>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项目支出：</w:t>
            </w:r>
          </w:p>
        </w:tc>
        <w:tc>
          <w:tcPr>
            <w:tcW w:w="5109" w:type="dxa"/>
            <w:gridSpan w:val="3"/>
            <w:tcBorders>
              <w:top w:val="single" w:color="auto" w:sz="4" w:space="0"/>
              <w:left w:val="nil"/>
              <w:right w:val="single" w:color="auto" w:sz="4" w:space="0"/>
            </w:tcBorders>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49511.97</w:t>
            </w:r>
          </w:p>
        </w:tc>
      </w:tr>
      <w:tr>
        <w:tblPrEx>
          <w:tblCellMar>
            <w:top w:w="0" w:type="dxa"/>
            <w:left w:w="108" w:type="dxa"/>
            <w:bottom w:w="0" w:type="dxa"/>
            <w:right w:w="108" w:type="dxa"/>
          </w:tblCellMar>
        </w:tblPrEx>
        <w:trPr>
          <w:trHeight w:val="2849" w:hRule="exact"/>
        </w:trPr>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部门（单位）绩效目标</w:t>
            </w:r>
          </w:p>
        </w:tc>
        <w:tc>
          <w:tcPr>
            <w:tcW w:w="8709" w:type="dxa"/>
            <w:gridSpan w:val="6"/>
            <w:tcBorders>
              <w:top w:val="single" w:color="auto" w:sz="4" w:space="0"/>
              <w:left w:val="nil"/>
              <w:bottom w:val="single" w:color="auto" w:sz="4" w:space="0"/>
              <w:right w:val="single" w:color="auto" w:sz="4" w:space="0"/>
            </w:tcBorders>
            <w:vAlign w:val="center"/>
          </w:tcPr>
          <w:p>
            <w:pPr>
              <w:tabs>
                <w:tab w:val="left" w:pos="575"/>
              </w:tabs>
              <w:ind w:firstLine="400" w:firstLineChars="200"/>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坚持以习近平新时代中国特色社会主义思想为指导，全面贯彻党的二十大精神及中央经济工作会议精神，深入贯彻习近平总书记对北京重要讲话精神，认真落实市委市政府决策部署，在</w:t>
            </w:r>
            <w:r>
              <w:rPr>
                <w:rFonts w:hint="default" w:ascii="宋体" w:hAnsi="宋体" w:eastAsia="宋体" w:cs="宋体"/>
                <w:kern w:val="0"/>
                <w:sz w:val="20"/>
                <w:szCs w:val="20"/>
                <w:lang w:val="en-US" w:eastAsia="zh-CN"/>
              </w:rPr>
              <w:t>区委区政府</w:t>
            </w:r>
            <w:r>
              <w:rPr>
                <w:rFonts w:hint="eastAsia" w:ascii="宋体" w:hAnsi="宋体" w:eastAsia="宋体" w:cs="宋体"/>
                <w:kern w:val="0"/>
                <w:sz w:val="20"/>
                <w:szCs w:val="20"/>
                <w:lang w:val="en-US" w:eastAsia="zh-CN"/>
              </w:rPr>
              <w:t>、镇党委</w:t>
            </w:r>
            <w:r>
              <w:rPr>
                <w:rFonts w:hint="default" w:ascii="宋体" w:hAnsi="宋体" w:eastAsia="宋体" w:cs="宋体"/>
                <w:kern w:val="0"/>
                <w:sz w:val="20"/>
                <w:szCs w:val="20"/>
                <w:lang w:val="en-US" w:eastAsia="zh-CN"/>
              </w:rPr>
              <w:t>的</w:t>
            </w:r>
            <w:r>
              <w:rPr>
                <w:rFonts w:hint="eastAsia" w:ascii="宋体" w:hAnsi="宋体" w:eastAsia="宋体" w:cs="宋体"/>
                <w:kern w:val="0"/>
                <w:sz w:val="20"/>
                <w:szCs w:val="20"/>
                <w:lang w:val="en-US" w:eastAsia="zh-CN"/>
              </w:rPr>
              <w:t>正确领导下</w:t>
            </w:r>
            <w:r>
              <w:rPr>
                <w:rFonts w:hint="eastAsia" w:ascii="宋体" w:hAnsi="宋体" w:cs="宋体"/>
                <w:kern w:val="0"/>
                <w:sz w:val="20"/>
                <w:szCs w:val="20"/>
                <w:lang w:eastAsia="zh-CN"/>
              </w:rPr>
              <w:t>，坚持稳中求进的工作总基调和积极的财政政策要提升效能，厚植涵养财源，不折不扣落实减税降费政策，激发市场主体活力；优化支出结构，扎实做好“六稳”“六保”工作，增强重大战略任务财政保障能力；健全政府过“紧日子”长效机制，硬化预算刚性约束，加强预算绩效评价；加强政府债务管理，稳妥有序偿还政府债务，巩固拓展疫情防控和经济社会发展成果，全面推进</w:t>
            </w:r>
            <w:r>
              <w:rPr>
                <w:rFonts w:hint="eastAsia" w:ascii="宋体" w:hAnsi="宋体" w:eastAsia="宋体" w:cs="宋体"/>
                <w:kern w:val="0"/>
                <w:sz w:val="20"/>
                <w:szCs w:val="20"/>
                <w:lang w:val="en-US" w:eastAsia="zh-CN"/>
              </w:rPr>
              <w:t>“幸福采育人”工作理念</w:t>
            </w:r>
            <w:r>
              <w:rPr>
                <w:rFonts w:hint="eastAsia" w:ascii="宋体" w:hAnsi="宋体" w:cs="宋体"/>
                <w:kern w:val="0"/>
                <w:sz w:val="20"/>
                <w:szCs w:val="20"/>
                <w:lang w:eastAsia="zh-CN"/>
              </w:rPr>
              <w:t>，全力促进</w:t>
            </w:r>
            <w:r>
              <w:rPr>
                <w:rFonts w:hint="eastAsia" w:ascii="宋体" w:hAnsi="宋体" w:cs="宋体"/>
                <w:kern w:val="0"/>
                <w:sz w:val="20"/>
                <w:szCs w:val="20"/>
                <w:lang w:val="en-US" w:eastAsia="zh-CN"/>
              </w:rPr>
              <w:t>镇</w:t>
            </w:r>
            <w:r>
              <w:rPr>
                <w:rFonts w:hint="eastAsia" w:ascii="宋体" w:hAnsi="宋体" w:cs="宋体"/>
                <w:kern w:val="0"/>
                <w:sz w:val="20"/>
                <w:szCs w:val="20"/>
                <w:lang w:eastAsia="zh-CN"/>
              </w:rPr>
              <w:t>域经济社会高质量发展。</w:t>
            </w:r>
          </w:p>
        </w:tc>
      </w:tr>
      <w:tr>
        <w:tblPrEx>
          <w:tblCellMar>
            <w:top w:w="0" w:type="dxa"/>
            <w:left w:w="108" w:type="dxa"/>
            <w:bottom w:w="0" w:type="dxa"/>
            <w:right w:w="108" w:type="dxa"/>
          </w:tblCellMar>
        </w:tblPrEx>
        <w:trPr>
          <w:trHeight w:val="794" w:hRule="exact"/>
        </w:trPr>
        <w:tc>
          <w:tcPr>
            <w:tcW w:w="1326" w:type="dxa"/>
            <w:vMerge w:val="restart"/>
            <w:tcBorders>
              <w:top w:val="single" w:color="auto" w:sz="4" w:space="0"/>
              <w:left w:val="single" w:color="auto" w:sz="4" w:space="0"/>
              <w:bottom w:val="single" w:color="auto" w:sz="4" w:space="0"/>
              <w:right w:val="single" w:color="auto" w:sz="4" w:space="0"/>
            </w:tcBorders>
            <w:vAlign w:val="center"/>
          </w:tcPr>
          <w:p>
            <w:pPr>
              <w:ind w:left="-107" w:leftChars="-51"/>
              <w:jc w:val="center"/>
              <w:rPr>
                <w:rFonts w:ascii="宋体" w:hAnsi="宋体" w:cs="宋体"/>
                <w:kern w:val="0"/>
                <w:sz w:val="20"/>
                <w:szCs w:val="20"/>
              </w:rPr>
            </w:pPr>
            <w:r>
              <w:rPr>
                <w:rFonts w:hint="eastAsia" w:ascii="宋体" w:hAnsi="宋体" w:cs="宋体"/>
                <w:kern w:val="0"/>
                <w:sz w:val="20"/>
                <w:szCs w:val="20"/>
              </w:rPr>
              <w:t>绩效指标</w:t>
            </w:r>
          </w:p>
        </w:tc>
        <w:tc>
          <w:tcPr>
            <w:tcW w:w="1553"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名称</w:t>
            </w:r>
          </w:p>
        </w:tc>
        <w:tc>
          <w:tcPr>
            <w:tcW w:w="183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lang w:eastAsia="zh-CN"/>
              </w:rPr>
              <w:t>绩效指标</w:t>
            </w:r>
          </w:p>
        </w:tc>
        <w:tc>
          <w:tcPr>
            <w:tcW w:w="148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指标性质</w:t>
            </w:r>
          </w:p>
        </w:tc>
        <w:tc>
          <w:tcPr>
            <w:tcW w:w="145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指标值</w:t>
            </w:r>
          </w:p>
        </w:tc>
        <w:tc>
          <w:tcPr>
            <w:tcW w:w="2386"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kern w:val="0"/>
                <w:sz w:val="20"/>
                <w:szCs w:val="20"/>
                <w:lang w:eastAsia="zh-CN"/>
              </w:rPr>
            </w:pPr>
            <w:r>
              <w:rPr>
                <w:rFonts w:hint="eastAsia" w:ascii="宋体" w:hAnsi="宋体" w:cs="宋体"/>
                <w:kern w:val="0"/>
                <w:sz w:val="20"/>
                <w:szCs w:val="20"/>
                <w:lang w:eastAsia="zh-CN"/>
              </w:rPr>
              <w:t>度量单位</w:t>
            </w:r>
          </w:p>
        </w:tc>
      </w:tr>
      <w:tr>
        <w:tblPrEx>
          <w:tblCellMar>
            <w:top w:w="0" w:type="dxa"/>
            <w:left w:w="108" w:type="dxa"/>
            <w:bottom w:w="0" w:type="dxa"/>
            <w:right w:w="108" w:type="dxa"/>
          </w:tblCellMar>
        </w:tblPrEx>
        <w:trPr>
          <w:trHeight w:val="584"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553" w:type="dxa"/>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财政收入</w:t>
            </w:r>
          </w:p>
        </w:tc>
        <w:tc>
          <w:tcPr>
            <w:tcW w:w="1830" w:type="dxa"/>
            <w:tcBorders>
              <w:top w:val="nil"/>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产出指标质量指标完成财政收入增长目标</w:t>
            </w:r>
          </w:p>
        </w:tc>
        <w:tc>
          <w:tcPr>
            <w:tcW w:w="1485" w:type="dxa"/>
            <w:gridSpan w:val="2"/>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w:t>
            </w:r>
          </w:p>
        </w:tc>
        <w:tc>
          <w:tcPr>
            <w:tcW w:w="1455" w:type="dxa"/>
            <w:tcBorders>
              <w:top w:val="nil"/>
              <w:left w:val="single" w:color="auto" w:sz="4" w:space="0"/>
              <w:bottom w:val="single" w:color="auto" w:sz="4" w:space="0"/>
              <w:right w:val="single" w:color="auto" w:sz="4" w:space="0"/>
            </w:tcBorders>
            <w:vAlign w:val="center"/>
          </w:tcPr>
          <w:p>
            <w:pPr>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3534</w:t>
            </w:r>
          </w:p>
        </w:tc>
        <w:tc>
          <w:tcPr>
            <w:tcW w:w="2386" w:type="dxa"/>
            <w:tcBorders>
              <w:top w:val="nil"/>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万元</w:t>
            </w:r>
          </w:p>
        </w:tc>
      </w:tr>
      <w:tr>
        <w:tblPrEx>
          <w:tblCellMar>
            <w:top w:w="0" w:type="dxa"/>
            <w:left w:w="108" w:type="dxa"/>
            <w:bottom w:w="0" w:type="dxa"/>
            <w:right w:w="108" w:type="dxa"/>
          </w:tblCellMar>
        </w:tblPrEx>
        <w:trPr>
          <w:trHeight w:val="558"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55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财政支出</w:t>
            </w:r>
          </w:p>
        </w:tc>
        <w:tc>
          <w:tcPr>
            <w:tcW w:w="1830"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产出指标质量指标财政支出结构进一步优化，保障“三保”需求足额率</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w:t>
            </w:r>
          </w:p>
        </w:tc>
        <w:tc>
          <w:tcPr>
            <w:tcW w:w="1455" w:type="dxa"/>
            <w:tcBorders>
              <w:top w:val="single" w:color="auto" w:sz="4" w:space="0"/>
              <w:left w:val="single" w:color="auto" w:sz="4" w:space="0"/>
              <w:bottom w:val="single" w:color="auto" w:sz="4" w:space="0"/>
              <w:right w:val="single" w:color="auto" w:sz="4" w:space="0"/>
            </w:tcBorders>
            <w:vAlign w:val="center"/>
          </w:tcPr>
          <w:p>
            <w:pPr>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2386" w:type="dxa"/>
            <w:tcBorders>
              <w:top w:val="single" w:color="auto" w:sz="4" w:space="0"/>
              <w:left w:val="single" w:color="auto" w:sz="4" w:space="0"/>
              <w:bottom w:val="single" w:color="auto" w:sz="4" w:space="0"/>
              <w:right w:val="single" w:color="auto" w:sz="4" w:space="0"/>
            </w:tcBorders>
            <w:vAlign w:val="center"/>
          </w:tcPr>
          <w:p>
            <w:pPr>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w:t>
            </w:r>
          </w:p>
        </w:tc>
      </w:tr>
      <w:tr>
        <w:tblPrEx>
          <w:tblCellMar>
            <w:top w:w="0" w:type="dxa"/>
            <w:left w:w="108" w:type="dxa"/>
            <w:bottom w:w="0" w:type="dxa"/>
            <w:right w:w="108" w:type="dxa"/>
          </w:tblCellMar>
        </w:tblPrEx>
        <w:trPr>
          <w:trHeight w:val="660"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55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预算管理</w:t>
            </w:r>
          </w:p>
        </w:tc>
        <w:tc>
          <w:tcPr>
            <w:tcW w:w="1830"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产出指标质量指标预算管理科学性规范性进一步提升</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定性</w:t>
            </w:r>
          </w:p>
        </w:tc>
        <w:tc>
          <w:tcPr>
            <w:tcW w:w="1455"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优</w:t>
            </w:r>
          </w:p>
        </w:tc>
        <w:tc>
          <w:tcPr>
            <w:tcW w:w="2386"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eastAsia="zh-CN"/>
              </w:rPr>
            </w:pPr>
          </w:p>
        </w:tc>
      </w:tr>
      <w:tr>
        <w:tblPrEx>
          <w:tblCellMar>
            <w:top w:w="0" w:type="dxa"/>
            <w:left w:w="108" w:type="dxa"/>
            <w:bottom w:w="0" w:type="dxa"/>
            <w:right w:w="108" w:type="dxa"/>
          </w:tblCellMar>
        </w:tblPrEx>
        <w:trPr>
          <w:trHeight w:val="596"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55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依法理财</w:t>
            </w:r>
          </w:p>
        </w:tc>
        <w:tc>
          <w:tcPr>
            <w:tcW w:w="1830"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效益指标社会效益指标依照依法理财和依法行政的要求加强财政管理并接受监督</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定性</w:t>
            </w:r>
          </w:p>
        </w:tc>
        <w:tc>
          <w:tcPr>
            <w:tcW w:w="1455"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优</w:t>
            </w:r>
          </w:p>
        </w:tc>
        <w:tc>
          <w:tcPr>
            <w:tcW w:w="2386"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kern w:val="0"/>
                <w:sz w:val="20"/>
                <w:szCs w:val="20"/>
                <w:lang w:eastAsia="zh-CN"/>
              </w:rPr>
            </w:pPr>
          </w:p>
        </w:tc>
      </w:tr>
      <w:tr>
        <w:tblPrEx>
          <w:tblCellMar>
            <w:top w:w="0" w:type="dxa"/>
            <w:left w:w="108" w:type="dxa"/>
            <w:bottom w:w="0" w:type="dxa"/>
            <w:right w:w="108" w:type="dxa"/>
          </w:tblCellMar>
        </w:tblPrEx>
        <w:trPr>
          <w:trHeight w:val="1378" w:hRule="exact"/>
        </w:trPr>
        <w:tc>
          <w:tcPr>
            <w:tcW w:w="1326" w:type="dxa"/>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其他说明的问题</w:t>
            </w:r>
          </w:p>
        </w:tc>
        <w:tc>
          <w:tcPr>
            <w:tcW w:w="8709"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2"/>
                <w:szCs w:val="20"/>
                <w:lang w:eastAsia="zh-CN"/>
              </w:rPr>
            </w:pPr>
            <w:r>
              <w:rPr>
                <w:rFonts w:hint="eastAsia" w:ascii="宋体" w:hAnsi="宋体" w:cs="宋体"/>
                <w:kern w:val="0"/>
                <w:sz w:val="20"/>
                <w:szCs w:val="20"/>
                <w:lang w:eastAsia="zh-CN"/>
              </w:rPr>
              <w:t>无</w:t>
            </w:r>
          </w:p>
        </w:tc>
      </w:tr>
    </w:tbl>
    <w:p>
      <w:pPr>
        <w:spacing w:line="300" w:lineRule="exact"/>
        <w:ind w:left="-424" w:leftChars="-202" w:firstLine="0"/>
        <w:rPr>
          <w:rFonts w:hint="eastAsia"/>
        </w:rPr>
      </w:pPr>
    </w:p>
    <w:p>
      <w:pPr>
        <w:spacing w:line="300" w:lineRule="exact"/>
        <w:ind w:left="-424" w:leftChars="-202" w:firstLine="0"/>
      </w:pPr>
      <w:r>
        <w:rPr>
          <w:rFonts w:hint="eastAsia"/>
        </w:rPr>
        <w:t>填制</w:t>
      </w:r>
      <w:r>
        <w:t>说明：</w:t>
      </w:r>
      <w:r>
        <w:rPr>
          <w:rFonts w:hint="eastAsia"/>
        </w:rPr>
        <w:t>1</w:t>
      </w:r>
      <w:r>
        <w:rPr>
          <w:rFonts w:hint="eastAsia"/>
          <w:lang w:val="en-US" w:eastAsia="zh-CN"/>
        </w:rPr>
        <w:t>.</w:t>
      </w:r>
      <w:r>
        <w:rPr>
          <w:rFonts w:hint="eastAsia"/>
        </w:rPr>
        <w:t>部门（单位）绩效目标：概括部门年度</w:t>
      </w:r>
      <w:r>
        <w:t>总体绩效目标</w:t>
      </w:r>
      <w:r>
        <w:rPr>
          <w:rFonts w:hint="eastAsia"/>
        </w:rPr>
        <w:t>。</w:t>
      </w:r>
    </w:p>
    <w:p>
      <w:pPr>
        <w:spacing w:line="300" w:lineRule="exact"/>
        <w:ind w:firstLine="630" w:firstLineChars="300"/>
      </w:pPr>
      <w:r>
        <w:t>2</w:t>
      </w:r>
      <w:r>
        <w:rPr>
          <w:rFonts w:hint="eastAsia"/>
          <w:lang w:val="en-US" w:eastAsia="zh-CN"/>
        </w:rPr>
        <w:t>.</w:t>
      </w:r>
      <w:r>
        <w:rPr>
          <w:rFonts w:hint="eastAsia"/>
        </w:rPr>
        <w:t>绩效</w:t>
      </w:r>
      <w:r>
        <w:t>指标：是对总体目标的分解和细化。</w:t>
      </w:r>
      <w:r>
        <w:rPr>
          <w:rFonts w:hint="eastAsia"/>
        </w:rPr>
        <w:t>按照</w:t>
      </w:r>
      <w:r>
        <w:t>部门职能</w:t>
      </w:r>
      <w:r>
        <w:rPr>
          <w:rFonts w:hint="eastAsia"/>
        </w:rPr>
        <w:t>、</w:t>
      </w:r>
      <w:r>
        <w:t>年度重点任务</w:t>
      </w:r>
      <w:r>
        <w:rPr>
          <w:rFonts w:hint="eastAsia"/>
        </w:rPr>
        <w:t>和</w:t>
      </w:r>
      <w:r>
        <w:t>年度重点项目分条填写。</w:t>
      </w:r>
    </w:p>
    <w:p>
      <w:pPr>
        <w:spacing w:line="300" w:lineRule="exact"/>
        <w:ind w:firstLine="630" w:firstLineChars="300"/>
      </w:pPr>
      <w:r>
        <w:rPr>
          <w:rFonts w:hint="eastAsia"/>
        </w:rPr>
        <w:t>3</w:t>
      </w:r>
      <w:r>
        <w:rPr>
          <w:rFonts w:hint="eastAsia"/>
          <w:lang w:val="en-US" w:eastAsia="zh-CN"/>
        </w:rPr>
        <w:t>.</w:t>
      </w:r>
      <w:r>
        <w:rPr>
          <w:rFonts w:hint="eastAsia"/>
        </w:rPr>
        <w:t>指标</w:t>
      </w:r>
      <w:r>
        <w:t>内容和指标值</w:t>
      </w:r>
      <w:r>
        <w:rPr>
          <w:rFonts w:hint="eastAsia"/>
        </w:rPr>
        <w:t>：</w:t>
      </w:r>
      <w:r>
        <w:t>应</w:t>
      </w:r>
      <w:r>
        <w:rPr>
          <w:rFonts w:hint="eastAsia"/>
        </w:rPr>
        <w:t>包括</w:t>
      </w:r>
      <w:r>
        <w:t>年度产出</w:t>
      </w:r>
      <w:r>
        <w:rPr>
          <w:rFonts w:hint="eastAsia"/>
        </w:rPr>
        <w:t>目标</w:t>
      </w:r>
      <w:r>
        <w:t>，以及</w:t>
      </w:r>
      <w:r>
        <w:rPr>
          <w:rFonts w:hint="eastAsia"/>
        </w:rPr>
        <w:t>相应产出</w:t>
      </w:r>
      <w:r>
        <w:t>所带来的效果</w:t>
      </w:r>
      <w:r>
        <w:rPr>
          <w:rFonts w:hint="eastAsia"/>
        </w:rPr>
        <w:t>目标</w:t>
      </w:r>
      <w:r>
        <w:t>。</w:t>
      </w:r>
      <w:r>
        <w:rPr>
          <w:rFonts w:hint="eastAsia"/>
        </w:rPr>
        <w:t>其中</w:t>
      </w:r>
      <w:r>
        <w:t>，</w:t>
      </w:r>
      <w:r>
        <w:rPr>
          <w:rFonts w:hint="eastAsia"/>
        </w:rPr>
        <w:t>产出目标应</w:t>
      </w:r>
      <w:r>
        <w:t>量化</w:t>
      </w:r>
      <w:r>
        <w:rPr>
          <w:rFonts w:hint="eastAsia"/>
        </w:rPr>
        <w:t>，预期</w:t>
      </w:r>
      <w:r>
        <w:t>效果标应明确</w:t>
      </w:r>
      <w:r>
        <w:rPr>
          <w:rFonts w:hint="eastAsia"/>
        </w:rPr>
        <w:t>。</w:t>
      </w:r>
    </w:p>
    <w:p>
      <w:pPr>
        <w:spacing w:line="300" w:lineRule="exact"/>
        <w:ind w:firstLine="630" w:firstLineChars="300"/>
      </w:pPr>
      <w:r>
        <w:t>4</w:t>
      </w:r>
      <w:r>
        <w:rPr>
          <w:rFonts w:hint="eastAsia"/>
          <w:lang w:val="en-US" w:eastAsia="zh-CN"/>
        </w:rPr>
        <w:t>.</w:t>
      </w:r>
      <w:r>
        <w:t>指标内容</w:t>
      </w:r>
      <w:r>
        <w:rPr>
          <w:rFonts w:hint="eastAsia"/>
        </w:rPr>
        <w:t>：</w:t>
      </w:r>
      <w:r>
        <w:t>是对</w:t>
      </w:r>
      <w:r>
        <w:rPr>
          <w:rFonts w:hint="eastAsia"/>
        </w:rPr>
        <w:t>分解</w:t>
      </w:r>
      <w:r>
        <w:t>细化绩效目标的</w:t>
      </w:r>
      <w:r>
        <w:rPr>
          <w:rFonts w:hint="eastAsia"/>
        </w:rPr>
        <w:t>具体</w:t>
      </w:r>
      <w:r>
        <w:t>描述。</w:t>
      </w:r>
    </w:p>
    <w:p>
      <w:pPr>
        <w:spacing w:line="300" w:lineRule="exact"/>
        <w:ind w:firstLine="630" w:firstLineChars="300"/>
        <w:rPr>
          <w:rFonts w:hint="eastAsia"/>
        </w:rPr>
      </w:pPr>
      <w:r>
        <w:t>5</w:t>
      </w:r>
      <w:r>
        <w:rPr>
          <w:rFonts w:hint="eastAsia"/>
          <w:lang w:val="en-US" w:eastAsia="zh-CN"/>
        </w:rPr>
        <w:t>.</w:t>
      </w:r>
      <w:r>
        <w:t>指标值</w:t>
      </w:r>
      <w:r>
        <w:rPr>
          <w:rFonts w:hint="eastAsia"/>
        </w:rPr>
        <w:t>：是</w:t>
      </w:r>
      <w:r>
        <w:t>绩效目标</w:t>
      </w:r>
      <w:r>
        <w:rPr>
          <w:rFonts w:hint="eastAsia"/>
        </w:rPr>
        <w:t>要</w:t>
      </w:r>
      <w:r>
        <w:t>达到</w:t>
      </w:r>
      <w:r>
        <w:rPr>
          <w:rFonts w:hint="eastAsia"/>
        </w:rPr>
        <w:t>的</w:t>
      </w:r>
      <w:r>
        <w:t>量化</w:t>
      </w:r>
      <w:r>
        <w:rPr>
          <w:rFonts w:hint="eastAsia"/>
        </w:rPr>
        <w:t>的</w:t>
      </w:r>
      <w:r>
        <w:t>或</w:t>
      </w:r>
      <w:r>
        <w:rPr>
          <w:rFonts w:hint="eastAsia"/>
        </w:rPr>
        <w:t>其他</w:t>
      </w:r>
      <w:r>
        <w:t>可衡量的</w:t>
      </w:r>
      <w:r>
        <w:rPr>
          <w:rFonts w:hint="eastAsia"/>
        </w:rPr>
        <w:t>值。</w:t>
      </w:r>
    </w:p>
    <w:p>
      <w:pPr>
        <w:spacing w:line="20" w:lineRule="exact"/>
        <w:ind w:left="-21" w:leftChars="-10" w:right="42" w:rightChars="20"/>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0NDFkNDU2NDkwYWNlYjZhOTc3ZjBkYmI2ODQ0NGEifQ=="/>
  </w:docVars>
  <w:rsids>
    <w:rsidRoot w:val="00000000"/>
    <w:rsid w:val="0457562B"/>
    <w:rsid w:val="07A16E6C"/>
    <w:rsid w:val="0BB168A6"/>
    <w:rsid w:val="22482CD4"/>
    <w:rsid w:val="260A54C9"/>
    <w:rsid w:val="3A995A7A"/>
    <w:rsid w:val="3F3033EF"/>
    <w:rsid w:val="46E74939"/>
    <w:rsid w:val="4BDA1590"/>
    <w:rsid w:val="4BFF6AAE"/>
    <w:rsid w:val="4C9E55ED"/>
    <w:rsid w:val="4E5035AF"/>
    <w:rsid w:val="4E7C6C34"/>
    <w:rsid w:val="55943B88"/>
    <w:rsid w:val="5A697F66"/>
    <w:rsid w:val="5C432ABB"/>
    <w:rsid w:val="5D0F126D"/>
    <w:rsid w:val="624D66E8"/>
    <w:rsid w:val="70274260"/>
    <w:rsid w:val="760177E7"/>
    <w:rsid w:val="76866C9A"/>
    <w:rsid w:val="77FA418F"/>
    <w:rsid w:val="7901603A"/>
    <w:rsid w:val="7CB44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line="360" w:lineRule="auto"/>
      <w:jc w:val="center"/>
      <w:outlineLvl w:val="0"/>
    </w:pPr>
    <w:rPr>
      <w:b/>
      <w:bCs/>
      <w:kern w:val="44"/>
      <w:sz w:val="36"/>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szCs w:val="20"/>
    </w:rPr>
  </w:style>
  <w:style w:type="character" w:styleId="6">
    <w:name w:val="page number"/>
    <w:basedOn w:val="5"/>
    <w:autoRedefine/>
    <w:qFormat/>
    <w:uiPriority w:val="0"/>
  </w:style>
  <w:style w:type="character" w:styleId="7">
    <w:name w:val="FollowedHyperlink"/>
    <w:basedOn w:val="5"/>
    <w:autoRedefine/>
    <w:qFormat/>
    <w:uiPriority w:val="0"/>
    <w:rPr>
      <w:color w:val="0000FF"/>
      <w:u w:val="single"/>
    </w:rPr>
  </w:style>
  <w:style w:type="character" w:styleId="8">
    <w:name w:val="Hyperlink"/>
    <w:basedOn w:val="5"/>
    <w:autoRedefine/>
    <w:qFormat/>
    <w:uiPriority w:val="0"/>
    <w:rPr>
      <w:color w:val="0000FF"/>
      <w:u w:val="single"/>
    </w:rPr>
  </w:style>
  <w:style w:type="character" w:customStyle="1" w:styleId="9">
    <w:name w:val="realname"/>
    <w:basedOn w:val="5"/>
    <w:autoRedefine/>
    <w:qFormat/>
    <w:uiPriority w:val="0"/>
    <w:rPr>
      <w:b/>
      <w:color w:val="159AD2"/>
    </w:rPr>
  </w:style>
  <w:style w:type="character" w:customStyle="1" w:styleId="10">
    <w:name w:val="realname1"/>
    <w:basedOn w:val="5"/>
    <w:autoRedefine/>
    <w:qFormat/>
    <w:uiPriority w:val="0"/>
    <w:rPr>
      <w:b/>
      <w:color w:val="159AD2"/>
    </w:rPr>
  </w:style>
  <w:style w:type="character" w:customStyle="1" w:styleId="11">
    <w:name w:val="realname2"/>
    <w:basedOn w:val="5"/>
    <w:qFormat/>
    <w:uiPriority w:val="0"/>
    <w:rPr>
      <w:b/>
      <w:color w:val="51C802"/>
    </w:rPr>
  </w:style>
  <w:style w:type="character" w:customStyle="1" w:styleId="12">
    <w:name w:val="realname3"/>
    <w:basedOn w:val="5"/>
    <w:qFormat/>
    <w:uiPriority w:val="0"/>
    <w:rPr>
      <w:b/>
      <w:color w:val="51C802"/>
    </w:rPr>
  </w:style>
  <w:style w:type="character" w:customStyle="1" w:styleId="13">
    <w:name w:val="time"/>
    <w:basedOn w:val="5"/>
    <w:qFormat/>
    <w:uiPriority w:val="0"/>
    <w:rPr>
      <w:color w:val="AFAFAF"/>
    </w:rPr>
  </w:style>
  <w:style w:type="character" w:customStyle="1" w:styleId="14">
    <w:name w:val="time1"/>
    <w:basedOn w:val="5"/>
    <w:autoRedefine/>
    <w:qFormat/>
    <w:uiPriority w:val="0"/>
    <w:rPr>
      <w:color w:val="AFAFAF"/>
    </w:rPr>
  </w:style>
  <w:style w:type="character" w:customStyle="1" w:styleId="15">
    <w:name w:val="time2"/>
    <w:basedOn w:val="5"/>
    <w:autoRedefine/>
    <w:qFormat/>
    <w:uiPriority w:val="0"/>
    <w:rPr>
      <w:color w:val="AFAFAF"/>
    </w:rPr>
  </w:style>
  <w:style w:type="character" w:customStyle="1" w:styleId="16">
    <w:name w:val="time3"/>
    <w:basedOn w:val="5"/>
    <w:qFormat/>
    <w:uiPriority w:val="0"/>
    <w:rPr>
      <w:color w:val="AFAFAF"/>
    </w:rPr>
  </w:style>
  <w:style w:type="character" w:customStyle="1" w:styleId="17">
    <w:name w:val="realnamemulti"/>
    <w:basedOn w:val="5"/>
    <w:autoRedefine/>
    <w:qFormat/>
    <w:uiPriority w:val="0"/>
    <w:rPr>
      <w:b/>
      <w:color w:val="51C802"/>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一小蝶儿豆腐</cp:lastModifiedBy>
  <cp:lastPrinted>2022-01-24T09:06:00Z</cp:lastPrinted>
  <dcterms:modified xsi:type="dcterms:W3CDTF">2024-02-20T06:20:30Z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3AC7A226928D4EEB8EA3E688A6321759_13</vt:lpwstr>
  </property>
</Properties>
</file>