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30"/>
          <w:szCs w:val="30"/>
        </w:rPr>
      </w:pPr>
    </w:p>
    <w:p>
      <w:pPr>
        <w:jc w:val="center"/>
        <w:rPr>
          <w:rFonts w:ascii="方正小标宋简体" w:hAnsi="仿宋" w:eastAsia="方正小标宋简体"/>
          <w:b/>
          <w:sz w:val="44"/>
          <w:szCs w:val="44"/>
        </w:rPr>
      </w:pPr>
      <w:r>
        <w:rPr>
          <w:rFonts w:hint="eastAsia" w:ascii="方正小标宋简体" w:hAnsi="仿宋" w:eastAsia="方正小标宋简体"/>
          <w:b/>
          <w:sz w:val="44"/>
          <w:szCs w:val="44"/>
        </w:rPr>
        <w:t>大兴区魏善庄镇部门</w:t>
      </w:r>
    </w:p>
    <w:p>
      <w:pPr>
        <w:jc w:val="center"/>
        <w:rPr>
          <w:rFonts w:ascii="方正小标宋简体" w:hAnsi="仿宋" w:eastAsia="方正小标宋简体"/>
          <w:b/>
          <w:sz w:val="44"/>
          <w:szCs w:val="44"/>
        </w:rPr>
      </w:pPr>
      <w:r>
        <w:rPr>
          <w:rFonts w:hint="eastAsia" w:ascii="方正小标宋简体" w:hAnsi="仿宋" w:eastAsia="方正小标宋简体"/>
          <w:b/>
          <w:sz w:val="44"/>
          <w:szCs w:val="44"/>
        </w:rPr>
        <w:t>2024年预算公开情况说明</w:t>
      </w:r>
    </w:p>
    <w:p>
      <w:pPr>
        <w:rPr>
          <w:rFonts w:ascii="方正小标宋简体" w:hAnsi="仿宋" w:eastAsia="方正小标宋简体"/>
          <w:sz w:val="30"/>
          <w:szCs w:val="30"/>
        </w:rPr>
      </w:pPr>
    </w:p>
    <w:p>
      <w:pPr>
        <w:spacing w:line="560" w:lineRule="exact"/>
        <w:ind w:firstLine="640" w:firstLineChars="200"/>
        <w:rPr>
          <w:rFonts w:ascii="黑体" w:hAnsi="黑体" w:eastAsia="黑体"/>
          <w:sz w:val="32"/>
          <w:szCs w:val="32"/>
        </w:rPr>
      </w:pPr>
      <w:r>
        <w:rPr>
          <w:rFonts w:hint="eastAsia" w:ascii="黑体" w:hAnsi="黑体" w:eastAsia="黑体"/>
          <w:sz w:val="32"/>
          <w:szCs w:val="32"/>
        </w:rPr>
        <w:t>一、部门基本情况</w:t>
      </w:r>
    </w:p>
    <w:p>
      <w:pPr>
        <w:spacing w:line="560" w:lineRule="exact"/>
        <w:ind w:firstLine="640" w:firstLineChars="200"/>
        <w:rPr>
          <w:rFonts w:ascii="楷体_GB2312" w:hAnsi="仿宋" w:eastAsia="楷体_GB2312"/>
          <w:b/>
          <w:sz w:val="32"/>
          <w:szCs w:val="32"/>
        </w:rPr>
      </w:pPr>
      <w:r>
        <w:rPr>
          <w:rFonts w:hint="eastAsia" w:ascii="楷体_GB2312" w:hAnsi="仿宋" w:eastAsia="楷体_GB2312"/>
          <w:sz w:val="32"/>
          <w:szCs w:val="32"/>
        </w:rPr>
        <w:t>（一）主要职能</w:t>
      </w:r>
    </w:p>
    <w:p>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魏善庄镇政府在镇党委的直接领导下开展工作，按《中华人民共和国宪法》和《中华人民共和国地方各级人民代表大会和地方人民政府组织法》的有关规定，魏善庄镇政府的主要职责是：</w:t>
      </w:r>
    </w:p>
    <w:p>
      <w:pPr>
        <w:pStyle w:val="6"/>
        <w:spacing w:before="0" w:beforeAutospacing="0" w:after="0" w:afterAutospacing="0" w:line="560" w:lineRule="exact"/>
        <w:ind w:firstLine="640" w:firstLineChars="200"/>
        <w:jc w:val="both"/>
        <w:rPr>
          <w:rFonts w:hint="eastAsia" w:ascii="楷体_GB2312" w:hAnsi="微软雅黑" w:eastAsia="楷体_GB2312"/>
          <w:sz w:val="32"/>
          <w:szCs w:val="32"/>
        </w:rPr>
      </w:pPr>
      <w:r>
        <w:rPr>
          <w:rFonts w:hint="eastAsia" w:ascii="楷体_GB2312" w:hAnsi="微软雅黑" w:eastAsia="楷体_GB2312"/>
          <w:sz w:val="32"/>
          <w:szCs w:val="32"/>
        </w:rPr>
        <w:t>(二)镇党委的主要职责</w:t>
      </w:r>
    </w:p>
    <w:p>
      <w:pPr>
        <w:pStyle w:val="6"/>
        <w:spacing w:before="0" w:beforeAutospacing="0" w:after="0" w:afterAutospacing="0" w:line="560" w:lineRule="exact"/>
        <w:ind w:firstLine="200"/>
        <w:jc w:val="both"/>
        <w:rPr>
          <w:rFonts w:hint="eastAsia" w:ascii="仿宋_GB2312" w:hAnsi="微软雅黑" w:eastAsia="仿宋_GB2312"/>
          <w:sz w:val="32"/>
          <w:szCs w:val="32"/>
        </w:rPr>
      </w:pPr>
      <w:r>
        <w:rPr>
          <w:rFonts w:hint="eastAsia" w:ascii="仿宋_GB2312" w:hAnsi="微软雅黑" w:eastAsia="仿宋_GB2312"/>
          <w:sz w:val="32"/>
          <w:szCs w:val="32"/>
        </w:rPr>
        <w:t xml:space="preserve">    1.宣传和贯彻执行党的路线方针政策和党中央、市委、区委及本镇党员代表大会的决议。</w:t>
      </w:r>
    </w:p>
    <w:p>
      <w:pPr>
        <w:pStyle w:val="6"/>
        <w:spacing w:before="0" w:beforeAutospacing="0" w:after="0" w:afterAutospacing="0" w:line="560" w:lineRule="exact"/>
        <w:ind w:firstLine="800" w:firstLineChars="250"/>
        <w:jc w:val="both"/>
        <w:rPr>
          <w:rFonts w:hint="eastAsia" w:ascii="仿宋_GB2312" w:hAnsi="微软雅黑" w:eastAsia="仿宋_GB2312"/>
          <w:sz w:val="32"/>
          <w:szCs w:val="32"/>
        </w:rPr>
      </w:pPr>
      <w:r>
        <w:rPr>
          <w:rFonts w:hint="eastAsia" w:ascii="仿宋_GB2312" w:hAnsi="微软雅黑" w:eastAsia="仿宋_GB2312"/>
          <w:sz w:val="32"/>
          <w:szCs w:val="32"/>
        </w:rPr>
        <w:t>2.讨论和决定本镇经济建设、政治建设、文化建设、社会建设、生态文明建设和党的建设以及乡村振兴中的重大问题。需由镇政权机关或者集体经济组织决定的重要事项，经镇党委研究讨论后，由镇政权机关或者集体经济组织依照法律和有关规定作出决定。</w:t>
      </w:r>
    </w:p>
    <w:p>
      <w:pPr>
        <w:pStyle w:val="6"/>
        <w:spacing w:before="0" w:beforeAutospacing="0" w:after="0" w:afterAutospacing="0" w:line="560" w:lineRule="exact"/>
        <w:ind w:firstLine="800" w:firstLineChars="250"/>
        <w:jc w:val="both"/>
        <w:rPr>
          <w:rFonts w:hint="eastAsia" w:ascii="仿宋_GB2312" w:hAnsi="微软雅黑" w:eastAsia="仿宋_GB2312"/>
          <w:sz w:val="32"/>
          <w:szCs w:val="32"/>
        </w:rPr>
      </w:pPr>
      <w:r>
        <w:rPr>
          <w:rFonts w:hint="eastAsia" w:ascii="仿宋_GB2312" w:hAnsi="微软雅黑" w:eastAsia="仿宋_GB2312"/>
          <w:sz w:val="32"/>
          <w:szCs w:val="32"/>
        </w:rPr>
        <w:t>3.领导本镇政权机关、群团组织和其他各类组织，加强指导和规范，支持和保证这些机关和组织依照国家法律法规以及各自章程履行职责。</w:t>
      </w:r>
    </w:p>
    <w:p>
      <w:pPr>
        <w:pStyle w:val="6"/>
        <w:spacing w:before="0" w:beforeAutospacing="0" w:after="0" w:afterAutospacing="0" w:line="560" w:lineRule="exact"/>
        <w:ind w:firstLine="640" w:firstLineChars="200"/>
        <w:jc w:val="both"/>
        <w:rPr>
          <w:rFonts w:hint="eastAsia" w:ascii="仿宋_GB2312" w:hAnsi="微软雅黑" w:eastAsia="仿宋_GB2312"/>
          <w:sz w:val="32"/>
          <w:szCs w:val="32"/>
        </w:rPr>
      </w:pPr>
      <w:r>
        <w:rPr>
          <w:rFonts w:hint="eastAsia" w:ascii="仿宋_GB2312" w:hAnsi="微软雅黑" w:eastAsia="仿宋_GB2312"/>
          <w:sz w:val="32"/>
          <w:szCs w:val="32"/>
        </w:rPr>
        <w:t>4.加强镇党委自身建设和村党组织建设，以及其他隶属镇党委的党组织建设，抓好发展党员工作，加强党员队伍建设。维护和执行党的纪律，监督党员干部和其他任何工作人员严格遵守国家法律法规。</w:t>
      </w:r>
    </w:p>
    <w:p>
      <w:pPr>
        <w:pStyle w:val="6"/>
        <w:spacing w:before="0" w:beforeAutospacing="0" w:after="0" w:afterAutospacing="0" w:line="560" w:lineRule="exact"/>
        <w:ind w:firstLine="640" w:firstLineChars="200"/>
        <w:jc w:val="both"/>
        <w:rPr>
          <w:rFonts w:hint="eastAsia" w:ascii="仿宋_GB2312" w:hAnsi="微软雅黑" w:eastAsia="仿宋_GB2312"/>
          <w:sz w:val="32"/>
          <w:szCs w:val="32"/>
        </w:rPr>
      </w:pPr>
      <w:r>
        <w:rPr>
          <w:rFonts w:hint="eastAsia" w:ascii="仿宋_GB2312" w:hAnsi="微软雅黑" w:eastAsia="仿宋_GB2312"/>
          <w:sz w:val="32"/>
          <w:szCs w:val="32"/>
        </w:rPr>
        <w:t>5.按照干部管理权限，负责对干部的教育、培训、选拔、考核和监督工作。协助管理市、区有关部门驻本镇单位的干部。做好人才服务和引进工作。</w:t>
      </w:r>
    </w:p>
    <w:p>
      <w:pPr>
        <w:pStyle w:val="6"/>
        <w:spacing w:before="0" w:beforeAutospacing="0" w:after="0" w:afterAutospacing="0" w:line="560" w:lineRule="exact"/>
        <w:ind w:firstLine="640" w:firstLineChars="200"/>
        <w:jc w:val="both"/>
        <w:rPr>
          <w:rFonts w:hint="eastAsia" w:ascii="仿宋_GB2312" w:hAnsi="微软雅黑" w:eastAsia="仿宋_GB2312"/>
          <w:sz w:val="32"/>
          <w:szCs w:val="32"/>
        </w:rPr>
      </w:pPr>
      <w:r>
        <w:rPr>
          <w:rFonts w:hint="eastAsia" w:ascii="仿宋_GB2312" w:hAnsi="微软雅黑" w:eastAsia="仿宋_GB2312"/>
          <w:sz w:val="32"/>
          <w:szCs w:val="32"/>
        </w:rPr>
        <w:t>6.领导本镇的基层治理，加强社会主义民主法治建设和精神文明建设，加强社会治安综合治理，做好生态环保、美丽乡村建设、民生保障、民族宗教等工作。</w:t>
      </w:r>
    </w:p>
    <w:p>
      <w:pPr>
        <w:pStyle w:val="6"/>
        <w:spacing w:before="0" w:beforeAutospacing="0" w:after="0" w:afterAutospacing="0" w:line="560" w:lineRule="exact"/>
        <w:ind w:firstLine="640" w:firstLineChars="200"/>
        <w:jc w:val="both"/>
        <w:rPr>
          <w:rFonts w:hint="eastAsia" w:ascii="仿宋_GB2312" w:hAnsi="微软雅黑" w:eastAsia="仿宋_GB2312"/>
          <w:sz w:val="32"/>
          <w:szCs w:val="32"/>
        </w:rPr>
      </w:pPr>
      <w:r>
        <w:rPr>
          <w:rFonts w:hint="eastAsia" w:ascii="仿宋_GB2312" w:hAnsi="微软雅黑" w:eastAsia="仿宋_GB2312"/>
          <w:sz w:val="32"/>
          <w:szCs w:val="32"/>
        </w:rPr>
        <w:t>7.承办区委交办的其他事项。</w:t>
      </w:r>
    </w:p>
    <w:p>
      <w:pPr>
        <w:pStyle w:val="6"/>
        <w:spacing w:before="0" w:beforeAutospacing="0" w:after="0" w:afterAutospacing="0" w:line="560" w:lineRule="exact"/>
        <w:ind w:firstLine="320" w:firstLineChars="100"/>
        <w:jc w:val="both"/>
        <w:rPr>
          <w:rFonts w:hint="eastAsia" w:ascii="仿宋_GB2312" w:hAnsi="微软雅黑" w:eastAsia="仿宋_GB2312"/>
          <w:sz w:val="32"/>
          <w:szCs w:val="32"/>
        </w:rPr>
      </w:pPr>
      <w:r>
        <w:rPr>
          <w:rFonts w:hint="eastAsia" w:ascii="楷体_GB2312" w:hAnsi="黑体" w:eastAsia="楷体_GB2312"/>
          <w:sz w:val="32"/>
          <w:szCs w:val="32"/>
        </w:rPr>
        <w:t>（三）镇人民政府的主要职责</w:t>
      </w:r>
    </w:p>
    <w:p>
      <w:pPr>
        <w:pStyle w:val="6"/>
        <w:spacing w:before="0" w:beforeAutospacing="0" w:after="0" w:afterAutospacing="0" w:line="560" w:lineRule="exact"/>
        <w:ind w:firstLine="640" w:firstLineChars="200"/>
        <w:rPr>
          <w:rFonts w:hint="eastAsia" w:ascii="仿宋_GB2312" w:hAnsi="微软雅黑" w:eastAsia="仿宋_GB2312"/>
          <w:sz w:val="32"/>
          <w:szCs w:val="32"/>
        </w:rPr>
      </w:pPr>
      <w:r>
        <w:rPr>
          <w:rFonts w:hint="eastAsia" w:ascii="仿宋_GB2312" w:hAnsi="微软雅黑" w:eastAsia="仿宋_GB2312"/>
          <w:sz w:val="32"/>
          <w:szCs w:val="32"/>
        </w:rPr>
        <w:t>1.贯彻执行法律、法规、规章和市、区政府的决定、命令，执行本级人民代表大会的决议，发布决定和命令。</w:t>
      </w:r>
    </w:p>
    <w:p>
      <w:pPr>
        <w:pStyle w:val="6"/>
        <w:spacing w:before="0" w:beforeAutospacing="0" w:after="0" w:afterAutospacing="0" w:line="560" w:lineRule="exact"/>
        <w:ind w:firstLine="640" w:firstLineChars="200"/>
        <w:rPr>
          <w:rFonts w:hint="eastAsia" w:ascii="仿宋_GB2312" w:hAnsi="微软雅黑" w:eastAsia="仿宋_GB2312"/>
          <w:sz w:val="32"/>
          <w:szCs w:val="32"/>
        </w:rPr>
      </w:pPr>
      <w:r>
        <w:rPr>
          <w:rFonts w:hint="eastAsia" w:ascii="仿宋_GB2312" w:hAnsi="微软雅黑" w:eastAsia="仿宋_GB2312"/>
          <w:sz w:val="32"/>
          <w:szCs w:val="32"/>
        </w:rPr>
        <w:t>2.执行本行政区域内的经济和社会发展计划、预算，管理本行政区域内的经济、教育、科学、文化、卫生、体育事业和财政、民政、司法行政、计划生育等行政工作。</w:t>
      </w:r>
    </w:p>
    <w:p>
      <w:pPr>
        <w:pStyle w:val="6"/>
        <w:spacing w:before="0" w:beforeAutospacing="0" w:after="0" w:afterAutospacing="0" w:line="560" w:lineRule="exact"/>
        <w:ind w:firstLine="640" w:firstLineChars="200"/>
        <w:rPr>
          <w:rFonts w:hint="eastAsia" w:ascii="仿宋_GB2312" w:hAnsi="微软雅黑" w:eastAsia="仿宋_GB2312"/>
          <w:sz w:val="32"/>
          <w:szCs w:val="32"/>
        </w:rPr>
      </w:pPr>
      <w:r>
        <w:rPr>
          <w:rFonts w:hint="eastAsia" w:ascii="仿宋_GB2312" w:hAnsi="微软雅黑" w:eastAsia="仿宋_GB2312"/>
          <w:sz w:val="32"/>
          <w:szCs w:val="32"/>
        </w:rPr>
        <w:t>3.保护社会主义的全民所有的财产和劳动群众集体所有的财产，保护公民私人所有的合法财产，维护社会秩序，保障公民的人身权利、民主权利和其他权利。</w:t>
      </w:r>
    </w:p>
    <w:p>
      <w:pPr>
        <w:pStyle w:val="6"/>
        <w:spacing w:before="0" w:beforeAutospacing="0" w:after="0" w:afterAutospacing="0" w:line="560" w:lineRule="exact"/>
        <w:ind w:firstLine="640" w:firstLineChars="200"/>
        <w:rPr>
          <w:rFonts w:hint="eastAsia" w:ascii="仿宋_GB2312" w:hAnsi="微软雅黑" w:eastAsia="仿宋_GB2312"/>
          <w:sz w:val="32"/>
          <w:szCs w:val="32"/>
        </w:rPr>
      </w:pPr>
      <w:r>
        <w:rPr>
          <w:rFonts w:hint="eastAsia" w:ascii="仿宋_GB2312" w:hAnsi="微软雅黑" w:eastAsia="仿宋_GB2312"/>
          <w:sz w:val="32"/>
          <w:szCs w:val="32"/>
        </w:rPr>
        <w:t>4.保护各种经济组织的合法权益。</w:t>
      </w:r>
    </w:p>
    <w:p>
      <w:pPr>
        <w:pStyle w:val="6"/>
        <w:spacing w:before="0" w:beforeAutospacing="0" w:after="0" w:afterAutospacing="0" w:line="560" w:lineRule="exact"/>
        <w:ind w:firstLine="640" w:firstLineChars="200"/>
        <w:rPr>
          <w:rFonts w:hint="eastAsia" w:ascii="仿宋_GB2312" w:hAnsi="微软雅黑" w:eastAsia="仿宋_GB2312"/>
          <w:sz w:val="32"/>
          <w:szCs w:val="32"/>
        </w:rPr>
      </w:pPr>
      <w:r>
        <w:rPr>
          <w:rFonts w:hint="eastAsia" w:ascii="仿宋_GB2312" w:hAnsi="微软雅黑" w:eastAsia="仿宋_GB2312"/>
          <w:sz w:val="32"/>
          <w:szCs w:val="32"/>
        </w:rPr>
        <w:t>5.保障少数民族的权利和尊重少数民族的风俗习惯。</w:t>
      </w:r>
    </w:p>
    <w:p>
      <w:pPr>
        <w:pStyle w:val="6"/>
        <w:spacing w:before="0" w:beforeAutospacing="0" w:after="0" w:afterAutospacing="0" w:line="560" w:lineRule="exact"/>
        <w:ind w:firstLine="640" w:firstLineChars="200"/>
        <w:rPr>
          <w:rFonts w:hint="eastAsia" w:ascii="仿宋_GB2312" w:hAnsi="微软雅黑" w:eastAsia="仿宋_GB2312"/>
          <w:sz w:val="32"/>
          <w:szCs w:val="32"/>
        </w:rPr>
      </w:pPr>
      <w:r>
        <w:rPr>
          <w:rFonts w:hint="eastAsia" w:ascii="仿宋_GB2312" w:hAnsi="微软雅黑" w:eastAsia="仿宋_GB2312"/>
          <w:sz w:val="32"/>
          <w:szCs w:val="32"/>
        </w:rPr>
        <w:t>6.保障宪法和法律赋予妇女的男女平等、同工同酬和婚姻自由等各项权利。</w:t>
      </w:r>
    </w:p>
    <w:p>
      <w:pPr>
        <w:pStyle w:val="6"/>
        <w:spacing w:before="0" w:beforeAutospacing="0" w:after="0" w:afterAutospacing="0" w:line="560" w:lineRule="exact"/>
        <w:ind w:firstLine="640" w:firstLineChars="200"/>
        <w:rPr>
          <w:rFonts w:hint="eastAsia" w:ascii="仿宋_GB2312" w:hAnsi="微软雅黑" w:eastAsia="仿宋_GB2312"/>
          <w:sz w:val="32"/>
          <w:szCs w:val="32"/>
        </w:rPr>
      </w:pPr>
      <w:r>
        <w:rPr>
          <w:rFonts w:hint="eastAsia" w:ascii="仿宋_GB2312" w:hAnsi="微软雅黑" w:eastAsia="仿宋_GB2312"/>
          <w:sz w:val="32"/>
          <w:szCs w:val="32"/>
        </w:rPr>
        <w:t>7.承办区政府交办的其他事项。</w:t>
      </w:r>
    </w:p>
    <w:p>
      <w:pPr>
        <w:spacing w:line="560" w:lineRule="exact"/>
        <w:ind w:firstLine="320" w:firstLineChars="100"/>
        <w:rPr>
          <w:rFonts w:ascii="楷体_GB2312" w:hAnsi="仿宋" w:eastAsia="楷体_GB2312"/>
          <w:sz w:val="32"/>
          <w:szCs w:val="32"/>
        </w:rPr>
      </w:pPr>
      <w:r>
        <w:rPr>
          <w:rFonts w:hint="eastAsia" w:ascii="楷体_GB2312" w:hAnsi="仿宋" w:eastAsia="楷体_GB2312"/>
          <w:sz w:val="32"/>
          <w:szCs w:val="32"/>
        </w:rPr>
        <w:t>（四）机构设置情况、单位性质、人员情况</w:t>
      </w:r>
    </w:p>
    <w:p>
      <w:pPr>
        <w:pStyle w:val="2"/>
        <w:shd w:val="clear" w:color="auto" w:fill="FFFFFF"/>
        <w:spacing w:before="0" w:beforeAutospacing="0" w:after="0" w:afterAutospacing="0" w:line="560" w:lineRule="exact"/>
        <w:ind w:firstLine="627" w:firstLineChars="196"/>
        <w:rPr>
          <w:rFonts w:ascii="仿宋_GB2312" w:hAnsi="仿宋" w:eastAsia="仿宋_GB2312"/>
          <w:b w:val="0"/>
          <w:sz w:val="32"/>
          <w:szCs w:val="32"/>
        </w:rPr>
      </w:pPr>
      <w:r>
        <w:rPr>
          <w:rFonts w:hint="eastAsia" w:ascii="仿宋_GB2312" w:hAnsi="仿宋" w:eastAsia="仿宋_GB2312"/>
          <w:b w:val="0"/>
          <w:sz w:val="32"/>
          <w:szCs w:val="32"/>
        </w:rPr>
        <w:t>北京市大兴区魏善庄镇人民政府为行政机关单位，内设机构包括8个办公室，分别是：</w:t>
      </w:r>
      <w:r>
        <w:fldChar w:fldCharType="begin"/>
      </w:r>
      <w:r>
        <w:instrText xml:space="preserve"> HYPERLINK "https://www.bjdx.gov.cn/bjsdxqrmzf/zwfw/jgzq/zj/wszz/nsjg8778/1890219/index.html" \t "_blank" \o "党群工作办公室（挂人大工作办公室牌子）" </w:instrText>
      </w:r>
      <w:r>
        <w:fldChar w:fldCharType="separate"/>
      </w:r>
      <w:r>
        <w:rPr>
          <w:rFonts w:hint="eastAsia" w:ascii="仿宋_GB2312" w:hAnsi="微软雅黑" w:eastAsia="仿宋_GB2312"/>
          <w:b w:val="0"/>
          <w:color w:val="222222"/>
          <w:sz w:val="32"/>
          <w:szCs w:val="32"/>
        </w:rPr>
        <w:t>党群工作办公室</w:t>
      </w:r>
      <w:r>
        <w:rPr>
          <w:rFonts w:hint="eastAsia" w:ascii="仿宋_GB2312" w:hAnsi="微软雅黑" w:eastAsia="仿宋_GB2312"/>
          <w:b w:val="0"/>
          <w:color w:val="222222"/>
          <w:sz w:val="32"/>
          <w:szCs w:val="32"/>
        </w:rPr>
        <w:fldChar w:fldCharType="end"/>
      </w:r>
      <w:r>
        <w:rPr>
          <w:rFonts w:hint="eastAsia" w:ascii="仿宋_GB2312" w:hAnsi="微软雅黑" w:eastAsia="仿宋_GB2312"/>
          <w:b w:val="0"/>
          <w:color w:val="666666"/>
          <w:sz w:val="32"/>
          <w:szCs w:val="32"/>
        </w:rPr>
        <w:t>、</w:t>
      </w:r>
      <w:r>
        <w:fldChar w:fldCharType="begin"/>
      </w:r>
      <w:r>
        <w:instrText xml:space="preserve"> HYPERLINK "https://www.bjdx.gov.cn/bjsdxqrmzf/zwfw/jgzq/zj/wszz/nsjg8778/1890216/index.html" \t "_blank" \o "平安建设办公室（挂人民武装部、司法所牌子）" </w:instrText>
      </w:r>
      <w:r>
        <w:fldChar w:fldCharType="separate"/>
      </w:r>
      <w:r>
        <w:rPr>
          <w:rFonts w:hint="eastAsia" w:ascii="仿宋_GB2312" w:hAnsi="微软雅黑" w:eastAsia="仿宋_GB2312"/>
          <w:b w:val="0"/>
          <w:color w:val="222222"/>
          <w:sz w:val="32"/>
          <w:szCs w:val="32"/>
        </w:rPr>
        <w:t>平安建设办公室</w:t>
      </w:r>
      <w:r>
        <w:rPr>
          <w:rFonts w:hint="eastAsia" w:ascii="仿宋_GB2312" w:hAnsi="微软雅黑" w:eastAsia="仿宋_GB2312"/>
          <w:b w:val="0"/>
          <w:color w:val="222222"/>
          <w:sz w:val="32"/>
          <w:szCs w:val="32"/>
        </w:rPr>
        <w:fldChar w:fldCharType="end"/>
      </w:r>
      <w:r>
        <w:rPr>
          <w:rFonts w:hint="eastAsia" w:ascii="仿宋_GB2312" w:hAnsi="微软雅黑" w:eastAsia="仿宋_GB2312"/>
          <w:b w:val="0"/>
          <w:color w:val="666666"/>
          <w:sz w:val="32"/>
          <w:szCs w:val="32"/>
        </w:rPr>
        <w:t>、</w:t>
      </w:r>
      <w:r>
        <w:fldChar w:fldCharType="begin"/>
      </w:r>
      <w:r>
        <w:instrText xml:space="preserve"> HYPERLINK "https://www.bjdx.gov.cn/bjsdxqrmzf/zwfw/jgzq/zj/wszz/nsjg8778/1890213/index.html" \t "_blank" \o "城乡建设办公室" </w:instrText>
      </w:r>
      <w:r>
        <w:fldChar w:fldCharType="separate"/>
      </w:r>
      <w:r>
        <w:rPr>
          <w:rFonts w:hint="eastAsia" w:ascii="仿宋_GB2312" w:hAnsi="微软雅黑" w:eastAsia="仿宋_GB2312"/>
          <w:b w:val="0"/>
          <w:sz w:val="32"/>
          <w:szCs w:val="32"/>
        </w:rPr>
        <w:t>城乡建设办公室</w:t>
      </w:r>
      <w:r>
        <w:rPr>
          <w:rFonts w:hint="eastAsia" w:ascii="仿宋_GB2312" w:hAnsi="微软雅黑" w:eastAsia="仿宋_GB2312"/>
          <w:b w:val="0"/>
          <w:sz w:val="32"/>
          <w:szCs w:val="32"/>
        </w:rPr>
        <w:fldChar w:fldCharType="end"/>
      </w:r>
      <w:r>
        <w:rPr>
          <w:rFonts w:hint="eastAsia" w:ascii="仿宋_GB2312" w:hAnsi="微软雅黑" w:eastAsia="仿宋_GB2312"/>
          <w:b w:val="0"/>
          <w:sz w:val="32"/>
          <w:szCs w:val="32"/>
        </w:rPr>
        <w:t>、</w:t>
      </w:r>
      <w:r>
        <w:fldChar w:fldCharType="begin"/>
      </w:r>
      <w:r>
        <w:instrText xml:space="preserve"> HYPERLINK "https://www.bjdx.gov.cn/bjsdxqrmzf/zwfw/jgzq/zj/wszz/nsjg8778/1890207/index.html" \t "_blank" \o "农业农村办公室" </w:instrText>
      </w:r>
      <w:r>
        <w:fldChar w:fldCharType="separate"/>
      </w:r>
      <w:r>
        <w:rPr>
          <w:rFonts w:hint="eastAsia" w:ascii="仿宋_GB2312" w:hAnsi="微软雅黑" w:eastAsia="仿宋_GB2312"/>
          <w:b w:val="0"/>
          <w:sz w:val="32"/>
          <w:szCs w:val="32"/>
        </w:rPr>
        <w:t>农业农村办公室</w:t>
      </w:r>
      <w:r>
        <w:rPr>
          <w:rFonts w:hint="eastAsia" w:ascii="仿宋_GB2312" w:hAnsi="微软雅黑" w:eastAsia="仿宋_GB2312"/>
          <w:b w:val="0"/>
          <w:sz w:val="32"/>
          <w:szCs w:val="32"/>
        </w:rPr>
        <w:fldChar w:fldCharType="end"/>
      </w:r>
      <w:r>
        <w:rPr>
          <w:rFonts w:hint="eastAsia" w:ascii="仿宋_GB2312" w:hAnsi="微软雅黑" w:eastAsia="仿宋_GB2312"/>
          <w:b w:val="0"/>
          <w:sz w:val="32"/>
          <w:szCs w:val="32"/>
        </w:rPr>
        <w:t>、</w:t>
      </w:r>
      <w:r>
        <w:fldChar w:fldCharType="begin"/>
      </w:r>
      <w:r>
        <w:instrText xml:space="preserve"> HYPERLINK "https://www.bjdx.gov.cn/bjsdxqrmzf/zwfw/jgzq/zj/wszz/nsjg8778/1890204/index.html" \t "_blank" \o "综合保障办公室" </w:instrText>
      </w:r>
      <w:r>
        <w:fldChar w:fldCharType="separate"/>
      </w:r>
      <w:r>
        <w:rPr>
          <w:rFonts w:hint="eastAsia" w:ascii="仿宋_GB2312" w:hAnsi="微软雅黑" w:eastAsia="仿宋_GB2312"/>
          <w:b w:val="0"/>
          <w:sz w:val="32"/>
          <w:szCs w:val="32"/>
        </w:rPr>
        <w:t>综合保障办公室</w:t>
      </w:r>
      <w:r>
        <w:rPr>
          <w:rFonts w:hint="eastAsia" w:ascii="仿宋_GB2312" w:hAnsi="微软雅黑" w:eastAsia="仿宋_GB2312"/>
          <w:b w:val="0"/>
          <w:sz w:val="32"/>
          <w:szCs w:val="32"/>
        </w:rPr>
        <w:fldChar w:fldCharType="end"/>
      </w:r>
      <w:r>
        <w:rPr>
          <w:rFonts w:hint="eastAsia" w:ascii="仿宋_GB2312" w:hAnsi="微软雅黑" w:eastAsia="仿宋_GB2312"/>
          <w:b w:val="0"/>
          <w:sz w:val="32"/>
          <w:szCs w:val="32"/>
        </w:rPr>
        <w:t>、</w:t>
      </w:r>
      <w:r>
        <w:fldChar w:fldCharType="begin"/>
      </w:r>
      <w:r>
        <w:instrText xml:space="preserve"> HYPERLINK "https://www.bjdx.gov.cn/bjsdxqrmzf/zwfw/jgzq/zj/wszz/nsjg8778/1890201/index.html" \t "_blank" \o "民生保障办公室（挂社区建设办公室牌子）" </w:instrText>
      </w:r>
      <w:r>
        <w:fldChar w:fldCharType="separate"/>
      </w:r>
      <w:r>
        <w:rPr>
          <w:rFonts w:hint="eastAsia" w:ascii="仿宋_GB2312" w:hAnsi="微软雅黑" w:eastAsia="仿宋_GB2312"/>
          <w:b w:val="0"/>
          <w:sz w:val="32"/>
          <w:szCs w:val="32"/>
        </w:rPr>
        <w:t>民生保障办公室</w:t>
      </w:r>
      <w:r>
        <w:rPr>
          <w:rFonts w:hint="eastAsia" w:ascii="仿宋_GB2312" w:hAnsi="微软雅黑" w:eastAsia="仿宋_GB2312"/>
          <w:b w:val="0"/>
          <w:sz w:val="32"/>
          <w:szCs w:val="32"/>
        </w:rPr>
        <w:fldChar w:fldCharType="end"/>
      </w:r>
      <w:r>
        <w:rPr>
          <w:rFonts w:hint="eastAsia" w:ascii="仿宋_GB2312" w:hAnsi="微软雅黑" w:eastAsia="仿宋_GB2312"/>
          <w:b w:val="0"/>
          <w:sz w:val="32"/>
          <w:szCs w:val="32"/>
        </w:rPr>
        <w:t>、经济发展办公室、</w:t>
      </w:r>
      <w:r>
        <w:rPr>
          <w:rFonts w:hint="eastAsia" w:ascii="仿宋_GB2312" w:hAnsi="微软雅黑" w:eastAsia="仿宋_GB2312"/>
          <w:b w:val="0"/>
          <w:bCs w:val="0"/>
          <w:sz w:val="32"/>
          <w:szCs w:val="32"/>
        </w:rPr>
        <w:t>魏善庄镇监察办公室</w:t>
      </w:r>
      <w:r>
        <w:rPr>
          <w:rFonts w:hint="eastAsia" w:ascii="仿宋_GB2312" w:hAnsi="仿宋" w:eastAsia="仿宋_GB2312"/>
          <w:b w:val="0"/>
          <w:sz w:val="32"/>
          <w:szCs w:val="32"/>
        </w:rPr>
        <w:t>。事业单位分别是：北京市大兴区魏善庄镇市民活动中心、北京市大兴区魏善庄镇便民服务中心、北京市大兴区魏善庄镇市民诉求处置中心、北京市大兴区魏善庄镇城镇建设服务中心、北京市大兴区魏善庄镇产业发展服务中心，1个综合行政执法队。</w:t>
      </w:r>
      <w:r>
        <w:rPr>
          <w:rFonts w:hint="eastAsia" w:ascii="仿宋_GB2312" w:hAnsi="仿宋" w:eastAsia="仿宋_GB2312" w:cs="Times New Roman"/>
          <w:sz w:val="32"/>
          <w:szCs w:val="32"/>
        </w:rPr>
        <w:t>人员情况，我镇2023年末单位实有人数：公务员73人，事业编制171人。</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二、部门预算单位构成</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魏善庄镇部门预算单位包括：北京市大兴区魏善庄镇人民政府本级，北京市大兴区魏善庄镇社区卫生服务中心。</w:t>
      </w:r>
    </w:p>
    <w:p>
      <w:pPr>
        <w:spacing w:line="56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三、大兴区魏善庄镇部门2024年收支预算总表的说明</w:t>
      </w:r>
    </w:p>
    <w:p>
      <w:pPr>
        <w:spacing w:line="560" w:lineRule="exact"/>
        <w:ind w:firstLine="640" w:firstLineChars="200"/>
        <w:rPr>
          <w:rFonts w:ascii="仿宋_GB2312" w:hAnsi="仿宋" w:eastAsia="仿宋_GB2312"/>
          <w:b/>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2024年收入预算总计64463.12万元，</w:t>
      </w:r>
      <w:r>
        <w:rPr>
          <w:rFonts w:hint="eastAsia" w:ascii="仿宋_GB2312" w:hAnsi="仿宋" w:eastAsia="仿宋_GB2312"/>
          <w:color w:val="000000" w:themeColor="text1"/>
          <w:sz w:val="32"/>
          <w:szCs w:val="32"/>
          <w:lang w:val="en-US" w:eastAsia="zh-CN"/>
          <w14:textFill>
            <w14:solidFill>
              <w14:schemeClr w14:val="tx1"/>
            </w14:solidFill>
          </w14:textFill>
        </w:rPr>
        <w:t>比2023年25241.71万元增加39221.41万元，增长155.38%，主要原因为专项资金增加。</w:t>
      </w:r>
      <w:r>
        <w:rPr>
          <w:rFonts w:hint="eastAsia" w:ascii="仿宋_GB2312" w:hAnsi="仿宋" w:eastAsia="仿宋_GB2312"/>
          <w:color w:val="000000" w:themeColor="text1"/>
          <w:sz w:val="32"/>
          <w:szCs w:val="32"/>
          <w14:textFill>
            <w14:solidFill>
              <w14:schemeClr w14:val="tx1"/>
            </w14:solidFill>
          </w14:textFill>
        </w:rPr>
        <w:t>包括：一般公共预算财政拨款收入52286.41万元，</w:t>
      </w:r>
      <w:r>
        <w:rPr>
          <w:rFonts w:hint="eastAsia" w:ascii="仿宋_GB2312" w:hAnsi="仿宋" w:eastAsia="仿宋_GB2312"/>
          <w:color w:val="000000" w:themeColor="text1"/>
          <w:sz w:val="32"/>
          <w:szCs w:val="32"/>
          <w:lang w:val="en-US" w:eastAsia="zh-CN"/>
          <w14:textFill>
            <w14:solidFill>
              <w14:schemeClr w14:val="tx1"/>
            </w14:solidFill>
          </w14:textFill>
        </w:rPr>
        <w:t>比2023年18970万元增加33316.41万元，增长175.62%，主要原因为专项资金增加，</w:t>
      </w:r>
      <w:r>
        <w:rPr>
          <w:rFonts w:hint="eastAsia" w:ascii="仿宋_GB2312" w:hAnsi="仿宋" w:eastAsia="仿宋_GB2312"/>
          <w:color w:val="000000" w:themeColor="text1"/>
          <w:sz w:val="32"/>
          <w:szCs w:val="32"/>
          <w14:textFill>
            <w14:solidFill>
              <w14:schemeClr w14:val="tx1"/>
            </w14:solidFill>
          </w14:textFill>
        </w:rPr>
        <w:t>政府性基金预算财政拨款收入3142.81万元</w:t>
      </w:r>
      <w:r>
        <w:rPr>
          <w:rFonts w:hint="eastAsia" w:ascii="仿宋_GB2312" w:hAnsi="仿宋" w:eastAsia="仿宋_GB2312"/>
          <w:color w:val="000000" w:themeColor="text1"/>
          <w:sz w:val="32"/>
          <w:szCs w:val="32"/>
          <w:lang w:val="en-US" w:eastAsia="zh-CN"/>
          <w14:textFill>
            <w14:solidFill>
              <w14:schemeClr w14:val="tx1"/>
            </w14:solidFill>
          </w14:textFill>
        </w:rPr>
        <w:t>，比2023年0万元增加3142.81万元，主要原因为专项资金增加。</w:t>
      </w:r>
      <w:r>
        <w:rPr>
          <w:rFonts w:hint="eastAsia" w:ascii="仿宋_GB2312" w:hAnsi="仿宋" w:eastAsia="仿宋_GB2312"/>
          <w:color w:val="000000" w:themeColor="text1"/>
          <w:sz w:val="32"/>
          <w:szCs w:val="32"/>
          <w14:textFill>
            <w14:solidFill>
              <w14:schemeClr w14:val="tx1"/>
            </w14:solidFill>
          </w14:textFill>
        </w:rPr>
        <w:t>事业收入9033.9万元</w:t>
      </w:r>
      <w:r>
        <w:rPr>
          <w:rFonts w:hint="eastAsia" w:ascii="仿宋_GB2312" w:hAnsi="仿宋" w:eastAsia="仿宋_GB2312"/>
          <w:color w:val="000000" w:themeColor="text1"/>
          <w:sz w:val="32"/>
          <w:szCs w:val="32"/>
          <w:lang w:eastAsia="zh-CN"/>
          <w14:textFill>
            <w14:solidFill>
              <w14:schemeClr w14:val="tx1"/>
            </w14:solidFill>
          </w14:textFill>
        </w:rPr>
        <w:t>，</w:t>
      </w:r>
      <w:r>
        <w:rPr>
          <w:rFonts w:hint="eastAsia" w:ascii="仿宋_GB2312" w:hAnsi="仿宋" w:eastAsia="仿宋_GB2312"/>
          <w:color w:val="000000" w:themeColor="text1"/>
          <w:sz w:val="32"/>
          <w:szCs w:val="32"/>
          <w:lang w:val="en-US" w:eastAsia="zh-CN"/>
          <w14:textFill>
            <w14:solidFill>
              <w14:schemeClr w14:val="tx1"/>
            </w14:solidFill>
          </w14:textFill>
        </w:rPr>
        <w:t>比2023年6271.71万元增加2762.19万元，增长44%，主要原因是卫生院事业收入增加</w:t>
      </w:r>
      <w:r>
        <w:rPr>
          <w:rFonts w:hint="eastAsia" w:ascii="仿宋_GB2312" w:hAnsi="仿宋" w:eastAsia="仿宋_GB2312"/>
          <w:color w:val="000000" w:themeColor="text1"/>
          <w:sz w:val="32"/>
          <w:szCs w:val="32"/>
          <w14:textFill>
            <w14:solidFill>
              <w14:schemeClr w14:val="tx1"/>
            </w14:solidFill>
          </w14:textFill>
        </w:rPr>
        <w:t>。</w:t>
      </w:r>
    </w:p>
    <w:p>
      <w:pPr>
        <w:spacing w:line="56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2024年支出预算总计64463.12万元，包括：一般公共服务支出7005.82万元</w:t>
      </w:r>
      <w:r>
        <w:rPr>
          <w:rFonts w:hint="eastAsia" w:ascii="仿宋_GB2312" w:hAnsi="仿宋" w:eastAsia="仿宋_GB2312"/>
          <w:color w:val="000000" w:themeColor="text1"/>
          <w:sz w:val="32"/>
          <w:szCs w:val="32"/>
          <w:lang w:val="en-US" w:eastAsia="zh-CN"/>
          <w14:textFill>
            <w14:solidFill>
              <w14:schemeClr w14:val="tx1"/>
            </w14:solidFill>
          </w14:textFill>
        </w:rPr>
        <w:t>,比2023年5926.42万元增加1079.4万元，主要原因为专项资金增加</w:t>
      </w:r>
      <w:r>
        <w:rPr>
          <w:rFonts w:hint="eastAsia" w:ascii="仿宋_GB2312" w:hAnsi="仿宋" w:eastAsia="仿宋_GB2312"/>
          <w:color w:val="000000" w:themeColor="text1"/>
          <w:sz w:val="32"/>
          <w:szCs w:val="32"/>
          <w14:textFill>
            <w14:solidFill>
              <w14:schemeClr w14:val="tx1"/>
            </w14:solidFill>
          </w14:textFill>
        </w:rPr>
        <w:t>；文化旅游体育与传媒支出251.48万元</w:t>
      </w:r>
      <w:r>
        <w:rPr>
          <w:rFonts w:hint="eastAsia" w:ascii="仿宋_GB2312" w:hAnsi="仿宋" w:eastAsia="仿宋_GB2312"/>
          <w:color w:val="000000" w:themeColor="text1"/>
          <w:sz w:val="32"/>
          <w:szCs w:val="32"/>
          <w:lang w:eastAsia="zh-CN"/>
          <w14:textFill>
            <w14:solidFill>
              <w14:schemeClr w14:val="tx1"/>
            </w14:solidFill>
          </w14:textFill>
        </w:rPr>
        <w:t>，比</w:t>
      </w:r>
      <w:r>
        <w:rPr>
          <w:rFonts w:hint="eastAsia" w:ascii="仿宋_GB2312" w:hAnsi="仿宋" w:eastAsia="仿宋_GB2312"/>
          <w:color w:val="000000" w:themeColor="text1"/>
          <w:sz w:val="32"/>
          <w:szCs w:val="32"/>
          <w:lang w:val="en-US" w:eastAsia="zh-CN"/>
          <w14:textFill>
            <w14:solidFill>
              <w14:schemeClr w14:val="tx1"/>
            </w14:solidFill>
          </w14:textFill>
        </w:rPr>
        <w:t>2023年33.53万元增加217.95万元，主要原因为专项资金增加</w:t>
      </w:r>
      <w:r>
        <w:rPr>
          <w:rFonts w:hint="eastAsia" w:ascii="仿宋_GB2312" w:hAnsi="仿宋" w:eastAsia="仿宋_GB2312"/>
          <w:color w:val="000000" w:themeColor="text1"/>
          <w:sz w:val="32"/>
          <w:szCs w:val="32"/>
          <w14:textFill>
            <w14:solidFill>
              <w14:schemeClr w14:val="tx1"/>
            </w14:solidFill>
          </w14:textFill>
        </w:rPr>
        <w:t>；社会保障和就业支出1669.92万元</w:t>
      </w:r>
      <w:r>
        <w:rPr>
          <w:rFonts w:hint="eastAsia" w:ascii="仿宋_GB2312" w:hAnsi="仿宋" w:eastAsia="仿宋_GB2312"/>
          <w:color w:val="000000" w:themeColor="text1"/>
          <w:sz w:val="32"/>
          <w:szCs w:val="32"/>
          <w:lang w:eastAsia="zh-CN"/>
          <w14:textFill>
            <w14:solidFill>
              <w14:schemeClr w14:val="tx1"/>
            </w14:solidFill>
          </w14:textFill>
        </w:rPr>
        <w:t>，比</w:t>
      </w:r>
      <w:r>
        <w:rPr>
          <w:rFonts w:hint="eastAsia" w:ascii="仿宋_GB2312" w:hAnsi="仿宋" w:eastAsia="仿宋_GB2312"/>
          <w:color w:val="000000" w:themeColor="text1"/>
          <w:sz w:val="32"/>
          <w:szCs w:val="32"/>
          <w:lang w:val="en-US" w:eastAsia="zh-CN"/>
          <w14:textFill>
            <w14:solidFill>
              <w14:schemeClr w14:val="tx1"/>
            </w14:solidFill>
          </w14:textFill>
        </w:rPr>
        <w:t>2023年1783.85万元减少113.93万元，主要原因为专项资金减少</w:t>
      </w:r>
      <w:r>
        <w:rPr>
          <w:rFonts w:hint="eastAsia" w:ascii="仿宋_GB2312" w:hAnsi="仿宋" w:eastAsia="仿宋_GB2312"/>
          <w:color w:val="000000" w:themeColor="text1"/>
          <w:sz w:val="32"/>
          <w:szCs w:val="32"/>
          <w14:textFill>
            <w14:solidFill>
              <w14:schemeClr w14:val="tx1"/>
            </w14:solidFill>
          </w14:textFill>
        </w:rPr>
        <w:t>；卫生健康支出13168.95万元</w:t>
      </w:r>
      <w:r>
        <w:rPr>
          <w:rFonts w:hint="eastAsia" w:ascii="仿宋_GB2312" w:hAnsi="仿宋" w:eastAsia="仿宋_GB2312"/>
          <w:color w:val="000000" w:themeColor="text1"/>
          <w:sz w:val="32"/>
          <w:szCs w:val="32"/>
          <w:lang w:eastAsia="zh-CN"/>
          <w14:textFill>
            <w14:solidFill>
              <w14:schemeClr w14:val="tx1"/>
            </w14:solidFill>
          </w14:textFill>
        </w:rPr>
        <w:t>，比</w:t>
      </w:r>
      <w:r>
        <w:rPr>
          <w:rFonts w:hint="eastAsia" w:ascii="仿宋_GB2312" w:hAnsi="仿宋" w:eastAsia="仿宋_GB2312"/>
          <w:color w:val="000000" w:themeColor="text1"/>
          <w:sz w:val="32"/>
          <w:szCs w:val="32"/>
          <w:lang w:val="en-US" w:eastAsia="zh-CN"/>
          <w14:textFill>
            <w14:solidFill>
              <w14:schemeClr w14:val="tx1"/>
            </w14:solidFill>
          </w14:textFill>
        </w:rPr>
        <w:t>2023年9806.69万元增加3362.26万元，主要原因为专项资金增加</w:t>
      </w:r>
      <w:r>
        <w:rPr>
          <w:rFonts w:hint="eastAsia" w:ascii="仿宋_GB2312" w:hAnsi="仿宋" w:eastAsia="仿宋_GB2312"/>
          <w:color w:val="000000" w:themeColor="text1"/>
          <w:sz w:val="32"/>
          <w:szCs w:val="32"/>
          <w14:textFill>
            <w14:solidFill>
              <w14:schemeClr w14:val="tx1"/>
            </w14:solidFill>
          </w14:textFill>
        </w:rPr>
        <w:t>；城乡社区支出13317.63万元</w:t>
      </w:r>
      <w:r>
        <w:rPr>
          <w:rFonts w:hint="eastAsia" w:ascii="仿宋_GB2312" w:hAnsi="仿宋" w:eastAsia="仿宋_GB2312"/>
          <w:color w:val="000000" w:themeColor="text1"/>
          <w:sz w:val="32"/>
          <w:szCs w:val="32"/>
          <w:lang w:eastAsia="zh-CN"/>
          <w14:textFill>
            <w14:solidFill>
              <w14:schemeClr w14:val="tx1"/>
            </w14:solidFill>
          </w14:textFill>
        </w:rPr>
        <w:t>，比</w:t>
      </w:r>
      <w:r>
        <w:rPr>
          <w:rFonts w:hint="eastAsia" w:ascii="仿宋_GB2312" w:hAnsi="仿宋" w:eastAsia="仿宋_GB2312"/>
          <w:color w:val="000000" w:themeColor="text1"/>
          <w:sz w:val="32"/>
          <w:szCs w:val="32"/>
          <w:lang w:val="en-US" w:eastAsia="zh-CN"/>
          <w14:textFill>
            <w14:solidFill>
              <w14:schemeClr w14:val="tx1"/>
            </w14:solidFill>
          </w14:textFill>
        </w:rPr>
        <w:t>2023年4165.6万元增加9152.03万元，主要原因为专项资金增加</w:t>
      </w:r>
      <w:r>
        <w:rPr>
          <w:rFonts w:hint="eastAsia" w:ascii="仿宋_GB2312" w:hAnsi="仿宋" w:eastAsia="仿宋_GB2312"/>
          <w:color w:val="000000" w:themeColor="text1"/>
          <w:sz w:val="32"/>
          <w:szCs w:val="32"/>
          <w14:textFill>
            <w14:solidFill>
              <w14:schemeClr w14:val="tx1"/>
            </w14:solidFill>
          </w14:textFill>
        </w:rPr>
        <w:t>；农林水支出27620.71万元</w:t>
      </w:r>
      <w:r>
        <w:rPr>
          <w:rFonts w:hint="eastAsia" w:ascii="仿宋_GB2312" w:hAnsi="仿宋" w:eastAsia="仿宋_GB2312"/>
          <w:color w:val="000000" w:themeColor="text1"/>
          <w:sz w:val="32"/>
          <w:szCs w:val="32"/>
          <w:lang w:eastAsia="zh-CN"/>
          <w14:textFill>
            <w14:solidFill>
              <w14:schemeClr w14:val="tx1"/>
            </w14:solidFill>
          </w14:textFill>
        </w:rPr>
        <w:t>，比</w:t>
      </w:r>
      <w:r>
        <w:rPr>
          <w:rFonts w:hint="eastAsia" w:ascii="仿宋_GB2312" w:hAnsi="仿宋" w:eastAsia="仿宋_GB2312"/>
          <w:color w:val="000000" w:themeColor="text1"/>
          <w:sz w:val="32"/>
          <w:szCs w:val="32"/>
          <w:lang w:val="en-US" w:eastAsia="zh-CN"/>
          <w14:textFill>
            <w14:solidFill>
              <w14:schemeClr w14:val="tx1"/>
            </w14:solidFill>
          </w14:textFill>
        </w:rPr>
        <w:t>2023年3362.64万元增加24258.07万元，主要原因为专项资金增加</w:t>
      </w:r>
      <w:r>
        <w:rPr>
          <w:rFonts w:hint="eastAsia" w:ascii="仿宋_GB2312" w:hAnsi="仿宋" w:eastAsia="仿宋_GB2312"/>
          <w:color w:val="000000" w:themeColor="text1"/>
          <w:sz w:val="32"/>
          <w:szCs w:val="32"/>
          <w14:textFill>
            <w14:solidFill>
              <w14:schemeClr w14:val="tx1"/>
            </w14:solidFill>
          </w14:textFill>
        </w:rPr>
        <w:t>；灾害防治及应急</w:t>
      </w:r>
      <w:bookmarkStart w:id="0" w:name="_GoBack"/>
      <w:bookmarkEnd w:id="0"/>
      <w:r>
        <w:rPr>
          <w:rFonts w:hint="eastAsia" w:ascii="仿宋_GB2312" w:hAnsi="仿宋" w:eastAsia="仿宋_GB2312"/>
          <w:color w:val="000000" w:themeColor="text1"/>
          <w:sz w:val="32"/>
          <w:szCs w:val="32"/>
          <w14:textFill>
            <w14:solidFill>
              <w14:schemeClr w14:val="tx1"/>
            </w14:solidFill>
          </w14:textFill>
        </w:rPr>
        <w:t>管理支出464.75万元</w:t>
      </w:r>
      <w:r>
        <w:rPr>
          <w:rFonts w:hint="eastAsia" w:ascii="仿宋_GB2312" w:hAnsi="仿宋" w:eastAsia="仿宋_GB2312"/>
          <w:color w:val="000000" w:themeColor="text1"/>
          <w:sz w:val="32"/>
          <w:szCs w:val="32"/>
          <w:lang w:eastAsia="zh-CN"/>
          <w14:textFill>
            <w14:solidFill>
              <w14:schemeClr w14:val="tx1"/>
            </w14:solidFill>
          </w14:textFill>
        </w:rPr>
        <w:t>，比</w:t>
      </w:r>
      <w:r>
        <w:rPr>
          <w:rFonts w:hint="eastAsia" w:ascii="仿宋_GB2312" w:hAnsi="仿宋" w:eastAsia="仿宋_GB2312"/>
          <w:color w:val="000000" w:themeColor="text1"/>
          <w:sz w:val="32"/>
          <w:szCs w:val="32"/>
          <w:lang w:val="en-US" w:eastAsia="zh-CN"/>
          <w14:textFill>
            <w14:solidFill>
              <w14:schemeClr w14:val="tx1"/>
            </w14:solidFill>
          </w14:textFill>
        </w:rPr>
        <w:t>2023年0元增加464.75万元，主要原因为专项资金增加</w:t>
      </w:r>
      <w:r>
        <w:rPr>
          <w:rFonts w:hint="eastAsia" w:ascii="仿宋_GB2312" w:hAnsi="仿宋" w:eastAsia="仿宋_GB2312"/>
          <w:color w:val="000000" w:themeColor="text1"/>
          <w:sz w:val="32"/>
          <w:szCs w:val="32"/>
          <w14:textFill>
            <w14:solidFill>
              <w14:schemeClr w14:val="tx1"/>
            </w14:solidFill>
          </w14:textFill>
        </w:rPr>
        <w:t>；交通运输支出128.91万元</w:t>
      </w:r>
      <w:r>
        <w:rPr>
          <w:rFonts w:hint="eastAsia" w:ascii="仿宋_GB2312" w:hAnsi="仿宋" w:eastAsia="仿宋_GB2312"/>
          <w:color w:val="000000" w:themeColor="text1"/>
          <w:sz w:val="32"/>
          <w:szCs w:val="32"/>
          <w:lang w:eastAsia="zh-CN"/>
          <w14:textFill>
            <w14:solidFill>
              <w14:schemeClr w14:val="tx1"/>
            </w14:solidFill>
          </w14:textFill>
        </w:rPr>
        <w:t>，比</w:t>
      </w:r>
      <w:r>
        <w:rPr>
          <w:rFonts w:hint="eastAsia" w:ascii="仿宋_GB2312" w:hAnsi="仿宋" w:eastAsia="仿宋_GB2312"/>
          <w:color w:val="000000" w:themeColor="text1"/>
          <w:sz w:val="32"/>
          <w:szCs w:val="32"/>
          <w:lang w:val="en-US" w:eastAsia="zh-CN"/>
          <w14:textFill>
            <w14:solidFill>
              <w14:schemeClr w14:val="tx1"/>
            </w14:solidFill>
          </w14:textFill>
        </w:rPr>
        <w:t>2023年163万元减少34.09万元，主要原因为专项资金减少</w:t>
      </w:r>
      <w:r>
        <w:rPr>
          <w:rFonts w:hint="eastAsia" w:ascii="仿宋_GB2312" w:hAnsi="仿宋" w:eastAsia="仿宋_GB2312"/>
          <w:color w:val="000000" w:themeColor="text1"/>
          <w:sz w:val="32"/>
          <w:szCs w:val="32"/>
          <w14:textFill>
            <w14:solidFill>
              <w14:schemeClr w14:val="tx1"/>
            </w14:solidFill>
          </w14:textFill>
        </w:rPr>
        <w:t>；自然资源海洋气象等支出294.66万元</w:t>
      </w:r>
      <w:r>
        <w:rPr>
          <w:rFonts w:hint="eastAsia" w:ascii="仿宋_GB2312" w:hAnsi="仿宋" w:eastAsia="仿宋_GB2312"/>
          <w:color w:val="000000" w:themeColor="text1"/>
          <w:sz w:val="32"/>
          <w:szCs w:val="32"/>
          <w:lang w:eastAsia="zh-CN"/>
          <w14:textFill>
            <w14:solidFill>
              <w14:schemeClr w14:val="tx1"/>
            </w14:solidFill>
          </w14:textFill>
        </w:rPr>
        <w:t>，比</w:t>
      </w:r>
      <w:r>
        <w:rPr>
          <w:rFonts w:hint="eastAsia" w:ascii="仿宋_GB2312" w:hAnsi="仿宋" w:eastAsia="仿宋_GB2312"/>
          <w:color w:val="000000" w:themeColor="text1"/>
          <w:sz w:val="32"/>
          <w:szCs w:val="32"/>
          <w:lang w:val="en-US" w:eastAsia="zh-CN"/>
          <w14:textFill>
            <w14:solidFill>
              <w14:schemeClr w14:val="tx1"/>
            </w14:solidFill>
          </w14:textFill>
        </w:rPr>
        <w:t>2023年0万增加294.66万元，主要原因为专项资金增加</w:t>
      </w:r>
      <w:r>
        <w:rPr>
          <w:rFonts w:hint="eastAsia" w:ascii="仿宋_GB2312" w:hAnsi="仿宋" w:eastAsia="仿宋_GB2312"/>
          <w:color w:val="000000" w:themeColor="text1"/>
          <w:sz w:val="32"/>
          <w:szCs w:val="32"/>
          <w14:textFill>
            <w14:solidFill>
              <w14:schemeClr w14:val="tx1"/>
            </w14:solidFill>
          </w14:textFill>
        </w:rPr>
        <w:t>。</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四、大兴区魏善庄镇2024年部门收入预算表的说明</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2024年收入预算总计64463.12万元，按功能科目分类包括：一般公共服务支出7005.82万元；文化旅游体育与传媒支出251.48万元；社会保障和就业支出1669.92万元；卫生健康支出13168.95万元；城乡社区支出13317.63万元；农林水支出27620.71万元；灾害防治及应急管理支出464.75万元；交通运输支出128.91万元；自然资源海洋气象等支出294.66万元。</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五、大兴区魏善庄镇部门2024年支出预算表的说明</w:t>
      </w:r>
    </w:p>
    <w:p>
      <w:pPr>
        <w:spacing w:line="560" w:lineRule="exact"/>
        <w:ind w:firstLine="640" w:firstLineChars="200"/>
        <w:rPr>
          <w:rFonts w:ascii="仿宋_GB2312" w:hAnsi="仿宋" w:eastAsia="仿宋_GB2312"/>
          <w:b/>
          <w:bCs/>
          <w:sz w:val="32"/>
          <w:szCs w:val="32"/>
        </w:rPr>
      </w:pPr>
      <w:r>
        <w:rPr>
          <w:rFonts w:hint="eastAsia" w:ascii="仿宋_GB2312" w:hAnsi="仿宋" w:eastAsia="仿宋_GB2312"/>
          <w:sz w:val="32"/>
          <w:szCs w:val="32"/>
        </w:rPr>
        <w:t xml:space="preserve">2024年预算支出合计64463.12万元，用于基本支出 </w:t>
      </w:r>
      <w:r>
        <w:rPr>
          <w:rFonts w:hint="eastAsia" w:ascii="仿宋_GB2312" w:hAnsi="仿宋" w:eastAsia="仿宋_GB2312"/>
          <w:b/>
          <w:bCs/>
          <w:sz w:val="32"/>
          <w:szCs w:val="32"/>
        </w:rPr>
        <w:t xml:space="preserve">  </w:t>
      </w:r>
      <w:r>
        <w:rPr>
          <w:rFonts w:hint="eastAsia" w:ascii="仿宋_GB2312" w:hAnsi="仿宋" w:eastAsia="仿宋_GB2312"/>
          <w:bCs/>
          <w:sz w:val="32"/>
          <w:szCs w:val="32"/>
        </w:rPr>
        <w:t>7358.34</w:t>
      </w:r>
      <w:r>
        <w:rPr>
          <w:rFonts w:hint="eastAsia" w:ascii="仿宋_GB2312" w:hAnsi="仿宋" w:eastAsia="仿宋_GB2312"/>
          <w:sz w:val="32"/>
          <w:szCs w:val="32"/>
        </w:rPr>
        <w:t>万元，项目支出57104.78万元。</w:t>
      </w:r>
    </w:p>
    <w:p>
      <w:pPr>
        <w:spacing w:line="560" w:lineRule="exact"/>
        <w:ind w:firstLine="480" w:firstLineChars="150"/>
        <w:rPr>
          <w:rFonts w:ascii="仿宋_GB2312" w:hAnsi="仿宋" w:eastAsia="仿宋_GB2312"/>
          <w:sz w:val="32"/>
          <w:szCs w:val="32"/>
        </w:rPr>
      </w:pPr>
      <w:r>
        <w:rPr>
          <w:rFonts w:hint="eastAsia" w:ascii="仿宋_GB2312" w:hAnsi="仿宋" w:eastAsia="仿宋_GB2312"/>
          <w:sz w:val="32"/>
          <w:szCs w:val="32"/>
        </w:rPr>
        <w:t>（一）基本支出包括:一般公共服务支出4333.06万元，社会保障和就业支出1048.25万元，卫生健康支出1977.03万元。</w:t>
      </w:r>
    </w:p>
    <w:p>
      <w:pPr>
        <w:spacing w:line="560" w:lineRule="exact"/>
        <w:ind w:firstLine="480" w:firstLineChars="150"/>
        <w:rPr>
          <w:rFonts w:ascii="仿宋_GB2312" w:hAnsi="仿宋" w:eastAsia="仿宋_GB2312"/>
          <w:sz w:val="32"/>
          <w:szCs w:val="32"/>
        </w:rPr>
      </w:pPr>
      <w:r>
        <w:rPr>
          <w:rFonts w:hint="eastAsia" w:ascii="仿宋_GB2312" w:hAnsi="仿宋" w:eastAsia="仿宋_GB2312"/>
          <w:sz w:val="32"/>
          <w:szCs w:val="32"/>
        </w:rPr>
        <w:t>（二）项目支出包括:包括：一般公共服务支出2672.76万元；文化旅游体育与传媒支出251.48万元；社会保障和就业支出621.67万元；卫生健康支出11191.92万元；城乡社区支出13317.63万元；农林水支出27620.71万元；灾害防治及应急管理支出464.75万元；交通运输支出128.91万元；自然资源海洋气象等支出294.66万元。</w:t>
      </w:r>
    </w:p>
    <w:p>
      <w:pPr>
        <w:spacing w:line="56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六、大兴区魏善庄镇部门2024年财政拨款收支预算表的说明</w:t>
      </w:r>
    </w:p>
    <w:p>
      <w:pPr>
        <w:spacing w:line="560" w:lineRule="exact"/>
        <w:ind w:firstLine="640" w:firstLineChars="200"/>
        <w:rPr>
          <w:rFonts w:ascii="仿宋_GB2312" w:hAnsi="仿宋" w:eastAsia="仿宋_GB2312"/>
          <w:bCs/>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（一）</w:t>
      </w:r>
      <w:r>
        <w:rPr>
          <w:rFonts w:hint="eastAsia" w:ascii="仿宋_GB2312" w:hAnsi="仿宋" w:eastAsia="仿宋_GB2312"/>
          <w:color w:val="000000" w:themeColor="text1"/>
          <w:sz w:val="32"/>
          <w:szCs w:val="32"/>
          <w:lang w:eastAsia="zh-CN"/>
          <w14:textFill>
            <w14:solidFill>
              <w14:schemeClr w14:val="tx1"/>
            </w14:solidFill>
          </w14:textFill>
        </w:rPr>
        <w:t>财政拨款</w:t>
      </w:r>
      <w:r>
        <w:rPr>
          <w:rFonts w:hint="eastAsia" w:ascii="仿宋_GB2312" w:hAnsi="仿宋" w:eastAsia="仿宋_GB2312"/>
          <w:color w:val="000000" w:themeColor="text1"/>
          <w:sz w:val="32"/>
          <w:szCs w:val="32"/>
          <w14:textFill>
            <w14:solidFill>
              <w14:schemeClr w14:val="tx1"/>
            </w14:solidFill>
          </w14:textFill>
        </w:rPr>
        <w:t>收入合计</w:t>
      </w:r>
      <w:r>
        <w:rPr>
          <w:rFonts w:hint="eastAsia" w:ascii="仿宋_GB2312" w:hAnsi="仿宋" w:eastAsia="仿宋_GB2312"/>
          <w:bCs/>
          <w:color w:val="000000" w:themeColor="text1"/>
          <w:sz w:val="32"/>
          <w:szCs w:val="32"/>
          <w14:textFill>
            <w14:solidFill>
              <w14:schemeClr w14:val="tx1"/>
            </w14:solidFill>
          </w14:textFill>
        </w:rPr>
        <w:t>55429.22万元</w:t>
      </w:r>
      <w:r>
        <w:rPr>
          <w:rFonts w:hint="eastAsia" w:ascii="仿宋_GB2312" w:hAnsi="仿宋" w:eastAsia="仿宋_GB2312"/>
          <w:color w:val="000000" w:themeColor="text1"/>
          <w:sz w:val="32"/>
          <w:szCs w:val="32"/>
          <w14:textFill>
            <w14:solidFill>
              <w14:schemeClr w14:val="tx1"/>
            </w14:solidFill>
          </w14:textFill>
        </w:rPr>
        <w:t>，</w:t>
      </w:r>
      <w:r>
        <w:rPr>
          <w:rFonts w:hint="eastAsia" w:ascii="仿宋_GB2312" w:hAnsi="仿宋" w:eastAsia="仿宋_GB2312"/>
          <w:color w:val="000000" w:themeColor="text1"/>
          <w:sz w:val="32"/>
          <w:szCs w:val="32"/>
          <w:lang w:val="en-US" w:eastAsia="zh-CN"/>
          <w14:textFill>
            <w14:solidFill>
              <w14:schemeClr w14:val="tx1"/>
            </w14:solidFill>
          </w14:textFill>
        </w:rPr>
        <w:t>比2023年18970万元增加36459.22万元，增长192.2%，主要原因为专项资金增加。其中：</w:t>
      </w:r>
      <w:r>
        <w:rPr>
          <w:rFonts w:hint="eastAsia" w:ascii="仿宋_GB2312" w:hAnsi="仿宋" w:eastAsia="仿宋_GB2312"/>
          <w:color w:val="000000" w:themeColor="text1"/>
          <w:sz w:val="32"/>
          <w:szCs w:val="32"/>
          <w14:textFill>
            <w14:solidFill>
              <w14:schemeClr w14:val="tx1"/>
            </w14:solidFill>
          </w14:textFill>
        </w:rPr>
        <w:t>一般公共预算财政拨款收入52286.41万元，</w:t>
      </w:r>
      <w:r>
        <w:rPr>
          <w:rFonts w:hint="eastAsia" w:ascii="仿宋_GB2312" w:hAnsi="仿宋" w:eastAsia="仿宋_GB2312"/>
          <w:color w:val="000000" w:themeColor="text1"/>
          <w:sz w:val="32"/>
          <w:szCs w:val="32"/>
          <w:lang w:val="en-US" w:eastAsia="zh-CN"/>
          <w14:textFill>
            <w14:solidFill>
              <w14:schemeClr w14:val="tx1"/>
            </w14:solidFill>
          </w14:textFill>
        </w:rPr>
        <w:t>比2023年18970万元增加33316.41万元，增长175.62%，主要原因为专项资金增加。</w:t>
      </w:r>
      <w:r>
        <w:rPr>
          <w:rFonts w:hint="eastAsia" w:ascii="仿宋_GB2312" w:hAnsi="仿宋" w:eastAsia="仿宋_GB2312"/>
          <w:color w:val="000000" w:themeColor="text1"/>
          <w:sz w:val="32"/>
          <w:szCs w:val="32"/>
          <w14:textFill>
            <w14:solidFill>
              <w14:schemeClr w14:val="tx1"/>
            </w14:solidFill>
          </w14:textFill>
        </w:rPr>
        <w:t>政府性基金财政拨款收入</w:t>
      </w:r>
      <w:r>
        <w:rPr>
          <w:rFonts w:hint="eastAsia" w:ascii="仿宋_GB2312" w:hAnsi="仿宋" w:eastAsia="仿宋_GB2312"/>
          <w:bCs/>
          <w:color w:val="000000" w:themeColor="text1"/>
          <w:sz w:val="32"/>
          <w:szCs w:val="32"/>
          <w14:textFill>
            <w14:solidFill>
              <w14:schemeClr w14:val="tx1"/>
            </w14:solidFill>
          </w14:textFill>
        </w:rPr>
        <w:t>3142.81</w:t>
      </w:r>
      <w:r>
        <w:rPr>
          <w:rFonts w:hint="eastAsia" w:ascii="仿宋_GB2312" w:hAnsi="仿宋" w:eastAsia="仿宋_GB2312"/>
          <w:color w:val="000000" w:themeColor="text1"/>
          <w:sz w:val="32"/>
          <w:szCs w:val="32"/>
          <w14:textFill>
            <w14:solidFill>
              <w14:schemeClr w14:val="tx1"/>
            </w14:solidFill>
          </w14:textFill>
        </w:rPr>
        <w:t>万元，</w:t>
      </w:r>
      <w:r>
        <w:rPr>
          <w:rFonts w:hint="eastAsia" w:ascii="仿宋_GB2312" w:hAnsi="仿宋" w:eastAsia="仿宋_GB2312"/>
          <w:color w:val="000000" w:themeColor="text1"/>
          <w:sz w:val="32"/>
          <w:szCs w:val="32"/>
          <w:lang w:val="en-US" w:eastAsia="zh-CN"/>
          <w14:textFill>
            <w14:solidFill>
              <w14:schemeClr w14:val="tx1"/>
            </w14:solidFill>
          </w14:textFill>
        </w:rPr>
        <w:t>比2023年0万元增加3142.81万元，主要原因为专项资金增加。</w:t>
      </w:r>
      <w:r>
        <w:rPr>
          <w:rFonts w:hint="eastAsia" w:ascii="仿宋_GB2312" w:hAnsi="仿宋" w:eastAsia="仿宋_GB2312"/>
          <w:color w:val="000000" w:themeColor="text1"/>
          <w:sz w:val="32"/>
          <w:szCs w:val="32"/>
          <w14:textFill>
            <w14:solidFill>
              <w14:schemeClr w14:val="tx1"/>
            </w14:solidFill>
          </w14:textFill>
        </w:rPr>
        <w:t>上年结转一般公共预算拨款0万元，上年结转政府性基金预算拨款0万元。</w:t>
      </w:r>
    </w:p>
    <w:p>
      <w:pPr>
        <w:spacing w:line="560" w:lineRule="exact"/>
        <w:ind w:firstLine="640" w:firstLineChars="200"/>
        <w:rPr>
          <w:rFonts w:ascii="仿宋_GB2312" w:hAnsi="仿宋" w:eastAsia="仿宋_GB2312"/>
          <w:color w:val="C00000"/>
          <w:sz w:val="32"/>
          <w:szCs w:val="32"/>
        </w:rPr>
      </w:pPr>
      <w:r>
        <w:rPr>
          <w:rFonts w:hint="eastAsia" w:ascii="仿宋_GB2312" w:hAnsi="仿宋" w:eastAsia="仿宋_GB2312"/>
          <w:color w:val="000000" w:themeColor="text1"/>
          <w:sz w:val="32"/>
          <w:szCs w:val="32"/>
          <w14:textFill>
            <w14:solidFill>
              <w14:schemeClr w14:val="tx1"/>
            </w14:solidFill>
          </w14:textFill>
        </w:rPr>
        <w:t>（二）支出合计</w:t>
      </w:r>
      <w:r>
        <w:rPr>
          <w:rFonts w:hint="eastAsia" w:ascii="仿宋_GB2312" w:hAnsi="仿宋" w:eastAsia="仿宋_GB2312"/>
          <w:bCs/>
          <w:color w:val="000000" w:themeColor="text1"/>
          <w:sz w:val="32"/>
          <w:szCs w:val="32"/>
          <w14:textFill>
            <w14:solidFill>
              <w14:schemeClr w14:val="tx1"/>
            </w14:solidFill>
          </w14:textFill>
        </w:rPr>
        <w:t>55429.22</w:t>
      </w:r>
      <w:r>
        <w:rPr>
          <w:rFonts w:hint="eastAsia" w:ascii="仿宋_GB2312" w:hAnsi="仿宋" w:eastAsia="仿宋_GB2312"/>
          <w:color w:val="000000" w:themeColor="text1"/>
          <w:sz w:val="32"/>
          <w:szCs w:val="32"/>
          <w14:textFill>
            <w14:solidFill>
              <w14:schemeClr w14:val="tx1"/>
            </w14:solidFill>
          </w14:textFill>
        </w:rPr>
        <w:t>万元，包括：一般公共服务支出7005.82万元</w:t>
      </w:r>
      <w:r>
        <w:rPr>
          <w:rFonts w:hint="eastAsia" w:ascii="仿宋_GB2312" w:hAnsi="仿宋" w:eastAsia="仿宋_GB2312"/>
          <w:color w:val="000000" w:themeColor="text1"/>
          <w:sz w:val="32"/>
          <w:szCs w:val="32"/>
          <w:lang w:eastAsia="zh-CN"/>
          <w14:textFill>
            <w14:solidFill>
              <w14:schemeClr w14:val="tx1"/>
            </w14:solidFill>
          </w14:textFill>
        </w:rPr>
        <w:t>，比</w:t>
      </w:r>
      <w:r>
        <w:rPr>
          <w:rFonts w:hint="eastAsia" w:ascii="仿宋_GB2312" w:hAnsi="仿宋" w:eastAsia="仿宋_GB2312"/>
          <w:color w:val="000000" w:themeColor="text1"/>
          <w:sz w:val="32"/>
          <w:szCs w:val="32"/>
          <w:lang w:val="en-US" w:eastAsia="zh-CN"/>
          <w14:textFill>
            <w14:solidFill>
              <w14:schemeClr w14:val="tx1"/>
            </w14:solidFill>
          </w14:textFill>
        </w:rPr>
        <w:t>2023年5926.42万元增加1079.4万元，主要原因为专项资金增加</w:t>
      </w:r>
      <w:r>
        <w:rPr>
          <w:rFonts w:hint="eastAsia" w:ascii="仿宋_GB2312" w:hAnsi="仿宋" w:eastAsia="仿宋_GB2312"/>
          <w:color w:val="000000" w:themeColor="text1"/>
          <w:sz w:val="32"/>
          <w:szCs w:val="32"/>
          <w14:textFill>
            <w14:solidFill>
              <w14:schemeClr w14:val="tx1"/>
            </w14:solidFill>
          </w14:textFill>
        </w:rPr>
        <w:t>；文化旅游体育与传媒支出251.48万元</w:t>
      </w:r>
      <w:r>
        <w:rPr>
          <w:rFonts w:hint="eastAsia" w:ascii="仿宋_GB2312" w:hAnsi="仿宋" w:eastAsia="仿宋_GB2312"/>
          <w:color w:val="000000" w:themeColor="text1"/>
          <w:sz w:val="32"/>
          <w:szCs w:val="32"/>
          <w:lang w:eastAsia="zh-CN"/>
          <w14:textFill>
            <w14:solidFill>
              <w14:schemeClr w14:val="tx1"/>
            </w14:solidFill>
          </w14:textFill>
        </w:rPr>
        <w:t>，比</w:t>
      </w:r>
      <w:r>
        <w:rPr>
          <w:rFonts w:hint="eastAsia" w:ascii="仿宋_GB2312" w:hAnsi="仿宋" w:eastAsia="仿宋_GB2312"/>
          <w:color w:val="000000" w:themeColor="text1"/>
          <w:sz w:val="32"/>
          <w:szCs w:val="32"/>
          <w:lang w:val="en-US" w:eastAsia="zh-CN"/>
          <w14:textFill>
            <w14:solidFill>
              <w14:schemeClr w14:val="tx1"/>
            </w14:solidFill>
          </w14:textFill>
        </w:rPr>
        <w:t>2023年33.53万元增加217.95万元，主要原因为专项资金增加</w:t>
      </w:r>
      <w:r>
        <w:rPr>
          <w:rFonts w:hint="eastAsia" w:ascii="仿宋_GB2312" w:hAnsi="仿宋" w:eastAsia="仿宋_GB2312"/>
          <w:color w:val="000000" w:themeColor="text1"/>
          <w:sz w:val="32"/>
          <w:szCs w:val="32"/>
          <w14:textFill>
            <w14:solidFill>
              <w14:schemeClr w14:val="tx1"/>
            </w14:solidFill>
          </w14:textFill>
        </w:rPr>
        <w:t>；社会保障和就业支出1669.92万元</w:t>
      </w:r>
      <w:r>
        <w:rPr>
          <w:rFonts w:hint="eastAsia" w:ascii="仿宋_GB2312" w:hAnsi="仿宋" w:eastAsia="仿宋_GB2312"/>
          <w:color w:val="000000" w:themeColor="text1"/>
          <w:sz w:val="32"/>
          <w:szCs w:val="32"/>
          <w:lang w:eastAsia="zh-CN"/>
          <w14:textFill>
            <w14:solidFill>
              <w14:schemeClr w14:val="tx1"/>
            </w14:solidFill>
          </w14:textFill>
        </w:rPr>
        <w:t>，比</w:t>
      </w:r>
      <w:r>
        <w:rPr>
          <w:rFonts w:hint="eastAsia" w:ascii="仿宋_GB2312" w:hAnsi="仿宋" w:eastAsia="仿宋_GB2312"/>
          <w:color w:val="000000" w:themeColor="text1"/>
          <w:sz w:val="32"/>
          <w:szCs w:val="32"/>
          <w:lang w:val="en-US" w:eastAsia="zh-CN"/>
          <w14:textFill>
            <w14:solidFill>
              <w14:schemeClr w14:val="tx1"/>
            </w14:solidFill>
          </w14:textFill>
        </w:rPr>
        <w:t>2023年1783.85万元减少113.93万元，主要原因为专项资金减少</w:t>
      </w:r>
      <w:r>
        <w:rPr>
          <w:rFonts w:hint="eastAsia" w:ascii="仿宋_GB2312" w:hAnsi="仿宋" w:eastAsia="仿宋_GB2312"/>
          <w:color w:val="000000" w:themeColor="text1"/>
          <w:sz w:val="32"/>
          <w:szCs w:val="32"/>
          <w14:textFill>
            <w14:solidFill>
              <w14:schemeClr w14:val="tx1"/>
            </w14:solidFill>
          </w14:textFill>
        </w:rPr>
        <w:t>；卫生健康支出4135.05万元</w:t>
      </w:r>
      <w:r>
        <w:rPr>
          <w:rFonts w:hint="eastAsia" w:ascii="仿宋_GB2312" w:hAnsi="仿宋" w:eastAsia="仿宋_GB2312"/>
          <w:color w:val="000000" w:themeColor="text1"/>
          <w:sz w:val="32"/>
          <w:szCs w:val="32"/>
          <w:lang w:eastAsia="zh-CN"/>
          <w14:textFill>
            <w14:solidFill>
              <w14:schemeClr w14:val="tx1"/>
            </w14:solidFill>
          </w14:textFill>
        </w:rPr>
        <w:t>，比</w:t>
      </w:r>
      <w:r>
        <w:rPr>
          <w:rFonts w:hint="eastAsia" w:ascii="仿宋_GB2312" w:hAnsi="仿宋" w:eastAsia="仿宋_GB2312"/>
          <w:color w:val="000000" w:themeColor="text1"/>
          <w:sz w:val="32"/>
          <w:szCs w:val="32"/>
          <w:lang w:val="en-US" w:eastAsia="zh-CN"/>
          <w14:textFill>
            <w14:solidFill>
              <w14:schemeClr w14:val="tx1"/>
            </w14:solidFill>
          </w14:textFill>
        </w:rPr>
        <w:t>2023年3362.64万元增加772.41万元，主要原因为专项资金增加</w:t>
      </w:r>
      <w:r>
        <w:rPr>
          <w:rFonts w:hint="eastAsia" w:ascii="仿宋_GB2312" w:hAnsi="仿宋" w:eastAsia="仿宋_GB2312"/>
          <w:color w:val="000000" w:themeColor="text1"/>
          <w:sz w:val="32"/>
          <w:szCs w:val="32"/>
          <w14:textFill>
            <w14:solidFill>
              <w14:schemeClr w14:val="tx1"/>
            </w14:solidFill>
          </w14:textFill>
        </w:rPr>
        <w:t>；城乡社区支出13317.63万元（一般支出10174.82万元，基金支出3142.81万元）</w:t>
      </w:r>
      <w:r>
        <w:rPr>
          <w:rFonts w:hint="eastAsia" w:ascii="仿宋_GB2312" w:hAnsi="仿宋" w:eastAsia="仿宋_GB2312"/>
          <w:color w:val="000000" w:themeColor="text1"/>
          <w:sz w:val="32"/>
          <w:szCs w:val="32"/>
          <w:lang w:eastAsia="zh-CN"/>
          <w14:textFill>
            <w14:solidFill>
              <w14:schemeClr w14:val="tx1"/>
            </w14:solidFill>
          </w14:textFill>
        </w:rPr>
        <w:t>，比</w:t>
      </w:r>
      <w:r>
        <w:rPr>
          <w:rFonts w:hint="eastAsia" w:ascii="仿宋_GB2312" w:hAnsi="仿宋" w:eastAsia="仿宋_GB2312"/>
          <w:color w:val="000000" w:themeColor="text1"/>
          <w:sz w:val="32"/>
          <w:szCs w:val="32"/>
          <w:lang w:val="en-US" w:eastAsia="zh-CN"/>
          <w14:textFill>
            <w14:solidFill>
              <w14:schemeClr w14:val="tx1"/>
            </w14:solidFill>
          </w14:textFill>
        </w:rPr>
        <w:t>2023年4165.6万元增加9152.03万元，主要原因为专项资金增加</w:t>
      </w:r>
      <w:r>
        <w:rPr>
          <w:rFonts w:hint="eastAsia" w:ascii="仿宋_GB2312" w:hAnsi="仿宋" w:eastAsia="仿宋_GB2312"/>
          <w:color w:val="000000" w:themeColor="text1"/>
          <w:sz w:val="32"/>
          <w:szCs w:val="32"/>
          <w14:textFill>
            <w14:solidFill>
              <w14:schemeClr w14:val="tx1"/>
            </w14:solidFill>
          </w14:textFill>
        </w:rPr>
        <w:t>；农林水支出27620.71万元</w:t>
      </w:r>
      <w:r>
        <w:rPr>
          <w:rFonts w:hint="eastAsia" w:ascii="仿宋_GB2312" w:hAnsi="仿宋" w:eastAsia="仿宋_GB2312"/>
          <w:color w:val="000000" w:themeColor="text1"/>
          <w:sz w:val="32"/>
          <w:szCs w:val="32"/>
          <w:lang w:eastAsia="zh-CN"/>
          <w14:textFill>
            <w14:solidFill>
              <w14:schemeClr w14:val="tx1"/>
            </w14:solidFill>
          </w14:textFill>
        </w:rPr>
        <w:t>，比</w:t>
      </w:r>
      <w:r>
        <w:rPr>
          <w:rFonts w:hint="eastAsia" w:ascii="仿宋_GB2312" w:hAnsi="仿宋" w:eastAsia="仿宋_GB2312"/>
          <w:color w:val="000000" w:themeColor="text1"/>
          <w:sz w:val="32"/>
          <w:szCs w:val="32"/>
          <w:lang w:val="en-US" w:eastAsia="zh-CN"/>
          <w14:textFill>
            <w14:solidFill>
              <w14:schemeClr w14:val="tx1"/>
            </w14:solidFill>
          </w14:textFill>
        </w:rPr>
        <w:t>2023年3362.64万元24258.07万元，主要原因为专项资金增加</w:t>
      </w:r>
      <w:r>
        <w:rPr>
          <w:rFonts w:hint="eastAsia" w:ascii="仿宋_GB2312" w:hAnsi="仿宋" w:eastAsia="仿宋_GB2312"/>
          <w:color w:val="000000" w:themeColor="text1"/>
          <w:sz w:val="32"/>
          <w:szCs w:val="32"/>
          <w14:textFill>
            <w14:solidFill>
              <w14:schemeClr w14:val="tx1"/>
            </w14:solidFill>
          </w14:textFill>
        </w:rPr>
        <w:t>；灾害防治及应急管理支出464.75万元</w:t>
      </w:r>
      <w:r>
        <w:rPr>
          <w:rFonts w:hint="eastAsia" w:ascii="仿宋_GB2312" w:hAnsi="仿宋" w:eastAsia="仿宋_GB2312"/>
          <w:color w:val="000000" w:themeColor="text1"/>
          <w:sz w:val="32"/>
          <w:szCs w:val="32"/>
          <w:lang w:eastAsia="zh-CN"/>
          <w14:textFill>
            <w14:solidFill>
              <w14:schemeClr w14:val="tx1"/>
            </w14:solidFill>
          </w14:textFill>
        </w:rPr>
        <w:t>，比</w:t>
      </w:r>
      <w:r>
        <w:rPr>
          <w:rFonts w:hint="eastAsia" w:ascii="仿宋_GB2312" w:hAnsi="仿宋" w:eastAsia="仿宋_GB2312"/>
          <w:color w:val="000000" w:themeColor="text1"/>
          <w:sz w:val="32"/>
          <w:szCs w:val="32"/>
          <w:lang w:val="en-US" w:eastAsia="zh-CN"/>
          <w14:textFill>
            <w14:solidFill>
              <w14:schemeClr w14:val="tx1"/>
            </w14:solidFill>
          </w14:textFill>
        </w:rPr>
        <w:t>2023年0元增加464.75万元，主要原因为专项资金增加</w:t>
      </w:r>
      <w:r>
        <w:rPr>
          <w:rFonts w:hint="eastAsia" w:ascii="仿宋_GB2312" w:hAnsi="仿宋" w:eastAsia="仿宋_GB2312"/>
          <w:color w:val="000000" w:themeColor="text1"/>
          <w:sz w:val="32"/>
          <w:szCs w:val="32"/>
          <w14:textFill>
            <w14:solidFill>
              <w14:schemeClr w14:val="tx1"/>
            </w14:solidFill>
          </w14:textFill>
        </w:rPr>
        <w:t>；交通运输支出128.91万元</w:t>
      </w:r>
      <w:r>
        <w:rPr>
          <w:rFonts w:hint="eastAsia" w:ascii="仿宋_GB2312" w:hAnsi="仿宋" w:eastAsia="仿宋_GB2312"/>
          <w:color w:val="000000" w:themeColor="text1"/>
          <w:sz w:val="32"/>
          <w:szCs w:val="32"/>
          <w:lang w:eastAsia="zh-CN"/>
          <w14:textFill>
            <w14:solidFill>
              <w14:schemeClr w14:val="tx1"/>
            </w14:solidFill>
          </w14:textFill>
        </w:rPr>
        <w:t>，比</w:t>
      </w:r>
      <w:r>
        <w:rPr>
          <w:rFonts w:hint="eastAsia" w:ascii="仿宋_GB2312" w:hAnsi="仿宋" w:eastAsia="仿宋_GB2312"/>
          <w:color w:val="000000" w:themeColor="text1"/>
          <w:sz w:val="32"/>
          <w:szCs w:val="32"/>
          <w:lang w:val="en-US" w:eastAsia="zh-CN"/>
          <w14:textFill>
            <w14:solidFill>
              <w14:schemeClr w14:val="tx1"/>
            </w14:solidFill>
          </w14:textFill>
        </w:rPr>
        <w:t>2023年163万元减少34.09万元，主要原因为专项资金减少</w:t>
      </w:r>
      <w:r>
        <w:rPr>
          <w:rFonts w:hint="eastAsia" w:ascii="仿宋_GB2312" w:hAnsi="仿宋" w:eastAsia="仿宋_GB2312"/>
          <w:color w:val="000000" w:themeColor="text1"/>
          <w:sz w:val="32"/>
          <w:szCs w:val="32"/>
          <w14:textFill>
            <w14:solidFill>
              <w14:schemeClr w14:val="tx1"/>
            </w14:solidFill>
          </w14:textFill>
        </w:rPr>
        <w:t>；自然资源海洋气象等支出294.66万元</w:t>
      </w:r>
      <w:r>
        <w:rPr>
          <w:rFonts w:hint="eastAsia" w:ascii="仿宋_GB2312" w:hAnsi="仿宋" w:eastAsia="仿宋_GB2312"/>
          <w:color w:val="000000" w:themeColor="text1"/>
          <w:sz w:val="32"/>
          <w:szCs w:val="32"/>
          <w:lang w:eastAsia="zh-CN"/>
          <w14:textFill>
            <w14:solidFill>
              <w14:schemeClr w14:val="tx1"/>
            </w14:solidFill>
          </w14:textFill>
        </w:rPr>
        <w:t>，比</w:t>
      </w:r>
      <w:r>
        <w:rPr>
          <w:rFonts w:hint="eastAsia" w:ascii="仿宋_GB2312" w:hAnsi="仿宋" w:eastAsia="仿宋_GB2312"/>
          <w:color w:val="000000" w:themeColor="text1"/>
          <w:sz w:val="32"/>
          <w:szCs w:val="32"/>
          <w:lang w:val="en-US" w:eastAsia="zh-CN"/>
          <w14:textFill>
            <w14:solidFill>
              <w14:schemeClr w14:val="tx1"/>
            </w14:solidFill>
          </w14:textFill>
        </w:rPr>
        <w:t>2023年0元增加294.66万元，主要原因为专项资金增加</w:t>
      </w:r>
      <w:r>
        <w:rPr>
          <w:rFonts w:hint="eastAsia" w:ascii="仿宋_GB2312" w:hAnsi="仿宋" w:eastAsia="仿宋_GB2312"/>
          <w:color w:val="000000" w:themeColor="text1"/>
          <w:sz w:val="32"/>
          <w:szCs w:val="32"/>
          <w14:textFill>
            <w14:solidFill>
              <w14:schemeClr w14:val="tx1"/>
            </w14:solidFill>
          </w14:textFill>
        </w:rPr>
        <w:t>。</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七、大兴区魏善庄镇部门2024年一般公共预算财政拨款支出预算表的说明</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2024年年初预算支出合计52286.41万元，包括基本支出7358.34万元，项目支出44928.07万元。</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八、大兴区魏善庄镇部门2024年一般公共预算财政拨款基本支出预算表的说明</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2024年基本支出预算7358.32万元，其中:人员支出</w:t>
      </w:r>
      <w:r>
        <w:rPr>
          <w:rFonts w:hint="eastAsia" w:ascii="仿宋_GB2312" w:hAnsi="宋体" w:eastAsia="仿宋_GB2312" w:cs="宋体"/>
          <w:kern w:val="0"/>
          <w:sz w:val="32"/>
          <w:szCs w:val="32"/>
        </w:rPr>
        <w:t xml:space="preserve"> </w:t>
      </w:r>
      <w:r>
        <w:rPr>
          <w:rFonts w:hint="eastAsia" w:ascii="仿宋_GB2312" w:hAnsi="仿宋" w:eastAsia="仿宋_GB2312"/>
          <w:sz w:val="32"/>
          <w:szCs w:val="32"/>
        </w:rPr>
        <w:t xml:space="preserve">        6849.7万元,公用支出508.62万元。</w:t>
      </w:r>
    </w:p>
    <w:p>
      <w:pPr>
        <w:spacing w:line="560" w:lineRule="exact"/>
        <w:ind w:firstLine="640" w:firstLineChars="200"/>
        <w:rPr>
          <w:rFonts w:ascii="仿宋_GB2312" w:hAnsi="仿宋" w:eastAsia="仿宋_GB2312"/>
          <w:b/>
          <w:bCs/>
          <w:sz w:val="32"/>
          <w:szCs w:val="32"/>
        </w:rPr>
      </w:pPr>
      <w:r>
        <w:rPr>
          <w:rFonts w:hint="eastAsia" w:ascii="仿宋_GB2312" w:hAnsi="仿宋" w:eastAsia="仿宋_GB2312"/>
          <w:sz w:val="32"/>
          <w:szCs w:val="32"/>
        </w:rPr>
        <w:t>（一）人员支出6849.7万元,主要由工资福利支出6762.49万元、对个人和家庭的补助87.21万元构成。列支范围包括:基本工资、津贴补贴、奖金、社会保障缴费、退休费、生活补助、住房公积金、其他对个人和家庭的补助支出等。</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（二）公用支出508.62万元,列支范围包括:办公费、印刷费、水费、邮电费、取暖费、维修（护）费、培训费、公务接待费、福利费、公务用车运行维护费、其他商品和服务支出等。</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九、大兴区魏善庄镇2024年部门政府性基金预算财政拨款支出预算表的说明</w:t>
      </w:r>
    </w:p>
    <w:p>
      <w:pPr>
        <w:spacing w:line="560" w:lineRule="exact"/>
        <w:ind w:firstLine="640" w:firstLineChars="200"/>
        <w:rPr>
          <w:rFonts w:ascii="仿宋_GB2312" w:hAnsi="宋体" w:eastAsia="仿宋_GB2312" w:cs="宋体"/>
          <w:b/>
          <w:bCs/>
          <w:kern w:val="0"/>
          <w:sz w:val="32"/>
          <w:szCs w:val="32"/>
        </w:rPr>
      </w:pPr>
      <w:r>
        <w:rPr>
          <w:rFonts w:hint="eastAsia" w:ascii="仿宋_GB2312" w:hAnsi="仿宋" w:eastAsia="仿宋_GB2312"/>
          <w:sz w:val="32"/>
          <w:szCs w:val="32"/>
        </w:rPr>
        <w:t>2024年魏善庄镇安排政府性基金预算支出</w:t>
      </w:r>
      <w:r>
        <w:rPr>
          <w:rFonts w:hint="eastAsia" w:ascii="仿宋_GB2312" w:hAnsi="仿宋" w:eastAsia="仿宋_GB2312" w:cs="宋体"/>
          <w:bCs/>
          <w:kern w:val="0"/>
          <w:sz w:val="32"/>
          <w:szCs w:val="32"/>
        </w:rPr>
        <w:t>3142.81</w:t>
      </w:r>
      <w:r>
        <w:rPr>
          <w:rFonts w:hint="eastAsia" w:ascii="仿宋_GB2312" w:hAnsi="仿宋" w:eastAsia="仿宋_GB2312"/>
          <w:sz w:val="32"/>
          <w:szCs w:val="32"/>
        </w:rPr>
        <w:t>万元。其中：城乡社区支出3142.81万元。主要用于农村基础设施建设支出。</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十、大兴区魏善庄镇部门2024年一般公共预算“三公”经费财政拨款支出预算表的说明</w:t>
      </w:r>
    </w:p>
    <w:p>
      <w:pPr>
        <w:spacing w:line="560" w:lineRule="exact"/>
        <w:ind w:firstLine="640" w:firstLineChars="200"/>
        <w:rPr>
          <w:rFonts w:ascii="楷体_GB2312" w:hAnsi="仿宋" w:eastAsia="楷体_GB2312"/>
          <w:sz w:val="32"/>
          <w:szCs w:val="32"/>
        </w:rPr>
      </w:pPr>
      <w:r>
        <w:rPr>
          <w:rFonts w:hint="eastAsia" w:ascii="楷体_GB2312" w:hAnsi="仿宋" w:eastAsia="楷体_GB2312"/>
          <w:sz w:val="32"/>
          <w:szCs w:val="32"/>
        </w:rPr>
        <w:t>（一）“三公”经费的单位范围</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大兴区魏善庄镇因公出国（境）费用、公务接待费、公务用车购置和运行维护费开支单位包括大兴区魏善庄镇人民政府本级及其内设、所属机构、事业单位。</w:t>
      </w:r>
    </w:p>
    <w:p>
      <w:pPr>
        <w:spacing w:line="560" w:lineRule="exact"/>
        <w:ind w:firstLine="640" w:firstLineChars="200"/>
        <w:rPr>
          <w:rFonts w:ascii="楷体_GB2312" w:hAnsi="仿宋" w:eastAsia="楷体_GB2312"/>
          <w:sz w:val="32"/>
          <w:szCs w:val="32"/>
        </w:rPr>
      </w:pPr>
      <w:r>
        <w:rPr>
          <w:rFonts w:hint="eastAsia" w:ascii="楷体_GB2312" w:hAnsi="仿宋" w:eastAsia="楷体_GB2312"/>
          <w:sz w:val="32"/>
          <w:szCs w:val="32"/>
        </w:rPr>
        <w:t>（二）一般公共预算“三公”经费预算财政拨款情况说明</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 xml:space="preserve">2024年一般公共预算“三公经费”财政拨款预算38万元，2023年预算数38万元。其中： </w:t>
      </w:r>
    </w:p>
    <w:p>
      <w:pPr>
        <w:spacing w:line="560" w:lineRule="exact"/>
        <w:ind w:firstLine="640" w:firstLineChars="200"/>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1.因公出国(境)费用:2024年预算与2023年预算相同，均未安排此项费用。</w:t>
      </w:r>
    </w:p>
    <w:p>
      <w:pPr>
        <w:spacing w:line="560" w:lineRule="exact"/>
        <w:ind w:firstLine="640" w:firstLineChars="200"/>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2.公务接待费:2024年预算数1.7万元,与2023年预算1.7万元预算相同。</w:t>
      </w:r>
    </w:p>
    <w:p>
      <w:pPr>
        <w:pBdr>
          <w:bottom w:val="single" w:color="FFFFFF" w:sz="4" w:space="1"/>
        </w:pBdr>
        <w:spacing w:line="560" w:lineRule="exact"/>
        <w:ind w:firstLine="640" w:firstLineChars="200"/>
        <w:outlineLvl w:val="0"/>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3.公务用车购置和运行维护费:2024年预算数36.3万元,其中，公务用车运行维护费36.3万元， 2023年预算数36.3万元增加0万元，增长0%；公务用车购置费0万元，与2023年预算相同，</w:t>
      </w:r>
      <w:r>
        <w:rPr>
          <w:rFonts w:hint="eastAsia" w:ascii="仿宋_GB2312" w:hAnsi="仿宋" w:eastAsia="仿宋_GB2312"/>
          <w:color w:val="000000" w:themeColor="text1"/>
          <w:sz w:val="32"/>
          <w:szCs w:val="32"/>
          <w:lang w:val="en-US" w:eastAsia="zh-CN"/>
        </w:rPr>
        <w:t>2024年实有公务用车11辆，</w:t>
      </w:r>
      <w:r>
        <w:rPr>
          <w:rFonts w:hint="eastAsia" w:ascii="仿宋_GB2312" w:hAnsi="仿宋" w:eastAsia="仿宋_GB2312"/>
          <w:color w:val="000000" w:themeColor="text1"/>
          <w:sz w:val="32"/>
          <w:szCs w:val="32"/>
        </w:rPr>
        <w:t>均未安排公务用车购置费。</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十一、其他重要事项的情况说明</w:t>
      </w:r>
    </w:p>
    <w:p>
      <w:pPr>
        <w:spacing w:line="560" w:lineRule="exact"/>
        <w:ind w:firstLine="640" w:firstLineChars="200"/>
        <w:rPr>
          <w:rFonts w:ascii="楷体_GB2312" w:hAnsi="仿宋" w:eastAsia="楷体_GB2312"/>
          <w:sz w:val="32"/>
          <w:szCs w:val="32"/>
        </w:rPr>
      </w:pPr>
      <w:r>
        <w:rPr>
          <w:rFonts w:hint="eastAsia" w:ascii="楷体_GB2312" w:hAnsi="仿宋" w:eastAsia="楷体_GB2312"/>
          <w:sz w:val="32"/>
          <w:szCs w:val="32"/>
        </w:rPr>
        <w:t>（一）机关运行经费</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2024年大兴区魏善庄镇本级及所属单位（只反映行政机关和参照公务员管理的事业单位）的机关运行经费财政拨款预算508.623万元，较2023年460.17万元增加38.53万元，增长8.37% 。</w:t>
      </w:r>
    </w:p>
    <w:p>
      <w:pPr>
        <w:spacing w:line="560" w:lineRule="exact"/>
        <w:ind w:firstLine="640" w:firstLineChars="200"/>
        <w:rPr>
          <w:rFonts w:ascii="楷体_GB2312" w:hAnsi="仿宋" w:eastAsia="楷体_GB2312"/>
          <w:sz w:val="32"/>
          <w:szCs w:val="32"/>
        </w:rPr>
      </w:pPr>
      <w:r>
        <w:rPr>
          <w:rFonts w:hint="eastAsia" w:ascii="楷体_GB2312" w:hAnsi="仿宋" w:eastAsia="楷体_GB2312"/>
          <w:sz w:val="32"/>
          <w:szCs w:val="32"/>
        </w:rPr>
        <w:t>（二）政府采购情况</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2024年，大兴区魏善庄镇政府采购预算总额690万元，其中：政府采购货物预算0万元，政府采购工程预算0万元，政府采购服务预算690万。</w:t>
      </w:r>
    </w:p>
    <w:p>
      <w:pPr>
        <w:spacing w:line="560" w:lineRule="exact"/>
        <w:ind w:firstLine="640" w:firstLineChars="200"/>
        <w:rPr>
          <w:rFonts w:ascii="楷体_GB2312" w:hAnsi="仿宋" w:eastAsia="楷体_GB2312"/>
          <w:sz w:val="32"/>
          <w:szCs w:val="32"/>
        </w:rPr>
      </w:pPr>
      <w:r>
        <w:rPr>
          <w:rFonts w:hint="eastAsia" w:ascii="楷体_GB2312" w:hAnsi="仿宋" w:eastAsia="楷体_GB2312"/>
          <w:sz w:val="32"/>
          <w:szCs w:val="32"/>
        </w:rPr>
        <w:t>（三）国有资产占用情况</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本部门2024年无国有资产占用情况</w:t>
      </w:r>
    </w:p>
    <w:p>
      <w:pPr>
        <w:spacing w:line="560" w:lineRule="exact"/>
        <w:ind w:firstLine="640" w:firstLineChars="200"/>
        <w:rPr>
          <w:rFonts w:ascii="楷体_GB2312" w:hAnsi="仿宋" w:eastAsia="楷体_GB2312"/>
          <w:sz w:val="32"/>
          <w:szCs w:val="32"/>
        </w:rPr>
      </w:pPr>
      <w:r>
        <w:rPr>
          <w:rFonts w:hint="eastAsia" w:ascii="楷体_GB2312" w:hAnsi="仿宋" w:eastAsia="楷体_GB2312"/>
          <w:sz w:val="32"/>
          <w:szCs w:val="32"/>
        </w:rPr>
        <w:t>（四）重点项目预算的绩效目标和绩效评价结果的情况</w:t>
      </w:r>
    </w:p>
    <w:p>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无</w:t>
      </w:r>
    </w:p>
    <w:p>
      <w:pPr>
        <w:spacing w:line="560" w:lineRule="exact"/>
        <w:ind w:firstLine="640" w:firstLineChars="200"/>
        <w:rPr>
          <w:rFonts w:ascii="楷体_GB2312" w:hAnsi="仿宋" w:eastAsia="楷体_GB2312"/>
          <w:sz w:val="32"/>
          <w:szCs w:val="32"/>
        </w:rPr>
      </w:pPr>
      <w:r>
        <w:rPr>
          <w:rFonts w:hint="eastAsia" w:ascii="楷体_GB2312" w:hAnsi="仿宋" w:eastAsia="楷体_GB2312"/>
          <w:sz w:val="32"/>
          <w:szCs w:val="32"/>
        </w:rPr>
        <w:t>（五）重点行政事业性收费情况说明</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本部门2024年无重点行政事业性收费情况</w:t>
      </w:r>
    </w:p>
    <w:p>
      <w:pPr>
        <w:spacing w:line="560" w:lineRule="exact"/>
        <w:ind w:firstLine="640" w:firstLineChars="200"/>
        <w:rPr>
          <w:rFonts w:ascii="楷体_GB2312" w:hAnsi="仿宋" w:eastAsia="楷体_GB2312"/>
          <w:sz w:val="32"/>
          <w:szCs w:val="32"/>
        </w:rPr>
      </w:pPr>
      <w:r>
        <w:rPr>
          <w:rFonts w:hint="eastAsia" w:ascii="楷体_GB2312" w:hAnsi="仿宋" w:eastAsia="楷体_GB2312"/>
          <w:sz w:val="32"/>
          <w:szCs w:val="32"/>
        </w:rPr>
        <w:t>（六）政府购买服务预算说明</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无</w:t>
      </w:r>
    </w:p>
    <w:p>
      <w:pPr>
        <w:spacing w:line="560" w:lineRule="exact"/>
        <w:ind w:firstLine="640" w:firstLineChars="200"/>
        <w:rPr>
          <w:rFonts w:ascii="楷体_GB2312" w:hAnsi="仿宋" w:eastAsia="楷体_GB2312"/>
          <w:sz w:val="32"/>
          <w:szCs w:val="32"/>
        </w:rPr>
      </w:pPr>
      <w:r>
        <w:rPr>
          <w:rFonts w:hint="eastAsia" w:ascii="楷体_GB2312" w:hAnsi="仿宋" w:eastAsia="楷体_GB2312"/>
          <w:sz w:val="32"/>
          <w:szCs w:val="32"/>
        </w:rPr>
        <w:t>（七）国有资本经营预算财政拨款情况说明</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本部门2024年无国有资本经营预算财政拨款安排的预算</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十二、名词解释</w:t>
      </w:r>
    </w:p>
    <w:p>
      <w:pPr>
        <w:spacing w:line="560" w:lineRule="exact"/>
        <w:ind w:firstLine="640" w:firstLineChars="200"/>
        <w:rPr>
          <w:rFonts w:ascii="仿宋_GB2312" w:hAnsi="仿宋" w:eastAsia="仿宋_GB2312"/>
          <w:b/>
          <w:sz w:val="32"/>
          <w:szCs w:val="32"/>
        </w:rPr>
      </w:pPr>
      <w:r>
        <w:rPr>
          <w:rFonts w:hint="eastAsia" w:ascii="仿宋_GB2312" w:hAnsi="仿宋" w:eastAsia="仿宋_GB2312"/>
          <w:sz w:val="32"/>
          <w:szCs w:val="32"/>
        </w:rPr>
        <w:t>“三公”经费：指本部门当年部门预算安排的因公出国（境）费用、公务接待费、公务用车购置和运行维护费预算数。</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footerReference r:id="rId3" w:type="default"/>
      <w:pgSz w:w="11906" w:h="16838"/>
      <w:pgMar w:top="2098" w:right="1474" w:bottom="1588" w:left="1985"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roman"/>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127062"/>
      <w:docPartObj>
        <w:docPartGallery w:val="AutoText"/>
      </w:docPartObj>
    </w:sdtPr>
    <w:sdtContent>
      <w:p>
        <w:pPr>
          <w:pStyle w:val="4"/>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827C1"/>
    <w:rsid w:val="000005C5"/>
    <w:rsid w:val="000161CB"/>
    <w:rsid w:val="000164DB"/>
    <w:rsid w:val="00022882"/>
    <w:rsid w:val="00027ABE"/>
    <w:rsid w:val="00036D2B"/>
    <w:rsid w:val="000411F8"/>
    <w:rsid w:val="00041FA2"/>
    <w:rsid w:val="00042431"/>
    <w:rsid w:val="00043C1F"/>
    <w:rsid w:val="00044D62"/>
    <w:rsid w:val="000506CD"/>
    <w:rsid w:val="00066AA2"/>
    <w:rsid w:val="00072CAB"/>
    <w:rsid w:val="000779C9"/>
    <w:rsid w:val="00085B54"/>
    <w:rsid w:val="00094F1E"/>
    <w:rsid w:val="00095CFE"/>
    <w:rsid w:val="00096223"/>
    <w:rsid w:val="000B5EA7"/>
    <w:rsid w:val="000B6FF6"/>
    <w:rsid w:val="000D3C16"/>
    <w:rsid w:val="000F4816"/>
    <w:rsid w:val="00102C55"/>
    <w:rsid w:val="001075BC"/>
    <w:rsid w:val="00110970"/>
    <w:rsid w:val="001150B7"/>
    <w:rsid w:val="001450BC"/>
    <w:rsid w:val="0014533D"/>
    <w:rsid w:val="00150FBC"/>
    <w:rsid w:val="001570A0"/>
    <w:rsid w:val="001662EF"/>
    <w:rsid w:val="001718C5"/>
    <w:rsid w:val="00173416"/>
    <w:rsid w:val="0017370E"/>
    <w:rsid w:val="00175953"/>
    <w:rsid w:val="001775B9"/>
    <w:rsid w:val="00181A8B"/>
    <w:rsid w:val="00191B06"/>
    <w:rsid w:val="00192E70"/>
    <w:rsid w:val="00194BFF"/>
    <w:rsid w:val="0019607E"/>
    <w:rsid w:val="001A19EC"/>
    <w:rsid w:val="001A27D2"/>
    <w:rsid w:val="001C18F3"/>
    <w:rsid w:val="001C496F"/>
    <w:rsid w:val="001D0606"/>
    <w:rsid w:val="001D3011"/>
    <w:rsid w:val="001E1B60"/>
    <w:rsid w:val="001F73E5"/>
    <w:rsid w:val="00200A41"/>
    <w:rsid w:val="002111FD"/>
    <w:rsid w:val="002515AF"/>
    <w:rsid w:val="00267E92"/>
    <w:rsid w:val="002700D6"/>
    <w:rsid w:val="00273CEF"/>
    <w:rsid w:val="002871BB"/>
    <w:rsid w:val="00297A15"/>
    <w:rsid w:val="002A6FCC"/>
    <w:rsid w:val="002B375A"/>
    <w:rsid w:val="002D55C1"/>
    <w:rsid w:val="002E332A"/>
    <w:rsid w:val="002F60B2"/>
    <w:rsid w:val="002F70C7"/>
    <w:rsid w:val="00304A54"/>
    <w:rsid w:val="0031065F"/>
    <w:rsid w:val="00313C1A"/>
    <w:rsid w:val="00315745"/>
    <w:rsid w:val="00316472"/>
    <w:rsid w:val="00317045"/>
    <w:rsid w:val="00327108"/>
    <w:rsid w:val="00331FAC"/>
    <w:rsid w:val="00341102"/>
    <w:rsid w:val="00346280"/>
    <w:rsid w:val="003538BC"/>
    <w:rsid w:val="0035437A"/>
    <w:rsid w:val="00354FB1"/>
    <w:rsid w:val="0035744C"/>
    <w:rsid w:val="003575F9"/>
    <w:rsid w:val="00362A73"/>
    <w:rsid w:val="00364587"/>
    <w:rsid w:val="00377A4F"/>
    <w:rsid w:val="00390A94"/>
    <w:rsid w:val="003B6559"/>
    <w:rsid w:val="003C1358"/>
    <w:rsid w:val="003C5D15"/>
    <w:rsid w:val="003E56AF"/>
    <w:rsid w:val="003E59A1"/>
    <w:rsid w:val="003F4271"/>
    <w:rsid w:val="003F6053"/>
    <w:rsid w:val="004006D6"/>
    <w:rsid w:val="00414B7B"/>
    <w:rsid w:val="004238A4"/>
    <w:rsid w:val="00424459"/>
    <w:rsid w:val="00440E54"/>
    <w:rsid w:val="004500C0"/>
    <w:rsid w:val="004507BE"/>
    <w:rsid w:val="00455297"/>
    <w:rsid w:val="004559FD"/>
    <w:rsid w:val="00455EB9"/>
    <w:rsid w:val="00470153"/>
    <w:rsid w:val="00471723"/>
    <w:rsid w:val="004743A8"/>
    <w:rsid w:val="00482AE3"/>
    <w:rsid w:val="004A27F6"/>
    <w:rsid w:val="004B4054"/>
    <w:rsid w:val="004C4434"/>
    <w:rsid w:val="004C6C1B"/>
    <w:rsid w:val="004E103E"/>
    <w:rsid w:val="004E19F8"/>
    <w:rsid w:val="004F22F4"/>
    <w:rsid w:val="004F2386"/>
    <w:rsid w:val="004F668C"/>
    <w:rsid w:val="004F74FF"/>
    <w:rsid w:val="004F7776"/>
    <w:rsid w:val="00500683"/>
    <w:rsid w:val="005079DC"/>
    <w:rsid w:val="00530191"/>
    <w:rsid w:val="00531C9D"/>
    <w:rsid w:val="00555BB0"/>
    <w:rsid w:val="005567BD"/>
    <w:rsid w:val="00565A93"/>
    <w:rsid w:val="0058341C"/>
    <w:rsid w:val="00584A49"/>
    <w:rsid w:val="00586586"/>
    <w:rsid w:val="00590392"/>
    <w:rsid w:val="00590F9E"/>
    <w:rsid w:val="00596206"/>
    <w:rsid w:val="005A1285"/>
    <w:rsid w:val="005A26A1"/>
    <w:rsid w:val="005B4E0A"/>
    <w:rsid w:val="005D1E16"/>
    <w:rsid w:val="005D4C2E"/>
    <w:rsid w:val="005E06C4"/>
    <w:rsid w:val="005E22EB"/>
    <w:rsid w:val="005F07A7"/>
    <w:rsid w:val="00602EBA"/>
    <w:rsid w:val="00606483"/>
    <w:rsid w:val="006169EE"/>
    <w:rsid w:val="00617E20"/>
    <w:rsid w:val="00621AB8"/>
    <w:rsid w:val="00635C4E"/>
    <w:rsid w:val="006367D3"/>
    <w:rsid w:val="0065168A"/>
    <w:rsid w:val="0066246A"/>
    <w:rsid w:val="00677016"/>
    <w:rsid w:val="006827C1"/>
    <w:rsid w:val="00682C5E"/>
    <w:rsid w:val="006834E7"/>
    <w:rsid w:val="0068528E"/>
    <w:rsid w:val="006A13DF"/>
    <w:rsid w:val="006B1189"/>
    <w:rsid w:val="006B1BC3"/>
    <w:rsid w:val="006C235D"/>
    <w:rsid w:val="006C4233"/>
    <w:rsid w:val="006C68A9"/>
    <w:rsid w:val="006C74D7"/>
    <w:rsid w:val="006E715B"/>
    <w:rsid w:val="00701175"/>
    <w:rsid w:val="00712508"/>
    <w:rsid w:val="00713E63"/>
    <w:rsid w:val="00716920"/>
    <w:rsid w:val="00720037"/>
    <w:rsid w:val="00725CD5"/>
    <w:rsid w:val="00731EFA"/>
    <w:rsid w:val="00742460"/>
    <w:rsid w:val="007463C6"/>
    <w:rsid w:val="0074780E"/>
    <w:rsid w:val="007569DF"/>
    <w:rsid w:val="007571B2"/>
    <w:rsid w:val="00757ECD"/>
    <w:rsid w:val="0076145C"/>
    <w:rsid w:val="007655CB"/>
    <w:rsid w:val="0076727D"/>
    <w:rsid w:val="007702A6"/>
    <w:rsid w:val="007734E4"/>
    <w:rsid w:val="00777B26"/>
    <w:rsid w:val="00784790"/>
    <w:rsid w:val="00784A83"/>
    <w:rsid w:val="00785EC2"/>
    <w:rsid w:val="007927C9"/>
    <w:rsid w:val="00792FAE"/>
    <w:rsid w:val="007A2C5B"/>
    <w:rsid w:val="007A506C"/>
    <w:rsid w:val="007B0EEA"/>
    <w:rsid w:val="007B2814"/>
    <w:rsid w:val="007B354B"/>
    <w:rsid w:val="007C01C6"/>
    <w:rsid w:val="007C3CBF"/>
    <w:rsid w:val="007C60A0"/>
    <w:rsid w:val="007D464F"/>
    <w:rsid w:val="007E36A3"/>
    <w:rsid w:val="007F132B"/>
    <w:rsid w:val="007F25C6"/>
    <w:rsid w:val="007F5D19"/>
    <w:rsid w:val="00804F0E"/>
    <w:rsid w:val="008063B3"/>
    <w:rsid w:val="00811EE0"/>
    <w:rsid w:val="008136A5"/>
    <w:rsid w:val="00820FE8"/>
    <w:rsid w:val="0082281B"/>
    <w:rsid w:val="0082582A"/>
    <w:rsid w:val="00830764"/>
    <w:rsid w:val="008311E2"/>
    <w:rsid w:val="00836E07"/>
    <w:rsid w:val="00847F1F"/>
    <w:rsid w:val="00852A67"/>
    <w:rsid w:val="008537AA"/>
    <w:rsid w:val="00853ED0"/>
    <w:rsid w:val="00855605"/>
    <w:rsid w:val="008609F6"/>
    <w:rsid w:val="00867936"/>
    <w:rsid w:val="008A70FA"/>
    <w:rsid w:val="008B0101"/>
    <w:rsid w:val="008B2780"/>
    <w:rsid w:val="008D2C8C"/>
    <w:rsid w:val="008D4A41"/>
    <w:rsid w:val="008E2589"/>
    <w:rsid w:val="008E47BA"/>
    <w:rsid w:val="008F69AB"/>
    <w:rsid w:val="008F7138"/>
    <w:rsid w:val="00914CAA"/>
    <w:rsid w:val="00922E69"/>
    <w:rsid w:val="00935367"/>
    <w:rsid w:val="0094010B"/>
    <w:rsid w:val="00942EC2"/>
    <w:rsid w:val="009466CE"/>
    <w:rsid w:val="009468E4"/>
    <w:rsid w:val="00966A5E"/>
    <w:rsid w:val="00975335"/>
    <w:rsid w:val="0098196F"/>
    <w:rsid w:val="0098388B"/>
    <w:rsid w:val="00984E1B"/>
    <w:rsid w:val="00985BD9"/>
    <w:rsid w:val="00985D4B"/>
    <w:rsid w:val="00986B4D"/>
    <w:rsid w:val="0099169A"/>
    <w:rsid w:val="009A077B"/>
    <w:rsid w:val="009B00CD"/>
    <w:rsid w:val="009C2EFE"/>
    <w:rsid w:val="009C3724"/>
    <w:rsid w:val="009E010B"/>
    <w:rsid w:val="009E5C8E"/>
    <w:rsid w:val="00A071E6"/>
    <w:rsid w:val="00A0793D"/>
    <w:rsid w:val="00A14436"/>
    <w:rsid w:val="00A26CFA"/>
    <w:rsid w:val="00A315C6"/>
    <w:rsid w:val="00A34D19"/>
    <w:rsid w:val="00A37CA8"/>
    <w:rsid w:val="00A43AE8"/>
    <w:rsid w:val="00A4700F"/>
    <w:rsid w:val="00A525C1"/>
    <w:rsid w:val="00A5677F"/>
    <w:rsid w:val="00A63564"/>
    <w:rsid w:val="00A70F08"/>
    <w:rsid w:val="00A76239"/>
    <w:rsid w:val="00A8110B"/>
    <w:rsid w:val="00A83F9B"/>
    <w:rsid w:val="00A85172"/>
    <w:rsid w:val="00A872C4"/>
    <w:rsid w:val="00A9224D"/>
    <w:rsid w:val="00AA0223"/>
    <w:rsid w:val="00AA62F5"/>
    <w:rsid w:val="00AB01E8"/>
    <w:rsid w:val="00AB5949"/>
    <w:rsid w:val="00AC20CB"/>
    <w:rsid w:val="00AD38FD"/>
    <w:rsid w:val="00AE020E"/>
    <w:rsid w:val="00AE0A38"/>
    <w:rsid w:val="00B06471"/>
    <w:rsid w:val="00B104C3"/>
    <w:rsid w:val="00B13060"/>
    <w:rsid w:val="00B1589D"/>
    <w:rsid w:val="00B17FDA"/>
    <w:rsid w:val="00B24612"/>
    <w:rsid w:val="00B24796"/>
    <w:rsid w:val="00B31333"/>
    <w:rsid w:val="00B46A9F"/>
    <w:rsid w:val="00B56B15"/>
    <w:rsid w:val="00B61A5D"/>
    <w:rsid w:val="00B6669E"/>
    <w:rsid w:val="00B670D5"/>
    <w:rsid w:val="00B7693C"/>
    <w:rsid w:val="00B8092C"/>
    <w:rsid w:val="00B81955"/>
    <w:rsid w:val="00B879A4"/>
    <w:rsid w:val="00B919B8"/>
    <w:rsid w:val="00B94AA6"/>
    <w:rsid w:val="00BA3464"/>
    <w:rsid w:val="00BB4C16"/>
    <w:rsid w:val="00BB5810"/>
    <w:rsid w:val="00BC130D"/>
    <w:rsid w:val="00BC2E63"/>
    <w:rsid w:val="00BC7901"/>
    <w:rsid w:val="00BD16AF"/>
    <w:rsid w:val="00BD5BF7"/>
    <w:rsid w:val="00BD61EC"/>
    <w:rsid w:val="00BD6686"/>
    <w:rsid w:val="00BF1FEB"/>
    <w:rsid w:val="00BF3CA9"/>
    <w:rsid w:val="00C1150B"/>
    <w:rsid w:val="00C12978"/>
    <w:rsid w:val="00C149B4"/>
    <w:rsid w:val="00C164BD"/>
    <w:rsid w:val="00C17BBF"/>
    <w:rsid w:val="00C2068F"/>
    <w:rsid w:val="00C45C8B"/>
    <w:rsid w:val="00C47AD0"/>
    <w:rsid w:val="00C754FA"/>
    <w:rsid w:val="00C91341"/>
    <w:rsid w:val="00C955B3"/>
    <w:rsid w:val="00CB3EF4"/>
    <w:rsid w:val="00CB4CFC"/>
    <w:rsid w:val="00CB6D34"/>
    <w:rsid w:val="00CC1D0B"/>
    <w:rsid w:val="00CC22CE"/>
    <w:rsid w:val="00CC29A9"/>
    <w:rsid w:val="00CC67B2"/>
    <w:rsid w:val="00CD0D3C"/>
    <w:rsid w:val="00CD2B06"/>
    <w:rsid w:val="00CD4FE4"/>
    <w:rsid w:val="00CE09CF"/>
    <w:rsid w:val="00CE3F39"/>
    <w:rsid w:val="00CE4ECC"/>
    <w:rsid w:val="00CE6E5A"/>
    <w:rsid w:val="00CF29A5"/>
    <w:rsid w:val="00CF4D40"/>
    <w:rsid w:val="00CF5690"/>
    <w:rsid w:val="00CF792D"/>
    <w:rsid w:val="00D04116"/>
    <w:rsid w:val="00D12764"/>
    <w:rsid w:val="00D27AB8"/>
    <w:rsid w:val="00D27C4D"/>
    <w:rsid w:val="00D31EB9"/>
    <w:rsid w:val="00D32D01"/>
    <w:rsid w:val="00D36096"/>
    <w:rsid w:val="00D419BA"/>
    <w:rsid w:val="00D60185"/>
    <w:rsid w:val="00D621A2"/>
    <w:rsid w:val="00D641E2"/>
    <w:rsid w:val="00D6660C"/>
    <w:rsid w:val="00D668B3"/>
    <w:rsid w:val="00D752B8"/>
    <w:rsid w:val="00D766E0"/>
    <w:rsid w:val="00D80F21"/>
    <w:rsid w:val="00D919BB"/>
    <w:rsid w:val="00D9204F"/>
    <w:rsid w:val="00D96540"/>
    <w:rsid w:val="00DA32B6"/>
    <w:rsid w:val="00DB1969"/>
    <w:rsid w:val="00DD009C"/>
    <w:rsid w:val="00DE0DC3"/>
    <w:rsid w:val="00DE3785"/>
    <w:rsid w:val="00E04E58"/>
    <w:rsid w:val="00E10B5A"/>
    <w:rsid w:val="00E22AAD"/>
    <w:rsid w:val="00E22B3F"/>
    <w:rsid w:val="00E23827"/>
    <w:rsid w:val="00E252C8"/>
    <w:rsid w:val="00E329E0"/>
    <w:rsid w:val="00E375C0"/>
    <w:rsid w:val="00E4247A"/>
    <w:rsid w:val="00E50A94"/>
    <w:rsid w:val="00E516E3"/>
    <w:rsid w:val="00E5242F"/>
    <w:rsid w:val="00E524A6"/>
    <w:rsid w:val="00E55803"/>
    <w:rsid w:val="00E64A70"/>
    <w:rsid w:val="00E7758B"/>
    <w:rsid w:val="00E85E98"/>
    <w:rsid w:val="00E875E4"/>
    <w:rsid w:val="00E94DFD"/>
    <w:rsid w:val="00EA541C"/>
    <w:rsid w:val="00EA7F7D"/>
    <w:rsid w:val="00EB04A2"/>
    <w:rsid w:val="00EB36B6"/>
    <w:rsid w:val="00EB45DC"/>
    <w:rsid w:val="00EB61B0"/>
    <w:rsid w:val="00EC01E1"/>
    <w:rsid w:val="00EC0B95"/>
    <w:rsid w:val="00EF4C5F"/>
    <w:rsid w:val="00F02D18"/>
    <w:rsid w:val="00F10E85"/>
    <w:rsid w:val="00F1211A"/>
    <w:rsid w:val="00F147E9"/>
    <w:rsid w:val="00F230DF"/>
    <w:rsid w:val="00F23554"/>
    <w:rsid w:val="00F358A3"/>
    <w:rsid w:val="00F35B2A"/>
    <w:rsid w:val="00F416AE"/>
    <w:rsid w:val="00F423C0"/>
    <w:rsid w:val="00F564E1"/>
    <w:rsid w:val="00F65612"/>
    <w:rsid w:val="00F73087"/>
    <w:rsid w:val="00F74D6E"/>
    <w:rsid w:val="00F820A1"/>
    <w:rsid w:val="00F8727C"/>
    <w:rsid w:val="00F87A25"/>
    <w:rsid w:val="00F90FFE"/>
    <w:rsid w:val="00F96BCD"/>
    <w:rsid w:val="00FB0B92"/>
    <w:rsid w:val="00FB1BCF"/>
    <w:rsid w:val="00FB4757"/>
    <w:rsid w:val="00FC5101"/>
    <w:rsid w:val="00FC597B"/>
    <w:rsid w:val="00FD0054"/>
    <w:rsid w:val="00FE6EFA"/>
    <w:rsid w:val="00FF4538"/>
    <w:rsid w:val="0498178E"/>
    <w:rsid w:val="076C0010"/>
    <w:rsid w:val="32357A25"/>
    <w:rsid w:val="35593DB6"/>
    <w:rsid w:val="356D0264"/>
    <w:rsid w:val="3F5B3A30"/>
    <w:rsid w:val="40FC5F2E"/>
    <w:rsid w:val="533F6958"/>
    <w:rsid w:val="5A285F3F"/>
    <w:rsid w:val="5ADD03A8"/>
    <w:rsid w:val="6A6315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4"/>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2"/>
    <w:semiHidden/>
    <w:unhideWhenUsed/>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Hyperlink"/>
    <w:basedOn w:val="8"/>
    <w:semiHidden/>
    <w:unhideWhenUsed/>
    <w:uiPriority w:val="99"/>
    <w:rPr>
      <w:color w:val="0000FF"/>
      <w:u w:val="single"/>
    </w:rPr>
  </w:style>
  <w:style w:type="character" w:customStyle="1" w:styleId="10">
    <w:name w:val="页眉 Char"/>
    <w:basedOn w:val="8"/>
    <w:link w:val="5"/>
    <w:semiHidden/>
    <w:uiPriority w:val="99"/>
    <w:rPr>
      <w:sz w:val="18"/>
      <w:szCs w:val="18"/>
    </w:rPr>
  </w:style>
  <w:style w:type="character" w:customStyle="1" w:styleId="11">
    <w:name w:val="页脚 Char"/>
    <w:basedOn w:val="8"/>
    <w:link w:val="4"/>
    <w:uiPriority w:val="99"/>
    <w:rPr>
      <w:sz w:val="18"/>
      <w:szCs w:val="18"/>
    </w:rPr>
  </w:style>
  <w:style w:type="character" w:customStyle="1" w:styleId="12">
    <w:name w:val="批注框文本 Char"/>
    <w:basedOn w:val="8"/>
    <w:link w:val="3"/>
    <w:semiHidden/>
    <w:uiPriority w:val="99"/>
    <w:rPr>
      <w:sz w:val="18"/>
      <w:szCs w:val="18"/>
    </w:rPr>
  </w:style>
  <w:style w:type="paragraph" w:styleId="13">
    <w:name w:val="List Paragraph"/>
    <w:basedOn w:val="1"/>
    <w:qFormat/>
    <w:uiPriority w:val="99"/>
    <w:pPr>
      <w:ind w:firstLine="420" w:firstLineChars="200"/>
    </w:pPr>
  </w:style>
  <w:style w:type="character" w:customStyle="1" w:styleId="14">
    <w:name w:val="标题 2 Char"/>
    <w:basedOn w:val="8"/>
    <w:link w:val="2"/>
    <w:uiPriority w:val="9"/>
    <w:rPr>
      <w:rFonts w:ascii="宋体" w:hAnsi="宋体" w:eastAsia="宋体" w:cs="宋体"/>
      <w:b/>
      <w:bCs/>
      <w:kern w:val="0"/>
      <w:sz w:val="36"/>
      <w:szCs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688</Words>
  <Characters>3924</Characters>
  <Lines>32</Lines>
  <Paragraphs>9</Paragraphs>
  <TotalTime>4</TotalTime>
  <ScaleCrop>false</ScaleCrop>
  <LinksUpToDate>false</LinksUpToDate>
  <CharactersWithSpaces>4603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2021-04-21T07:58:00Z</dcterms:created>
  <dc:creator>王春荣</dc:creator>
  <cp:lastModifiedBy>lenovo1</cp:lastModifiedBy>
  <cp:lastPrinted>2021-04-01T08:28:00Z</cp:lastPrinted>
  <dcterms:modified xsi:type="dcterms:W3CDTF">2025-02-12T08:48:12Z</dcterms:modified>
  <cp:revision>303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