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shd w:val="solid" w:color="FFFFFF" w:fill="FFFFFF"/>
        <w:spacing w:before="0" w:beforeAutospacing="0" w:after="0" w:afterAutospacing="0" w:line="620" w:lineRule="exact"/>
        <w:ind w:firstLine="880" w:firstLineChars="200"/>
        <w:jc w:val="center"/>
        <w:rPr>
          <w:rFonts w:ascii="方正小标宋简体" w:hAnsi="Arial" w:eastAsia="方正小标宋简体" w:cs="Arial"/>
          <w:b/>
          <w:sz w:val="44"/>
          <w:szCs w:val="44"/>
        </w:rPr>
      </w:pPr>
      <w:r>
        <w:rPr>
          <w:rFonts w:hint="eastAsia" w:ascii="方正小标宋简体" w:hAnsi="Arial" w:eastAsia="方正小标宋简体" w:cs="Arial"/>
          <w:b/>
          <w:sz w:val="44"/>
          <w:szCs w:val="44"/>
        </w:rPr>
        <w:t>20</w:t>
      </w:r>
      <w:r>
        <w:rPr>
          <w:rFonts w:hint="eastAsia" w:ascii="方正小标宋简体" w:hAnsi="Arial" w:eastAsia="方正小标宋简体" w:cs="Arial"/>
          <w:b/>
          <w:sz w:val="44"/>
          <w:szCs w:val="44"/>
          <w:lang w:val="en-US" w:eastAsia="zh-CN"/>
        </w:rPr>
        <w:t>24</w:t>
      </w:r>
      <w:r>
        <w:rPr>
          <w:rFonts w:hint="eastAsia" w:ascii="方正小标宋简体" w:hAnsi="Arial" w:eastAsia="方正小标宋简体" w:cs="Arial"/>
          <w:b/>
          <w:sz w:val="44"/>
          <w:szCs w:val="44"/>
        </w:rPr>
        <w:t>年预算调整情况说明</w:t>
      </w:r>
    </w:p>
    <w:p>
      <w:pPr>
        <w:pStyle w:val="4"/>
        <w:shd w:val="solid" w:color="FFFFFF" w:fill="FFFFFF"/>
        <w:spacing w:before="0" w:beforeAutospacing="0" w:after="0" w:afterAutospacing="0" w:line="62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numPr>
          <w:ilvl w:val="0"/>
          <w:numId w:val="1"/>
        </w:numPr>
        <w:shd w:val="solid" w:color="FFFFFF" w:fill="FFFFFF"/>
        <w:spacing w:before="0" w:beforeAutospacing="0" w:after="0" w:afterAutospacing="0" w:line="620" w:lineRule="exact"/>
        <w:ind w:firstLine="640" w:firstLineChars="200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预算收入调整情况</w:t>
      </w:r>
    </w:p>
    <w:p>
      <w:pPr>
        <w:pStyle w:val="4"/>
        <w:numPr>
          <w:numId w:val="0"/>
        </w:numPr>
        <w:shd w:val="solid" w:color="FFFFFF" w:fill="FFFFFF"/>
        <w:spacing w:before="0" w:beforeAutospacing="0" w:after="0" w:afterAutospacing="0" w:line="620" w:lineRule="exact"/>
        <w:rPr>
          <w:rFonts w:hint="eastAsia" w:ascii="仿宋_GB2312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 xml:space="preserve">    收入未调整。</w:t>
      </w:r>
    </w:p>
    <w:p>
      <w:pPr>
        <w:pStyle w:val="4"/>
        <w:shd w:val="solid" w:color="FFFFFF" w:fill="FFFFFF"/>
        <w:spacing w:before="0" w:beforeAutospacing="0" w:after="0" w:afterAutospacing="0" w:line="62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一般公共</w:t>
      </w:r>
      <w:r>
        <w:rPr>
          <w:rFonts w:hint="eastAsia" w:ascii="仿宋_GB2312" w:hAnsi="Arial" w:eastAsia="仿宋_GB2312" w:cs="Arial"/>
          <w:sz w:val="32"/>
          <w:szCs w:val="32"/>
        </w:rPr>
        <w:t>预算支出调整情况</w:t>
      </w:r>
    </w:p>
    <w:p>
      <w:pPr>
        <w:spacing w:beforeLines="0" w:afterLines="0" w:line="560" w:lineRule="exact"/>
        <w:ind w:firstLine="643" w:firstLineChars="200"/>
        <w:rPr>
          <w:rFonts w:hint="eastAsia" w:ascii="仿宋_GB2312" w:hAnsi="文星标宋" w:eastAsia="仿宋_GB2312"/>
          <w:bCs/>
          <w:sz w:val="32"/>
          <w:szCs w:val="32"/>
        </w:rPr>
      </w:pPr>
      <w:r>
        <w:rPr>
          <w:rFonts w:hint="eastAsia" w:ascii="仿宋_GB2312" w:hAnsi="文星标宋" w:eastAsia="仿宋_GB2312"/>
          <w:bCs/>
          <w:sz w:val="32"/>
          <w:szCs w:val="32"/>
        </w:rPr>
        <w:t>20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文星标宋" w:eastAsia="仿宋_GB2312"/>
          <w:bCs/>
          <w:sz w:val="32"/>
          <w:szCs w:val="32"/>
        </w:rPr>
        <w:t>年一般公共预算支出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由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32763.39万元调整为33061.72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万元，比年初预算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298.33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其中：</w:t>
      </w:r>
    </w:p>
    <w:p>
      <w:pPr>
        <w:numPr>
          <w:numId w:val="0"/>
        </w:numPr>
        <w:spacing w:beforeLines="0" w:afterLines="0"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城乡社区</w:t>
      </w:r>
      <w:r>
        <w:rPr>
          <w:rFonts w:hint="eastAsia" w:eastAsia="仿宋_GB2312"/>
          <w:color w:val="auto"/>
          <w:sz w:val="32"/>
          <w:szCs w:val="32"/>
          <w:highlight w:val="none"/>
        </w:rPr>
        <w:t>支出预算安排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8,013.33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万</w:t>
      </w:r>
      <w:r>
        <w:rPr>
          <w:rFonts w:hint="eastAsia" w:eastAsia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8,311.66万</w:t>
      </w:r>
      <w:r>
        <w:rPr>
          <w:rFonts w:hint="eastAsia" w:eastAsia="仿宋_GB2312"/>
          <w:color w:val="auto"/>
          <w:sz w:val="32"/>
          <w:szCs w:val="32"/>
          <w:highlight w:val="none"/>
        </w:rPr>
        <w:t>元，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增加298.33万</w:t>
      </w:r>
      <w:r>
        <w:rPr>
          <w:rFonts w:hint="eastAsia" w:eastAsia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新增项目支出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政府性基金预算支出调整情况</w:t>
      </w:r>
    </w:p>
    <w:p>
      <w:pPr>
        <w:numPr>
          <w:numId w:val="0"/>
        </w:numPr>
        <w:spacing w:beforeLines="0" w:afterLines="0"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政府性基金预算未调整。</w:t>
      </w:r>
    </w:p>
    <w:p>
      <w:pPr>
        <w:pStyle w:val="4"/>
        <w:shd w:val="solid" w:color="FFFFFF" w:fill="FFFFFF"/>
        <w:spacing w:before="0" w:beforeAutospacing="0" w:after="0" w:afterAutospacing="0" w:line="62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eastAsia="仿宋_GB2312"/>
          <w:b/>
          <w:sz w:val="32"/>
          <w:szCs w:val="32"/>
        </w:rPr>
      </w:pP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Arial Unicode MS"/>
    <w:panose1 w:val="00000000000000000000"/>
    <w:charset w:val="86"/>
    <w:family w:val="auto"/>
    <w:pitch w:val="default"/>
    <w:sig w:usb0="00000000" w:usb1="080E0000" w:usb2="0000001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93982362">
    <w:nsid w:val="64F81E9A"/>
    <w:multiLevelType w:val="singleLevel"/>
    <w:tmpl w:val="64F81E9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6939823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5263A"/>
    <w:rsid w:val="00006C1B"/>
    <w:rsid w:val="000269A4"/>
    <w:rsid w:val="00080829"/>
    <w:rsid w:val="00081A69"/>
    <w:rsid w:val="000C415D"/>
    <w:rsid w:val="000C55BE"/>
    <w:rsid w:val="000D139D"/>
    <w:rsid w:val="000F0200"/>
    <w:rsid w:val="0011608B"/>
    <w:rsid w:val="0015263A"/>
    <w:rsid w:val="0017461E"/>
    <w:rsid w:val="001A5550"/>
    <w:rsid w:val="001B0634"/>
    <w:rsid w:val="001C0CF6"/>
    <w:rsid w:val="00210B51"/>
    <w:rsid w:val="00221826"/>
    <w:rsid w:val="00230472"/>
    <w:rsid w:val="0024163E"/>
    <w:rsid w:val="0025315D"/>
    <w:rsid w:val="00343600"/>
    <w:rsid w:val="003D4516"/>
    <w:rsid w:val="0041381E"/>
    <w:rsid w:val="00415BCF"/>
    <w:rsid w:val="00483E08"/>
    <w:rsid w:val="004955AA"/>
    <w:rsid w:val="0055095B"/>
    <w:rsid w:val="005563A5"/>
    <w:rsid w:val="00593B94"/>
    <w:rsid w:val="005A2315"/>
    <w:rsid w:val="005E66A1"/>
    <w:rsid w:val="00615572"/>
    <w:rsid w:val="0065566E"/>
    <w:rsid w:val="00675002"/>
    <w:rsid w:val="00677033"/>
    <w:rsid w:val="006B0E72"/>
    <w:rsid w:val="006E5E67"/>
    <w:rsid w:val="006E6BF1"/>
    <w:rsid w:val="007547B8"/>
    <w:rsid w:val="00773ACE"/>
    <w:rsid w:val="00776A66"/>
    <w:rsid w:val="00806DC9"/>
    <w:rsid w:val="008079E5"/>
    <w:rsid w:val="008456B4"/>
    <w:rsid w:val="008664FE"/>
    <w:rsid w:val="008A70F6"/>
    <w:rsid w:val="009431F1"/>
    <w:rsid w:val="009503E4"/>
    <w:rsid w:val="00972D1E"/>
    <w:rsid w:val="00987421"/>
    <w:rsid w:val="00992318"/>
    <w:rsid w:val="009B141B"/>
    <w:rsid w:val="00A01A64"/>
    <w:rsid w:val="00A04614"/>
    <w:rsid w:val="00A16E6A"/>
    <w:rsid w:val="00A5435E"/>
    <w:rsid w:val="00A95382"/>
    <w:rsid w:val="00AB0C4F"/>
    <w:rsid w:val="00AC063B"/>
    <w:rsid w:val="00AD622F"/>
    <w:rsid w:val="00AE317C"/>
    <w:rsid w:val="00B27154"/>
    <w:rsid w:val="00B3499E"/>
    <w:rsid w:val="00B61289"/>
    <w:rsid w:val="00B92F7A"/>
    <w:rsid w:val="00BA4F6A"/>
    <w:rsid w:val="00BA5C04"/>
    <w:rsid w:val="00BB0681"/>
    <w:rsid w:val="00BE4B9E"/>
    <w:rsid w:val="00CC20AC"/>
    <w:rsid w:val="00D17A41"/>
    <w:rsid w:val="00D65D57"/>
    <w:rsid w:val="00D97AEF"/>
    <w:rsid w:val="00DE5D31"/>
    <w:rsid w:val="00E66353"/>
    <w:rsid w:val="00EC2B15"/>
    <w:rsid w:val="00F23807"/>
    <w:rsid w:val="00F92E5D"/>
    <w:rsid w:val="3C391EB3"/>
    <w:rsid w:val="4353713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unhideWhenUsed/>
    <w:uiPriority w:val="1"/>
    <w:rPr>
      <w:szCs w:val="20"/>
    </w:rPr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Char Char Char Char Char"/>
    <w:basedOn w:val="1"/>
    <w:link w:val="5"/>
    <w:qFormat/>
    <w:uiPriority w:val="99"/>
    <w:pPr>
      <w:tabs>
        <w:tab w:val="left" w:pos="360"/>
      </w:tabs>
    </w:pPr>
    <w:rPr>
      <w:szCs w:val="20"/>
    </w:rPr>
  </w:style>
  <w:style w:type="character" w:styleId="7">
    <w:name w:val="page number"/>
    <w:basedOn w:val="5"/>
    <w:unhideWhenUsed/>
    <w:uiPriority w:val="0"/>
    <w:rPr>
      <w:rFonts w:cs="Times New Roman"/>
    </w:rPr>
  </w:style>
  <w:style w:type="character" w:customStyle="1" w:styleId="9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52</Words>
  <Characters>297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2019-02-12T01:38:00Z</dcterms:created>
  <dc:creator>北京市大兴区亦庄镇财政所</dc:creator>
  <cp:lastModifiedBy>镇及街道</cp:lastModifiedBy>
  <dcterms:modified xsi:type="dcterms:W3CDTF">2024-07-22T08:46:48Z</dcterms:modified>
  <dc:title>2023年预算调整情况说明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