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安定镇202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年决算草案、202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年预算调整草案和202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年上半年预算执行情况的报告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——202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sz w:val="32"/>
          <w:szCs w:val="32"/>
        </w:rPr>
        <w:t>日在北京市大兴区安定镇第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黑体" w:eastAsia="仿宋_GB2312"/>
          <w:sz w:val="32"/>
          <w:szCs w:val="32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人民代表大会第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六</w:t>
      </w:r>
      <w:r>
        <w:rPr>
          <w:rFonts w:hint="eastAsia" w:ascii="仿宋_GB2312" w:hAnsi="黑体" w:eastAsia="仿宋_GB2312"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安定镇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产业发展服务中心（财政）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受安定镇人民政府委托，按照《中华人民共和国预算法》等法律法规的有关要求，向镇人大报告安定镇202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年镇级决算草案、202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年镇级预算调整草案和202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年上半年预算执行情况，提请大会审议。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第一部分 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年镇级决算情况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年镇级决算情况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年镇级预算总收支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258786.32</w:t>
      </w:r>
      <w:r>
        <w:rPr>
          <w:rFonts w:hint="eastAsia" w:ascii="仿宋_GB2312" w:hAnsi="黑体" w:eastAsia="仿宋_GB2312"/>
          <w:sz w:val="32"/>
          <w:szCs w:val="32"/>
        </w:rPr>
        <w:t>万元，其中：一般公共预算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73839.15</w:t>
      </w:r>
      <w:r>
        <w:rPr>
          <w:rFonts w:hint="eastAsia" w:ascii="仿宋_GB2312" w:hAnsi="黑体" w:eastAsia="仿宋_GB2312"/>
          <w:sz w:val="32"/>
          <w:szCs w:val="32"/>
        </w:rPr>
        <w:t>万元，政府性基金预算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184947.17</w:t>
      </w:r>
      <w:r>
        <w:rPr>
          <w:rFonts w:hint="eastAsia" w:ascii="仿宋_GB2312" w:hAnsi="黑体" w:eastAsia="仿宋_GB2312"/>
          <w:sz w:val="32"/>
          <w:szCs w:val="32"/>
        </w:rPr>
        <w:t>万元。具体如下：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（一）镇级一般公共预算收支决算情况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年镇级一般公共预算总收入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73839.15</w:t>
      </w:r>
      <w:r>
        <w:rPr>
          <w:rFonts w:hint="eastAsia" w:ascii="仿宋_GB2312" w:eastAsia="仿宋_GB2312"/>
          <w:sz w:val="32"/>
          <w:szCs w:val="32"/>
        </w:rPr>
        <w:t>万元。其中：返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还</w:t>
      </w:r>
      <w:r>
        <w:rPr>
          <w:rFonts w:hint="eastAsia" w:ascii="仿宋_GB2312" w:eastAsia="仿宋_GB2312"/>
          <w:sz w:val="32"/>
          <w:szCs w:val="32"/>
        </w:rPr>
        <w:t>性收入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15388.92</w:t>
      </w:r>
      <w:r>
        <w:rPr>
          <w:rFonts w:hint="eastAsia" w:ascii="仿宋_GB2312" w:eastAsia="仿宋_GB2312"/>
          <w:sz w:val="32"/>
          <w:szCs w:val="32"/>
        </w:rPr>
        <w:t>万元，一般性转移支付收入2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5286.25</w:t>
      </w:r>
      <w:r>
        <w:rPr>
          <w:rFonts w:hint="eastAsia" w:ascii="仿宋_GB2312" w:eastAsia="仿宋_GB2312"/>
          <w:sz w:val="32"/>
          <w:szCs w:val="32"/>
        </w:rPr>
        <w:t>万元，专项转移支付收入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29207.05</w:t>
      </w:r>
      <w:r>
        <w:rPr>
          <w:rFonts w:hint="eastAsia" w:ascii="仿宋_GB2312" w:eastAsia="仿宋_GB2312"/>
          <w:sz w:val="32"/>
          <w:szCs w:val="32"/>
        </w:rPr>
        <w:t>万元，上年结转收入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3956.93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年镇级一般公共预算总支出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73839.15</w:t>
      </w:r>
      <w:r>
        <w:rPr>
          <w:rFonts w:hint="eastAsia" w:ascii="仿宋_GB2312" w:eastAsia="仿宋_GB2312"/>
          <w:sz w:val="32"/>
          <w:szCs w:val="32"/>
        </w:rPr>
        <w:t>万元。其中：一般公共预算支出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63075.56</w:t>
      </w:r>
      <w:r>
        <w:rPr>
          <w:rFonts w:hint="eastAsia" w:ascii="仿宋_GB2312" w:eastAsia="仿宋_GB2312"/>
          <w:sz w:val="32"/>
          <w:szCs w:val="32"/>
        </w:rPr>
        <w:t>万元，上解支出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3371.16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theme="minorBidi"/>
          <w:color w:val="auto"/>
          <w:kern w:val="2"/>
          <w:sz w:val="32"/>
          <w:szCs w:val="32"/>
          <w:lang w:val="en-US" w:eastAsia="zh-CN" w:bidi="ar-SA"/>
        </w:rPr>
        <w:t>年终结余7392.43万元，</w:t>
      </w:r>
      <w:r>
        <w:rPr>
          <w:rFonts w:hint="eastAsia" w:ascii="仿宋_GB2312" w:eastAsia="仿宋_GB2312"/>
          <w:sz w:val="32"/>
          <w:szCs w:val="32"/>
        </w:rPr>
        <w:t>镇级一般公共预算收支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1.主要收入科目决算情况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从收入决算具体情况看，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镇级财政收入</w:t>
      </w:r>
      <w:r>
        <w:rPr>
          <w:rFonts w:hint="eastAsia" w:ascii="仿宋_GB2312" w:eastAsia="仿宋_GB2312"/>
          <w:sz w:val="32"/>
          <w:szCs w:val="32"/>
        </w:rPr>
        <w:t>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15388.92</w:t>
      </w:r>
      <w:r>
        <w:rPr>
          <w:rFonts w:hint="eastAsia" w:ascii="仿宋_GB2312" w:eastAsia="仿宋_GB2312"/>
          <w:sz w:val="32"/>
          <w:szCs w:val="32"/>
        </w:rPr>
        <w:t>万元，其中：增值税收入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4071.39</w:t>
      </w:r>
      <w:r>
        <w:rPr>
          <w:rFonts w:hint="eastAsia" w:ascii="仿宋_GB2312" w:eastAsia="仿宋_GB2312"/>
          <w:sz w:val="32"/>
          <w:szCs w:val="32"/>
        </w:rPr>
        <w:t>万元，企业所得税收入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571.38</w:t>
      </w:r>
      <w:r>
        <w:rPr>
          <w:rFonts w:hint="eastAsia" w:ascii="仿宋_GB2312" w:eastAsia="仿宋_GB2312"/>
          <w:sz w:val="32"/>
          <w:szCs w:val="32"/>
        </w:rPr>
        <w:t>万元，城市维护建设税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977.3</w:t>
      </w:r>
      <w:r>
        <w:rPr>
          <w:rFonts w:hint="eastAsia" w:ascii="仿宋_GB2312" w:eastAsia="仿宋_GB2312"/>
          <w:sz w:val="32"/>
          <w:szCs w:val="32"/>
        </w:rPr>
        <w:t>万元，房产税收入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9312.3</w:t>
      </w:r>
      <w:r>
        <w:rPr>
          <w:rFonts w:hint="eastAsia" w:ascii="仿宋_GB2312" w:eastAsia="仿宋_GB2312"/>
          <w:sz w:val="32"/>
          <w:szCs w:val="32"/>
        </w:rPr>
        <w:t>万元，印花税收入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277.8</w:t>
      </w:r>
      <w:r>
        <w:rPr>
          <w:rFonts w:hint="eastAsia" w:ascii="仿宋_GB2312" w:eastAsia="仿宋_GB2312"/>
          <w:sz w:val="32"/>
          <w:szCs w:val="32"/>
        </w:rPr>
        <w:t>万元，城镇土地使用税收入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180.5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，土地增值税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-1.75万元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2.主要支出科目决算情况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从支出决算具体情况看，一般公共预算支出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63075.56</w:t>
      </w:r>
      <w:r>
        <w:rPr>
          <w:rFonts w:hint="eastAsia" w:ascii="仿宋_GB2312" w:eastAsia="仿宋_GB2312"/>
          <w:sz w:val="32"/>
          <w:szCs w:val="32"/>
        </w:rPr>
        <w:t>万元，主要包括：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一般公共服务支出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7810.09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主要用于政府正常运转、党组织服务群众经费等支出。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教育支出2756.45万元，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主要用于异地迁建东西片区幼儿园、小学建设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社会保障和就业支出17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21.12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主要用于落实城乡居民养老保险政策，加大对困难群众的保障救助，支持就业困难人员等重点群体就业等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卫生健康支出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5171.47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主要用于筑牢公共服务体系防线，保障院前急救，提升医院基础设施建设，提高卫生系统医疗保障能力等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城乡社区支出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17137.57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主要用于提升镇域发展规划，合理配置公共设施资源，深入可持续发展理念等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农林水支出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25563.95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主要用于平原造林养护，推进污水管线建设，加强河道治理，维护生态环境，全面实施乡村振兴，推动设施农业发展，积极落实菜田补贴等。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3.预备费使用情况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镇级预备费支出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852</w:t>
      </w:r>
      <w:r>
        <w:rPr>
          <w:rFonts w:hint="eastAsia" w:ascii="仿宋_GB2312" w:eastAsia="仿宋_GB2312"/>
          <w:sz w:val="32"/>
          <w:szCs w:val="32"/>
          <w:highlight w:val="none"/>
        </w:rPr>
        <w:t>万元，预算执行中转列相关科目，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主要用于防汛救灾等突发事件支出。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4.财政</w:t>
      </w:r>
      <w:r>
        <w:rPr>
          <w:rFonts w:hint="eastAsia" w:ascii="仿宋_GB2312" w:eastAsia="仿宋_GB2312"/>
          <w:sz w:val="32"/>
          <w:szCs w:val="32"/>
        </w:rPr>
        <w:t>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安排执行</w:t>
      </w:r>
      <w:r>
        <w:rPr>
          <w:rFonts w:hint="eastAsia" w:ascii="仿宋_GB2312" w:eastAsia="仿宋_GB2312"/>
          <w:sz w:val="32"/>
          <w:szCs w:val="32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2023年区对镇</w:t>
      </w:r>
      <w:r>
        <w:rPr>
          <w:rFonts w:hint="eastAsia" w:ascii="仿宋_GB2312" w:hAnsi="仿宋_GB2312" w:eastAsia="仿宋_GB2312" w:cs="仿宋_GB2312"/>
          <w:sz w:val="32"/>
          <w:szCs w:val="32"/>
        </w:rPr>
        <w:t>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镇级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支出总额为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54493.3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万元，其中：一般性转移支付支出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25286.25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万元，专项转移支付支出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29207.05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万元。一般性转移支付主要用于保工资、保运转、保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民生，开展财源建设、疏解整治促提升专项行动等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；专项转移支付主要用于农业生产发展、森林资源培育、疫情防控等支出。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5.上年结转资金使用情况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上年结转资金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3956.93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万元，预算执行中转列相关科目，主要用于重点领域及城乡社区事务、农林水等方面的支出。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6.“三公”经费支出情况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年镇级“三公”经费财政拨款支出合计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万元，主要为公务用车运行维护及购置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万元，公务接待及因公出国费用无支出。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7.超收收入安排情况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镇级财政收入超收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3788.92万元，在预算执行中</w:t>
      </w:r>
      <w:r>
        <w:rPr>
          <w:rFonts w:hint="eastAsia" w:ascii="仿宋_GB2312" w:hAnsi="仿宋_GB2312" w:eastAsia="仿宋_GB2312" w:cs="仿宋_GB2312"/>
          <w:sz w:val="32"/>
          <w:szCs w:val="32"/>
        </w:rPr>
        <w:t>转列相关科目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8.预算稳定调节基金的规模和使用情况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我单位不涉及此情况。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9.经批准举借债务的规模、结构、使用、偿还等情况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Arial"/>
          <w:b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我单位不涉</w:t>
      </w:r>
      <w:r>
        <w:rPr>
          <w:rFonts w:hint="eastAsia" w:ascii="Times New Roman" w:hAnsi="Times New Roman" w:eastAsia="仿宋_GB2312" w:cs="Arial"/>
          <w:b w:val="0"/>
          <w:color w:val="auto"/>
          <w:kern w:val="0"/>
          <w:sz w:val="32"/>
          <w:szCs w:val="32"/>
          <w:lang w:val="en-US" w:eastAsia="zh-CN"/>
        </w:rPr>
        <w:t>及此情况。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10.本级预算周转金规模和使用情况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我单位不涉及此情况。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11.支出政策实施情况和重点支出、重大投资项目资金使用绩效情况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3年安定镇认真落实各级部门决策部署，不断加强财政资源统筹，提高财政支出精确性、有效性，同时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积极探索、持续深耕，推动绩效管理向“务实、高效、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节约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”纵深推进，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实现所有预算项目绩效目标、绩效自评全覆盖，促进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财政资金使用效益不断提高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（二）政府性基金预算收支决算情况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年镇级政府性基金预算总收入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184947.16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万元。其中：政府性基金体制转移支付收入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1965.5万元，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182981.66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年镇级政府性基金预算总支出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184947.16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万元。其中：政府性基金体制转移支付支出1965.5万元，专项转移支付支出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182981.66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年终无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1.主要收入科目决算情况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年政府性基金收入均为上级转移支付收入，安定镇未有政府性基金收入。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2.主要支出科目决算情况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从支出决算具体情况看，政府性基金预算支出为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184947.16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安定垃圾填埋场周边综合治理村民自住楼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安定镇循环经济园配套站上路（黄徐路-安采路）道路建设工程、安定镇外环路（站上路-G105）道路建设工程等。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二、落实镇人大预算审查意见情况及202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年预算执行效果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2023年是全面贯彻落实党的二十大精神的开局之年，一年以来,在镇党委的正确领导下，我镇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人大审查意见，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紧紧围绕镇工作要点及中心工作，坚持“开源”与“节流”并重，积极开展财源建设，不断优化支出结构，经济发展稳中有进，民生保障扎实有力，为全镇经济及各项事业平稳较快发展提供了有力保障。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锚定开源加压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奋进，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财源建设成效突出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拓宽渠道招商初见成效。利用京外招</w:t>
      </w:r>
      <w:r>
        <w:rPr>
          <w:rFonts w:hint="eastAsia" w:hAnsi="仿宋_GB2312" w:cs="仿宋_GB2312"/>
          <w:sz w:val="32"/>
          <w:szCs w:val="32"/>
          <w:lang w:val="en-US" w:eastAsia="zh-CN"/>
        </w:rPr>
        <w:t>商、 “一对一”靶向招商等多种形式，实现京外引入企业6家，京内迁入企业53家，新注册企业72家，实现了新引进企业量的合理增长和质的有效提升。</w:t>
      </w: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加强税源监管应收尽收。对本镇</w:t>
      </w:r>
      <w:r>
        <w:rPr>
          <w:rFonts w:hint="eastAsia" w:hAnsi="仿宋_GB2312" w:cs="仿宋_GB2312"/>
          <w:sz w:val="32"/>
          <w:szCs w:val="32"/>
          <w:lang w:val="en-US" w:eastAsia="zh-CN"/>
        </w:rPr>
        <w:t>注册企业开展“扫户”，针对未作税务登记的企业，通过远程业务辅导帮助其完成税务登记，增加税收贡献；对异地纳税企业分类梳理，引导其将税务登记迁回，实现应收尽收。</w:t>
      </w: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加强企业走访精准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服务。</w:t>
      </w:r>
      <w:r>
        <w:rPr>
          <w:rFonts w:hint="eastAsia" w:hAnsi="仿宋_GB2312" w:cs="仿宋_GB2312"/>
          <w:sz w:val="32"/>
          <w:szCs w:val="32"/>
          <w:lang w:val="en-US" w:eastAsia="zh-CN"/>
        </w:rPr>
        <w:t>全年走访服务企业72家次，办结</w:t>
      </w:r>
      <w:r>
        <w:rPr>
          <w:rFonts w:hint="eastAsia" w:ascii="仿宋_GB2312" w:hAnsi="仿宋_GB2312" w:cs="仿宋_GB2312"/>
          <w:sz w:val="32"/>
          <w:szCs w:val="32"/>
        </w:rPr>
        <w:t>企业诉求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</w:t>
      </w:r>
      <w:r>
        <w:rPr>
          <w:rFonts w:hint="eastAsia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</w:rPr>
        <w:t>项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对各单位、部门对接，帮助9家企业兑现区级政策奖励资金共计296万元。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</w:t>
      </w:r>
      <w:r>
        <w:rPr>
          <w:rFonts w:hint="eastAsia" w:ascii="楷体_GB2312" w:hAnsi="楷体_GB2312" w:eastAsia="楷体_GB2312" w:cs="楷体_GB2312"/>
          <w:lang w:val="en-US" w:eastAsia="zh-CN"/>
        </w:rPr>
        <w:t>严把节流精打细算</w:t>
      </w:r>
      <w:r>
        <w:rPr>
          <w:rFonts w:hint="eastAsia" w:ascii="楷体_GB2312" w:hAnsi="楷体_GB2312" w:eastAsia="楷体_GB2312" w:cs="楷体_GB2312"/>
          <w:lang w:eastAsia="zh-CN"/>
        </w:rPr>
        <w:t>，</w:t>
      </w:r>
      <w:r>
        <w:rPr>
          <w:rFonts w:hint="eastAsia" w:ascii="楷体_GB2312" w:hAnsi="楷体_GB2312" w:eastAsia="楷体_GB2312" w:cs="楷体_GB2312"/>
        </w:rPr>
        <w:t>绩效</w:t>
      </w:r>
      <w:r>
        <w:rPr>
          <w:rFonts w:hint="eastAsia" w:ascii="楷体_GB2312" w:hAnsi="楷体_GB2312" w:eastAsia="楷体_GB2312" w:cs="楷体_GB2312"/>
          <w:lang w:val="en-US" w:eastAsia="zh-CN"/>
        </w:rPr>
        <w:t>管理聚力增效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Cs w:val="32"/>
          <w:lang w:val="en-US" w:eastAsia="zh-CN"/>
        </w:rPr>
      </w:pPr>
      <w:r>
        <w:rPr>
          <w:rFonts w:hint="eastAsia"/>
          <w:b/>
          <w:bCs/>
          <w:lang w:val="en-US" w:eastAsia="zh-CN"/>
        </w:rPr>
        <w:t>一是</w:t>
      </w:r>
      <w:r>
        <w:rPr>
          <w:rFonts w:hint="eastAsia"/>
        </w:rPr>
        <w:t>以培训为抓手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进一步强化“花钱问效”绩效理念，推动预算绩效管理逐步从“全面覆盖”向“提质增效”转变，为今后预算编制和执行提供有力支持，全力保障预算管理的规范、科学、合理。</w:t>
      </w:r>
      <w:r>
        <w:rPr>
          <w:rFonts w:hint="eastAsia"/>
          <w:lang w:val="en-US" w:eastAsia="zh-CN"/>
        </w:rPr>
        <w:t>二</w:t>
      </w:r>
      <w:r>
        <w:rPr>
          <w:rFonts w:hint="eastAsia"/>
          <w:b/>
          <w:bCs/>
          <w:lang w:val="en-US" w:eastAsia="zh-CN"/>
        </w:rPr>
        <w:t>是</w:t>
      </w:r>
      <w:r>
        <w:rPr>
          <w:rFonts w:hint="eastAsia"/>
          <w:b w:val="0"/>
          <w:bCs w:val="0"/>
          <w:lang w:val="en-US" w:eastAsia="zh-CN"/>
        </w:rPr>
        <w:t>对</w:t>
      </w:r>
      <w:r>
        <w:rPr>
          <w:rFonts w:hint="eastAsia"/>
          <w:lang w:val="en-US" w:eastAsia="zh-CN"/>
        </w:rPr>
        <w:t>2023年</w:t>
      </w:r>
      <w:r>
        <w:rPr>
          <w:rFonts w:hint="eastAsia"/>
        </w:rPr>
        <w:t>煤改电（气）运维、道路精细化管理等17个重点项目开展成本绩效分析，</w:t>
      </w:r>
      <w:r>
        <w:rPr>
          <w:rFonts w:hint="eastAsia"/>
          <w:lang w:val="en-US" w:eastAsia="zh-CN"/>
        </w:rPr>
        <w:t>通过</w:t>
      </w:r>
      <w:r>
        <w:rPr>
          <w:rFonts w:hint="eastAsia"/>
        </w:rPr>
        <w:t>明确服务及考核标准、厘清项目定额标准，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两端作为抓手，</w:t>
      </w:r>
      <w:r>
        <w:rPr>
          <w:rFonts w:hint="eastAsia"/>
        </w:rPr>
        <w:t>有效节约财政资金约296万元，不仅</w:t>
      </w:r>
      <w:r>
        <w:rPr>
          <w:rFonts w:hint="eastAsia"/>
          <w:lang w:val="en-US" w:eastAsia="zh-CN"/>
        </w:rPr>
        <w:t>提高了财政资金运转效率，而且</w:t>
      </w:r>
      <w:r>
        <w:rPr>
          <w:rFonts w:hint="eastAsia"/>
        </w:rPr>
        <w:t>为以后年度的预算编制提供了科学依据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2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0"/>
          <w:lang w:val="en-US" w:eastAsia="zh-CN" w:bidi="ar-SA"/>
        </w:rPr>
        <w:t>（三）民生保障有力有效，社会事业加快发展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不折不扣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社会保障政策，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严格按要求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发放各类补助资金，</w:t>
      </w:r>
      <w:r>
        <w:rPr>
          <w:rFonts w:hint="eastAsia" w:ascii="仿宋_GB2312" w:hAnsi="仿宋_GB2312" w:eastAsia="仿宋_GB2312" w:cs="仿宋_GB2312"/>
          <w:sz w:val="32"/>
          <w:szCs w:val="32"/>
        </w:rPr>
        <w:t>千方百计扩大就业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保障社会弱势群体基本生活，推进养老服务体系建设，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切实提高民生政策的可持续性。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优化医疗资源供给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bCs/>
          <w:spacing w:val="-10"/>
          <w:kern w:val="0"/>
          <w:sz w:val="32"/>
          <w:szCs w:val="32"/>
        </w:rPr>
        <w:t>不断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完善公共卫生服务体系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医疗服务体系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急救保障体系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全面提升防控和救治能力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提升卫生服务水平。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加速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推进安定镇垃圾填埋场周边综合治理村庄项目建设，完善周边配套设施，保障拆迁居民顺利入住。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加强美丽乡村建设</w:t>
      </w:r>
      <w:r>
        <w:rPr>
          <w:rStyle w:val="21"/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扎实推进农村人居环境整治、垃圾分类、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污水处理、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大气污染防治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工作，</w:t>
      </w:r>
      <w:r>
        <w:rPr>
          <w:rStyle w:val="21"/>
          <w:rFonts w:hint="eastAsia" w:ascii="仿宋_GB2312" w:hAnsi="仿宋" w:eastAsia="仿宋_GB2312"/>
          <w:b w:val="0"/>
          <w:bCs w:val="0"/>
          <w:sz w:val="32"/>
          <w:szCs w:val="32"/>
        </w:rPr>
        <w:t>持续优化生态环境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推进城乡绿色发展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三、预算执行过程中需要关注的问题及解决措施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640" w:firstLineChars="200"/>
        <w:textAlignment w:val="auto"/>
        <w:rPr>
          <w:rStyle w:val="15"/>
          <w:rFonts w:hint="eastAsia" w:ascii="仿宋_GB2312" w:hAnsi="仿宋_GB2312" w:eastAsia="仿宋_GB2312" w:cs="仿宋_GB2312"/>
          <w:highlight w:val="yellow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各位代表，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年财政工作取得的成绩来之不易，这是镇党委坚强领导、镇人大监督指导、各部门支持、努力的结果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在总结成绩的同时，我们也意识到，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当前财政运行依然面临一些困难和问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题：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40"/>
        </w:rPr>
        <w:t>存量税源</w:t>
      </w:r>
      <w:r>
        <w:rPr>
          <w:rStyle w:val="15"/>
          <w:rFonts w:hint="eastAsia" w:ascii="仿宋_GB2312" w:hAnsi="仿宋_GB2312" w:eastAsia="仿宋_GB2312" w:cs="仿宋_GB2312"/>
        </w:rPr>
        <w:t>减收</w:t>
      </w:r>
      <w:r>
        <w:rPr>
          <w:rStyle w:val="15"/>
          <w:rFonts w:hint="eastAsia" w:ascii="仿宋_GB2312" w:hAnsi="仿宋_GB2312" w:eastAsia="仿宋_GB2312" w:cs="仿宋_GB2312"/>
          <w:lang w:val="en-US" w:eastAsia="zh-CN"/>
        </w:rPr>
        <w:t>明显</w:t>
      </w:r>
      <w:r>
        <w:rPr>
          <w:rStyle w:val="15"/>
          <w:rFonts w:hint="eastAsia" w:ascii="仿宋_GB2312" w:hAnsi="仿宋_GB2312" w:eastAsia="仿宋_GB2312" w:cs="仿宋_GB2312"/>
        </w:rPr>
        <w:t>，税源结构不够优化，龙头企业、链主项目储备不足</w:t>
      </w:r>
      <w:r>
        <w:rPr>
          <w:rStyle w:val="15"/>
          <w:rFonts w:hint="eastAsia" w:hAnsi="仿宋_GB2312" w:cs="仿宋_GB231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二是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>财政</w:t>
      </w:r>
      <w:r>
        <w:rPr>
          <w:rFonts w:hint="eastAsia" w:ascii="仿宋_GB2312" w:hAnsi="宋体" w:eastAsia="仿宋_GB2312"/>
          <w:snapToGrid w:val="0"/>
          <w:kern w:val="32"/>
          <w:sz w:val="32"/>
          <w:szCs w:val="32"/>
        </w:rPr>
        <w:t>收支“紧平衡”状态依然存在，重点领域支出</w:t>
      </w:r>
      <w:r>
        <w:rPr>
          <w:rFonts w:hint="eastAsia" w:ascii="仿宋_GB2312" w:hAnsi="宋体" w:eastAsia="仿宋_GB2312"/>
          <w:snapToGrid w:val="0"/>
          <w:kern w:val="32"/>
          <w:sz w:val="32"/>
          <w:szCs w:val="32"/>
          <w:lang w:val="en-US" w:eastAsia="zh-CN"/>
        </w:rPr>
        <w:t>存在一定</w:t>
      </w:r>
      <w:r>
        <w:rPr>
          <w:rFonts w:hint="eastAsia" w:ascii="仿宋_GB2312" w:hAnsi="宋体" w:eastAsia="仿宋_GB2312"/>
          <w:snapToGrid w:val="0"/>
          <w:kern w:val="32"/>
          <w:sz w:val="32"/>
          <w:szCs w:val="32"/>
        </w:rPr>
        <w:t>压力</w:t>
      </w:r>
      <w:r>
        <w:rPr>
          <w:rFonts w:hint="eastAsia" w:ascii="仿宋_GB2312" w:hAnsi="宋体" w:eastAsia="仿宋_GB2312"/>
          <w:snapToGrid w:val="0"/>
          <w:kern w:val="3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napToGrid w:val="0"/>
          <w:kern w:val="32"/>
          <w:sz w:val="32"/>
          <w:szCs w:val="32"/>
        </w:rPr>
        <w:t>财政资金使用效益还有提升空间。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60" w:lineRule="exact"/>
        <w:ind w:firstLine="640"/>
        <w:textAlignment w:val="auto"/>
        <w:rPr>
          <w:rFonts w:hAnsi="仿宋_GB2312" w:cs="仿宋_GB2312"/>
          <w:spacing w:val="-10"/>
          <w:szCs w:val="32"/>
          <w:highlight w:val="yellow"/>
        </w:rPr>
      </w:pPr>
      <w:r>
        <w:rPr>
          <w:rStyle w:val="15"/>
          <w:rFonts w:hint="eastAsia" w:ascii="仿宋_GB2312" w:hAnsi="仿宋_GB2312" w:eastAsia="仿宋_GB2312" w:cs="仿宋_GB2312"/>
        </w:rPr>
        <w:t>面对上述问题，</w:t>
      </w:r>
      <w:r>
        <w:rPr>
          <w:rStyle w:val="15"/>
          <w:rFonts w:hint="eastAsia" w:hAnsi="仿宋_GB2312" w:cs="仿宋_GB2312"/>
          <w:lang w:val="en-US" w:eastAsia="zh-CN"/>
        </w:rPr>
        <w:t>我镇高度重视，加以改进</w:t>
      </w:r>
      <w:r>
        <w:rPr>
          <w:rStyle w:val="15"/>
          <w:rFonts w:hint="eastAsia" w:ascii="仿宋_GB2312" w:hAnsi="仿宋_GB2312" w:eastAsia="仿宋_GB2312" w:cs="仿宋_GB2312"/>
        </w:rPr>
        <w:t>：</w:t>
      </w:r>
      <w:r>
        <w:rPr>
          <w:rStyle w:val="15"/>
          <w:rFonts w:hint="eastAsia" w:ascii="仿宋_GB2312" w:hAnsi="仿宋_GB2312" w:eastAsia="仿宋_GB2312" w:cs="仿宋_GB2312"/>
          <w:b/>
          <w:bCs/>
        </w:rPr>
        <w:t>一是</w:t>
      </w:r>
      <w:r>
        <w:rPr>
          <w:rStyle w:val="15"/>
          <w:rFonts w:hint="eastAsia" w:ascii="仿宋_GB2312" w:hAnsi="仿宋_GB2312" w:eastAsia="仿宋_GB2312" w:cs="仿宋_GB2312"/>
        </w:rPr>
        <w:t>促进</w:t>
      </w:r>
      <w:r>
        <w:rPr>
          <w:rStyle w:val="15"/>
          <w:rFonts w:hint="eastAsia" w:hAnsi="仿宋_GB2312" w:cs="仿宋_GB2312"/>
        </w:rPr>
        <w:t>重点</w:t>
      </w:r>
      <w:r>
        <w:rPr>
          <w:rStyle w:val="15"/>
          <w:rFonts w:hint="eastAsia" w:ascii="仿宋_GB2312" w:hAnsi="仿宋_GB2312" w:eastAsia="仿宋_GB2312" w:cs="仿宋_GB2312"/>
        </w:rPr>
        <w:t>服务型企业向专业化和价值链高端延伸，多渠道拓展旅游、文化、康养等生活性服务的消费市场，进一步增强企业增值税、企业所得税等主体税种的支撑力度，壮大财源基础。</w:t>
      </w:r>
      <w:r>
        <w:rPr>
          <w:rStyle w:val="15"/>
          <w:rFonts w:hint="eastAsia" w:hAnsi="仿宋_GB2312" w:cs="仿宋_GB2312"/>
        </w:rPr>
        <w:t>二</w:t>
      </w:r>
      <w:r>
        <w:rPr>
          <w:rStyle w:val="15"/>
          <w:rFonts w:hint="eastAsia" w:ascii="仿宋_GB2312" w:hAnsi="仿宋_GB2312" w:eastAsia="仿宋_GB2312" w:cs="仿宋_GB2312"/>
          <w:b/>
          <w:bCs/>
        </w:rPr>
        <w:t>是</w:t>
      </w:r>
      <w:r>
        <w:rPr>
          <w:rFonts w:hint="eastAsia" w:hAnsi="仿宋_GB2312" w:cs="仿宋_GB2312"/>
          <w:szCs w:val="32"/>
        </w:rPr>
        <w:t>加大资金盘活力度，将盘活的财政存量资金统筹用于稳增长、调结构、惠民生的重点领域和关键环节，减少存量资金规模，弥补财力短板，提高财政资金使用效益</w:t>
      </w:r>
      <w:r>
        <w:rPr>
          <w:rStyle w:val="15"/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第二部分 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年预算调整情况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lef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一、202</w:t>
      </w: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年镇级预算调整情况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（一）一般公共预算调整情况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一般公共预算收入调整情况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一般公共预算总收入由镇</w:t>
      </w:r>
      <w:r>
        <w:rPr>
          <w:rFonts w:hint="eastAsia" w:ascii="仿宋_GB2312" w:hAnsi="仿宋_GB2312" w:eastAsia="仿宋_GB2312" w:cs="仿宋_GB2312"/>
          <w:sz w:val="32"/>
          <w:szCs w:val="32"/>
        </w:rPr>
        <w:t>第五届人民代表大会第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批准的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57762.58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，调整为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63543.85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万元，增加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5781.27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万元，具体调整情况如下：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pacing w:val="-6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返还性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收入由镇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第五届人民代表大会第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会议批准的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9666万元；转移支付收入由42932.35万元调整为44476.11万元，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1543.76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主要为专项转移支付收入增加；非税收入增加2009.31万元。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（2）上年结转收入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由镇</w:t>
      </w:r>
      <w:r>
        <w:rPr>
          <w:rFonts w:hint="eastAsia" w:ascii="仿宋_GB2312" w:hAnsi="仿宋_GB2312" w:eastAsia="仿宋_GB2312" w:cs="仿宋_GB2312"/>
          <w:sz w:val="32"/>
          <w:szCs w:val="32"/>
        </w:rPr>
        <w:t>第五届人民代表大会第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批准的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5624.23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万元，依据结算单调整为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7392.43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一般公共预算总支出调整情况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一般公共预算总支出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由镇第五届人民代表大会第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次会议批准的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57762.58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万元，调整为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63543.85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万元，增加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5781.27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万元，具体调整如下：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（1）一般公共预算支出</w:t>
      </w:r>
      <w:r>
        <w:rPr>
          <w:rFonts w:hint="eastAsia" w:ascii="仿宋_GB2312" w:hAnsi="仿宋_GB2312" w:eastAsia="仿宋_GB2312" w:cs="仿宋_GB2312"/>
          <w:b w:val="0"/>
          <w:spacing w:val="-6"/>
          <w:sz w:val="32"/>
          <w:szCs w:val="32"/>
        </w:rPr>
        <w:t>由镇第五届人民代表大会第</w:t>
      </w:r>
      <w:r>
        <w:rPr>
          <w:rFonts w:hint="eastAsia" w:ascii="仿宋_GB2312" w:hAnsi="仿宋_GB2312" w:eastAsia="仿宋_GB2312" w:cs="仿宋_GB2312"/>
          <w:b w:val="0"/>
          <w:spacing w:val="-6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spacing w:val="-6"/>
          <w:sz w:val="32"/>
          <w:szCs w:val="32"/>
        </w:rPr>
        <w:t>次会议批准的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54362.58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万元调整为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6010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3.85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万元，增</w:t>
      </w:r>
      <w:r>
        <w:rPr>
          <w:rFonts w:hint="eastAsia" w:ascii="仿宋_GB2312" w:hAnsi="仿宋_GB2312" w:eastAsia="仿宋_GB2312" w:cs="仿宋_GB2312"/>
          <w:b w:val="0"/>
          <w:spacing w:val="-6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b w:val="0"/>
          <w:spacing w:val="-6"/>
          <w:sz w:val="32"/>
          <w:szCs w:val="32"/>
          <w:lang w:val="en-US" w:eastAsia="zh-CN"/>
        </w:rPr>
        <w:t>5741.27</w:t>
      </w:r>
      <w:r>
        <w:rPr>
          <w:rFonts w:hint="eastAsia" w:ascii="仿宋_GB2312" w:hAnsi="仿宋_GB2312" w:eastAsia="仿宋_GB2312" w:cs="仿宋_GB2312"/>
          <w:b w:val="0"/>
          <w:spacing w:val="-6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主要根据转移支付情况进行调整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（2）上解支出与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镇第五届人民代表大会第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次会议批准的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无调整。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snapToGrid/>
          <w:kern w:val="2"/>
        </w:rPr>
        <w:t>（3）预备费</w:t>
      </w:r>
      <w:r>
        <w:rPr>
          <w:rFonts w:hint="eastAsia" w:ascii="仿宋_GB2312" w:hAnsi="仿宋_GB2312" w:cs="仿宋_GB2312"/>
          <w:snapToGrid/>
          <w:kern w:val="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镇第五届人民代表大会第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次会议批准的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调整为640万元。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（二）政府性基金预算调整情况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政府性基金预算总收入调整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政府性基金预算总收入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  <w:t>由镇第五届人民代表大会第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  <w:t>次会议批准的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11809.52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调整为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12938.68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万元，增加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1129.16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万元，均为转移支付收入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政府性基金预算总支出调整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政府性基金预算总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  <w:t>由镇第五届人民代表大会第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  <w:t>次会议批准的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11809.52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调整为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12938.68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万元，增加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1129.16万元，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主要根据转移支付情况进行调整。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第三部分 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年上半年预算执行情况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32"/>
          <w:sz w:val="32"/>
          <w:szCs w:val="32"/>
        </w:rPr>
        <w:t>上半年，我们严格执行镇人大批准的预算，</w:t>
      </w:r>
      <w:r>
        <w:rPr>
          <w:rFonts w:hint="eastAsia" w:ascii="仿宋_GB2312" w:eastAsia="仿宋_GB2312" w:cs="仿宋_GB2312"/>
          <w:sz w:val="32"/>
          <w:szCs w:val="32"/>
        </w:rPr>
        <w:t>全力以赴抓收入，千方百计控支出，不断加强财政资源统筹，努力实现有限公共资源与政策目标的有效匹配，全面推进安定镇高质量发展。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</w:rPr>
        <w:t>一、202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</w:rPr>
        <w:t>年上半年预算执行情况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（一）一般公共预算收入支出完成情况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1.一般公共预算收入完成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59442.34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万元，其中：返还性收入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44476.11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万元，上年结转收入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7392.23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2.一般公共预算支出完成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36013.05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：一般公共服务支出7048.75万元，公共安全支出346.89万元，文化旅游体育与传媒支出52.75万元，社会保障和就业支出1015.5万元，卫生健康支出2065.6万元，节能环保支出3760.37万元，城乡社区支出2994.71万元，农林水支出17925.64万元，交通运输支出60.69万元，住房保障支出559.63万元，灾害防治及应急管理支出182.52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（二）政府性基金收支出完成情况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政府性基金预算本单位无收入，均为上级转移支付收入，上半年，上级财政部门下达转移支付资金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12938.68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2.政府性基金预算支出完成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4114.72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万元，主要为大兴区安定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垃圾填埋场周边综合治理村民自住楼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外围配套污水管线工程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大兴区2015年平原造林工程（专项）、商业航天基地安定第二水厂改造项目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</w:rPr>
        <w:t>、202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</w:rPr>
        <w:t>年下半年重点工作情况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（一）继续狠抓财源建设，推动财政可持续发展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hAnsi="仿宋" w:cs="仿宋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eastAsia" w:hAnsi="仿宋" w:cs="仿宋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继续</w:t>
      </w:r>
      <w:r>
        <w:rPr>
          <w:rFonts w:hint="eastAsia" w:ascii="仿宋_GB2312" w:hAnsi="仿宋" w:eastAsia="仿宋_GB2312" w:cs="仿宋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瞄准总部机构、独角兽企业和行业冠军，招引市场前景好、经济效益高、财税贡献大的项目和企业，积极对接探寻合作，不断扩大财源增量。</w:t>
      </w:r>
      <w:r>
        <w:rPr>
          <w:rFonts w:hint="eastAsia" w:hAnsi="仿宋" w:cs="仿宋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结合财源建设工作要点，将“服务包”企业、重点财源企业按照行业大类由各分管领导“包企走访”，一方面实实在在解决诉求困难，另一方面走访领导变身企业“销售员”，帮助企业协调对接产业资源，促进企业增收。</w:t>
      </w:r>
      <w:r>
        <w:rPr>
          <w:rFonts w:hint="eastAsia" w:hAnsi="仿宋_GB2312" w:cs="仿宋_GB2312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" w:eastAsia="仿宋_GB2312" w:cs="仿宋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搭建企业间沟通合作平台，积极促成企业间合作共赢，并协助指导申报2023年区级产业政策，帮助企业“应享尽享”，把企业服务转化为发展实效。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（二）深化预算绩效</w:t>
      </w:r>
      <w:r>
        <w:rPr>
          <w:rFonts w:hint="eastAsia" w:ascii="楷体_GB2312" w:hAnsi="楷体_GB2312" w:eastAsia="楷体_GB2312" w:cs="楷体_GB2312"/>
          <w:bCs/>
          <w:kern w:val="2"/>
          <w:sz w:val="32"/>
          <w:szCs w:val="32"/>
        </w:rPr>
        <w:t>管理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，提升</w:t>
      </w:r>
      <w:r>
        <w:rPr>
          <w:rFonts w:hint="eastAsia" w:ascii="楷体_GB2312" w:hAnsi="楷体_GB2312" w:eastAsia="楷体_GB2312" w:cs="楷体_GB2312"/>
          <w:bCs/>
          <w:kern w:val="2"/>
          <w:sz w:val="32"/>
          <w:szCs w:val="32"/>
        </w:rPr>
        <w:t>财政资金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>将绩效理念和方法深度融入预算编制、执行、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>结果应用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>全过程，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>畅通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>衔接流程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>，把好事前准入关、事中监督关、事后应用关，全面提升财政资金使用效益。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14:ligatures w14:val="none"/>
        </w:rPr>
        <w:t>在资金安排上，以事前绩效评估为引领，控好源头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  <w14:ligatures w14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14:ligatures w14:val="none"/>
        </w:rPr>
        <w:t>在资金节约上，以成本绩效分析为方法，深度求效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  <w14:ligatures w14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14:ligatures w14:val="none"/>
        </w:rPr>
        <w:t>将评估结果与预算安排挂钩，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 w:bidi="ar-SA"/>
        </w:rPr>
        <w:t>促进财政资金分配效能提高。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（三）加强财政规范管理，严控各项财政支出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一是</w:t>
      </w:r>
      <w:r>
        <w:rPr>
          <w:rFonts w:hint="eastAsia" w:hAnsi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在保证资金安全的前提下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，切实加快预算执行进度，</w:t>
      </w:r>
      <w:r>
        <w:rPr>
          <w:rFonts w:hint="eastAsia" w:hAnsi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重点关注直达资金和上级转移支付资金支出进度，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促进财政资金尽快发挥效益。</w:t>
      </w:r>
      <w:r>
        <w:rPr>
          <w:rFonts w:hint="eastAsia" w:hAnsi="仿宋_GB2312" w:cs="仿宋_GB2312"/>
          <w:b/>
          <w:bCs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hAnsi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坚持政府过“紧日子”，全面加强财政管理，切实把钱用在为民办事上，兜住支出保障底线，确保经济运转平稳有序。三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14:ligatures w14:val="none"/>
        </w:rPr>
        <w:t>科学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理编制2025年预算。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结合各项影响因素，实事求是测算财力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编实编细支出预算，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管好、用好每一分钱，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确保重点支出得到优先保障。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各位代表，下半年，我们将在党委的坚强领导下，在镇人大的监督指导下，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以勤勉务实的工作作风、严肃认真的工作态度，开拓进取、真抓实干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为我镇经济社会发展贡献财政力量！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以上报告，请予审议。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YjRkMDMzMGE1Zjk0MTgxZjBhMmJmYjY4YTU2N2QifQ=="/>
  </w:docVars>
  <w:rsids>
    <w:rsidRoot w:val="00174976"/>
    <w:rsid w:val="00010214"/>
    <w:rsid w:val="000252ED"/>
    <w:rsid w:val="00025C10"/>
    <w:rsid w:val="00026A86"/>
    <w:rsid w:val="00035526"/>
    <w:rsid w:val="00066300"/>
    <w:rsid w:val="00067AA2"/>
    <w:rsid w:val="000722B0"/>
    <w:rsid w:val="00076422"/>
    <w:rsid w:val="0008307F"/>
    <w:rsid w:val="000C5040"/>
    <w:rsid w:val="000D0CD4"/>
    <w:rsid w:val="000D3DCA"/>
    <w:rsid w:val="000E290A"/>
    <w:rsid w:val="000E30BB"/>
    <w:rsid w:val="001120B7"/>
    <w:rsid w:val="00126DBC"/>
    <w:rsid w:val="001273A2"/>
    <w:rsid w:val="00127C0C"/>
    <w:rsid w:val="00131DB4"/>
    <w:rsid w:val="00161D8C"/>
    <w:rsid w:val="00165241"/>
    <w:rsid w:val="00174976"/>
    <w:rsid w:val="00177BFA"/>
    <w:rsid w:val="00183A95"/>
    <w:rsid w:val="001A3138"/>
    <w:rsid w:val="001B75E3"/>
    <w:rsid w:val="001D7C63"/>
    <w:rsid w:val="001E062B"/>
    <w:rsid w:val="001E64C8"/>
    <w:rsid w:val="002044DF"/>
    <w:rsid w:val="0022025A"/>
    <w:rsid w:val="00273D66"/>
    <w:rsid w:val="002F31F3"/>
    <w:rsid w:val="003030E9"/>
    <w:rsid w:val="00303874"/>
    <w:rsid w:val="00305F8F"/>
    <w:rsid w:val="003123EA"/>
    <w:rsid w:val="00337F36"/>
    <w:rsid w:val="00347441"/>
    <w:rsid w:val="00363532"/>
    <w:rsid w:val="003649E1"/>
    <w:rsid w:val="003766DA"/>
    <w:rsid w:val="003778B5"/>
    <w:rsid w:val="00377E81"/>
    <w:rsid w:val="00394DAE"/>
    <w:rsid w:val="003A2B0C"/>
    <w:rsid w:val="003B06E6"/>
    <w:rsid w:val="003B1AB8"/>
    <w:rsid w:val="003D4DEA"/>
    <w:rsid w:val="003F3064"/>
    <w:rsid w:val="003F3E45"/>
    <w:rsid w:val="00420E5D"/>
    <w:rsid w:val="004453F1"/>
    <w:rsid w:val="00462B6A"/>
    <w:rsid w:val="004C323C"/>
    <w:rsid w:val="004E6E35"/>
    <w:rsid w:val="004E7EF1"/>
    <w:rsid w:val="004F088F"/>
    <w:rsid w:val="004F6344"/>
    <w:rsid w:val="0053485B"/>
    <w:rsid w:val="00541478"/>
    <w:rsid w:val="00555590"/>
    <w:rsid w:val="005757A3"/>
    <w:rsid w:val="005A45D3"/>
    <w:rsid w:val="005A4B01"/>
    <w:rsid w:val="005C7669"/>
    <w:rsid w:val="005D1AEC"/>
    <w:rsid w:val="005D7C6F"/>
    <w:rsid w:val="006119C6"/>
    <w:rsid w:val="0062614E"/>
    <w:rsid w:val="00637090"/>
    <w:rsid w:val="0064504B"/>
    <w:rsid w:val="00646A91"/>
    <w:rsid w:val="00657121"/>
    <w:rsid w:val="006B0AF9"/>
    <w:rsid w:val="006B14CE"/>
    <w:rsid w:val="006B3C9C"/>
    <w:rsid w:val="006C47A2"/>
    <w:rsid w:val="006E642D"/>
    <w:rsid w:val="007437D8"/>
    <w:rsid w:val="00751795"/>
    <w:rsid w:val="00753338"/>
    <w:rsid w:val="00777006"/>
    <w:rsid w:val="00792844"/>
    <w:rsid w:val="00807AD3"/>
    <w:rsid w:val="00867BB5"/>
    <w:rsid w:val="00871BE6"/>
    <w:rsid w:val="008C4E3E"/>
    <w:rsid w:val="008D4175"/>
    <w:rsid w:val="008D57BF"/>
    <w:rsid w:val="008D64EC"/>
    <w:rsid w:val="008E7FB7"/>
    <w:rsid w:val="008F0E83"/>
    <w:rsid w:val="00904C9C"/>
    <w:rsid w:val="00913ECE"/>
    <w:rsid w:val="009308E8"/>
    <w:rsid w:val="00944139"/>
    <w:rsid w:val="00950A48"/>
    <w:rsid w:val="009578CD"/>
    <w:rsid w:val="00963543"/>
    <w:rsid w:val="0097778B"/>
    <w:rsid w:val="009A22B5"/>
    <w:rsid w:val="009C24E0"/>
    <w:rsid w:val="009D537C"/>
    <w:rsid w:val="00A04F57"/>
    <w:rsid w:val="00A25718"/>
    <w:rsid w:val="00A44589"/>
    <w:rsid w:val="00A46A9C"/>
    <w:rsid w:val="00A85519"/>
    <w:rsid w:val="00A93708"/>
    <w:rsid w:val="00A94E24"/>
    <w:rsid w:val="00A95F0E"/>
    <w:rsid w:val="00A97F7D"/>
    <w:rsid w:val="00AA4A7A"/>
    <w:rsid w:val="00AC444A"/>
    <w:rsid w:val="00AD5699"/>
    <w:rsid w:val="00AE6BF1"/>
    <w:rsid w:val="00B04688"/>
    <w:rsid w:val="00B15FAE"/>
    <w:rsid w:val="00B33E5A"/>
    <w:rsid w:val="00B543D7"/>
    <w:rsid w:val="00B61E5A"/>
    <w:rsid w:val="00B6525E"/>
    <w:rsid w:val="00BB148D"/>
    <w:rsid w:val="00BD3CCE"/>
    <w:rsid w:val="00BE6D5F"/>
    <w:rsid w:val="00C02582"/>
    <w:rsid w:val="00C32645"/>
    <w:rsid w:val="00C41E4C"/>
    <w:rsid w:val="00C556FA"/>
    <w:rsid w:val="00C57C95"/>
    <w:rsid w:val="00C60702"/>
    <w:rsid w:val="00C61EFA"/>
    <w:rsid w:val="00C63DED"/>
    <w:rsid w:val="00C77126"/>
    <w:rsid w:val="00C870D6"/>
    <w:rsid w:val="00CA67FF"/>
    <w:rsid w:val="00CB5B56"/>
    <w:rsid w:val="00CC0848"/>
    <w:rsid w:val="00CD0744"/>
    <w:rsid w:val="00CF16F5"/>
    <w:rsid w:val="00CF76CD"/>
    <w:rsid w:val="00D34C8A"/>
    <w:rsid w:val="00D41CFF"/>
    <w:rsid w:val="00D526F9"/>
    <w:rsid w:val="00D6081A"/>
    <w:rsid w:val="00D7042E"/>
    <w:rsid w:val="00D942BB"/>
    <w:rsid w:val="00DA5A4B"/>
    <w:rsid w:val="00DC7EB6"/>
    <w:rsid w:val="00DD5BC1"/>
    <w:rsid w:val="00DD66FF"/>
    <w:rsid w:val="00DE539B"/>
    <w:rsid w:val="00DF6A56"/>
    <w:rsid w:val="00DF7D3C"/>
    <w:rsid w:val="00E16C41"/>
    <w:rsid w:val="00E272E4"/>
    <w:rsid w:val="00E66AAB"/>
    <w:rsid w:val="00E75948"/>
    <w:rsid w:val="00E90FA4"/>
    <w:rsid w:val="00E916E0"/>
    <w:rsid w:val="00EB5CC0"/>
    <w:rsid w:val="00EB5F5C"/>
    <w:rsid w:val="00EC6E91"/>
    <w:rsid w:val="00EC7692"/>
    <w:rsid w:val="00EE143C"/>
    <w:rsid w:val="00EE7D6B"/>
    <w:rsid w:val="00FA66A5"/>
    <w:rsid w:val="00FE28E6"/>
    <w:rsid w:val="0228146C"/>
    <w:rsid w:val="02C80B98"/>
    <w:rsid w:val="02CD6DEE"/>
    <w:rsid w:val="0305103E"/>
    <w:rsid w:val="039A36A3"/>
    <w:rsid w:val="06A624D3"/>
    <w:rsid w:val="07A91B6A"/>
    <w:rsid w:val="099E0CB4"/>
    <w:rsid w:val="0A9A67C9"/>
    <w:rsid w:val="0CA32C05"/>
    <w:rsid w:val="0D1F336B"/>
    <w:rsid w:val="10B464C1"/>
    <w:rsid w:val="11A80D09"/>
    <w:rsid w:val="13FC635F"/>
    <w:rsid w:val="150A66AF"/>
    <w:rsid w:val="1B945E69"/>
    <w:rsid w:val="1BAA5A19"/>
    <w:rsid w:val="1BBE0A14"/>
    <w:rsid w:val="1BC842D2"/>
    <w:rsid w:val="1F791946"/>
    <w:rsid w:val="1F8E2664"/>
    <w:rsid w:val="1FAC13D1"/>
    <w:rsid w:val="21E27EEB"/>
    <w:rsid w:val="22301131"/>
    <w:rsid w:val="23235409"/>
    <w:rsid w:val="23655809"/>
    <w:rsid w:val="28962CFB"/>
    <w:rsid w:val="2904127D"/>
    <w:rsid w:val="29841914"/>
    <w:rsid w:val="29E77960"/>
    <w:rsid w:val="2C321D95"/>
    <w:rsid w:val="2D644F49"/>
    <w:rsid w:val="31BC418E"/>
    <w:rsid w:val="32FB3615"/>
    <w:rsid w:val="33806281"/>
    <w:rsid w:val="3413086A"/>
    <w:rsid w:val="34BE44CC"/>
    <w:rsid w:val="3625611A"/>
    <w:rsid w:val="38531C3E"/>
    <w:rsid w:val="39C3314D"/>
    <w:rsid w:val="3B2B2E3F"/>
    <w:rsid w:val="406A2D5B"/>
    <w:rsid w:val="416157D2"/>
    <w:rsid w:val="43D37F21"/>
    <w:rsid w:val="451B01D2"/>
    <w:rsid w:val="45C077A1"/>
    <w:rsid w:val="460F5FE7"/>
    <w:rsid w:val="48997224"/>
    <w:rsid w:val="48B33D6E"/>
    <w:rsid w:val="48CC778B"/>
    <w:rsid w:val="4C5C2AE1"/>
    <w:rsid w:val="4E513482"/>
    <w:rsid w:val="50E972BA"/>
    <w:rsid w:val="52E4659F"/>
    <w:rsid w:val="55366F6D"/>
    <w:rsid w:val="55FA1042"/>
    <w:rsid w:val="56731EF8"/>
    <w:rsid w:val="568B078A"/>
    <w:rsid w:val="572F50D3"/>
    <w:rsid w:val="598836BE"/>
    <w:rsid w:val="5C8C5B46"/>
    <w:rsid w:val="5F221A22"/>
    <w:rsid w:val="600A7580"/>
    <w:rsid w:val="607D387A"/>
    <w:rsid w:val="608D728C"/>
    <w:rsid w:val="61D27B22"/>
    <w:rsid w:val="63EF5D46"/>
    <w:rsid w:val="63FE7CE0"/>
    <w:rsid w:val="641C7003"/>
    <w:rsid w:val="65B047CA"/>
    <w:rsid w:val="684B782B"/>
    <w:rsid w:val="68BB516C"/>
    <w:rsid w:val="6C757A27"/>
    <w:rsid w:val="709A00BB"/>
    <w:rsid w:val="74132DC6"/>
    <w:rsid w:val="75F136A6"/>
    <w:rsid w:val="774C1066"/>
    <w:rsid w:val="79817A0B"/>
    <w:rsid w:val="7C772A1A"/>
    <w:rsid w:val="7D0F1758"/>
    <w:rsid w:val="7D2F6910"/>
    <w:rsid w:val="7F0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qFormat="1" w:unhideWhenUsed="0" w:uiPriority="0" w:semiHidden="0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5">
    <w:name w:val="toc 3"/>
    <w:basedOn w:val="1"/>
    <w:next w:val="1"/>
    <w:qFormat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6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line="288" w:lineRule="auto"/>
      <w:jc w:val="left"/>
    </w:pPr>
    <w:rPr>
      <w:rFonts w:ascii="宋体" w:hAnsi="Calibri" w:eastAsia="宋体" w:cs="Times New Roman"/>
      <w:color w:val="000000"/>
      <w:szCs w:val="21"/>
    </w:rPr>
  </w:style>
  <w:style w:type="paragraph" w:styleId="9">
    <w:name w:val="index 9"/>
    <w:next w:val="1"/>
    <w:unhideWhenUsed/>
    <w:qFormat/>
    <w:uiPriority w:val="99"/>
    <w:pPr>
      <w:widowControl w:val="0"/>
      <w:ind w:left="1600" w:leftChars="1600"/>
      <w:jc w:val="both"/>
    </w:pPr>
    <w:rPr>
      <w:rFonts w:ascii="宋体" w:hAnsi="宋体" w:eastAsia="仿宋_GB2312" w:cs="Times New Roman"/>
      <w:snapToGrid w:val="0"/>
      <w:kern w:val="32"/>
      <w:sz w:val="32"/>
      <w:szCs w:val="32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4"/>
    <w:link w:val="17"/>
    <w:qFormat/>
    <w:uiPriority w:val="0"/>
    <w:pPr>
      <w:spacing w:after="0" w:line="600" w:lineRule="atLeast"/>
      <w:ind w:left="0" w:leftChars="0" w:firstLine="420" w:firstLineChars="200"/>
    </w:pPr>
    <w:rPr>
      <w:rFonts w:ascii="仿宋_GB2312" w:hAnsi="Calibri" w:eastAsia="仿宋_GB2312" w:cs="Times New Roman"/>
      <w:kern w:val="0"/>
      <w:sz w:val="32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style21"/>
    <w:basedOn w:val="13"/>
    <w:qFormat/>
    <w:uiPriority w:val="0"/>
    <w:rPr>
      <w:rFonts w:ascii="仿宋" w:hAnsi="仿宋" w:eastAsia="仿宋" w:cs="仿宋"/>
      <w:color w:val="000000"/>
      <w:sz w:val="32"/>
      <w:szCs w:val="32"/>
    </w:rPr>
  </w:style>
  <w:style w:type="character" w:customStyle="1" w:styleId="16">
    <w:name w:val="正文文本缩进 Char"/>
    <w:basedOn w:val="13"/>
    <w:link w:val="4"/>
    <w:semiHidden/>
    <w:qFormat/>
    <w:uiPriority w:val="99"/>
  </w:style>
  <w:style w:type="character" w:customStyle="1" w:styleId="17">
    <w:name w:val="正文首行缩进 2 Char"/>
    <w:basedOn w:val="16"/>
    <w:link w:val="11"/>
    <w:qFormat/>
    <w:uiPriority w:val="0"/>
    <w:rPr>
      <w:rFonts w:ascii="仿宋_GB2312" w:hAnsi="Calibri" w:eastAsia="仿宋_GB2312" w:cs="Times New Roman"/>
      <w:kern w:val="0"/>
      <w:sz w:val="32"/>
      <w:szCs w:val="20"/>
    </w:rPr>
  </w:style>
  <w:style w:type="paragraph" w:customStyle="1" w:styleId="18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customStyle="1" w:styleId="19">
    <w:name w:val="页眉 Char"/>
    <w:basedOn w:val="13"/>
    <w:link w:val="7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6"/>
    <w:semiHidden/>
    <w:qFormat/>
    <w:uiPriority w:val="99"/>
    <w:rPr>
      <w:sz w:val="18"/>
      <w:szCs w:val="18"/>
    </w:rPr>
  </w:style>
  <w:style w:type="character" w:customStyle="1" w:styleId="21">
    <w:name w:val=" Char Char Char Char Char Char Char Char Char Char Char Char Char Char Char Char"/>
    <w:basedOn w:val="13"/>
    <w:link w:val="22"/>
    <w:qFormat/>
    <w:uiPriority w:val="0"/>
  </w:style>
  <w:style w:type="paragraph" w:customStyle="1" w:styleId="22">
    <w:name w:val=" Char Char Char Char Char Char Char Char Char Char Char Char Char Char Char"/>
    <w:basedOn w:val="1"/>
    <w:link w:val="2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4A9447-4FD2-4A9A-8DCF-CA3227725C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4723</Words>
  <Characters>5366</Characters>
  <Lines>40</Lines>
  <Paragraphs>11</Paragraphs>
  <TotalTime>421</TotalTime>
  <ScaleCrop>false</ScaleCrop>
  <LinksUpToDate>false</LinksUpToDate>
  <CharactersWithSpaces>5396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2023-06-25T06:37:00Z</dcterms:created>
  <dc:creator>W02</dc:creator>
  <cp:lastModifiedBy>北京市大兴区安定镇财政所</cp:lastModifiedBy>
  <cp:lastPrinted>2023-09-01T02:39:00Z</cp:lastPrinted>
  <dcterms:modified xsi:type="dcterms:W3CDTF">2024-08-15T09:14:02Z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42CB033037E84ABFBE9F0A7646AB9CFF_13</vt:lpwstr>
  </property>
</Properties>
</file>