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660" w:line="480" w:lineRule="atLeast"/>
        <w:jc w:val="center"/>
        <w:rPr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镇202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val="en-US" w:eastAsia="zh-CN"/>
        </w:rPr>
        <w:t>5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  <w:t>度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政府预算公开套表说明</w:t>
      </w:r>
    </w:p>
    <w:p>
      <w:pPr>
        <w:autoSpaceDE w:val="0"/>
        <w:autoSpaceDN w:val="0"/>
        <w:spacing w:before="740" w:line="380" w:lineRule="atLeast"/>
        <w:ind w:left="154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一、大兴区庞各庄镇2025年一般公共预算收入预算表</w:t>
      </w:r>
    </w:p>
    <w:p>
      <w:pPr>
        <w:autoSpaceDE w:val="0"/>
        <w:autoSpaceDN w:val="0"/>
        <w:spacing w:before="20" w:line="628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2024年预算执行数为11516万元,2025年预算数为19293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167.53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</w:t>
      </w:r>
    </w:p>
    <w:p>
      <w:pPr>
        <w:autoSpaceDE w:val="0"/>
        <w:autoSpaceDN w:val="0"/>
        <w:spacing w:before="20" w:line="628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其中:增值税202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4998.63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5900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118.03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%;企业所得税202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1238.85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3000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242.16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%;城市维护建设税202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1056.3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1500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142.01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%;城镇土地使用税202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192.5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233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121.04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土地增值税202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-961.5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3060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318.25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%；房产税202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3959.1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4250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107.35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%;印花税202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1032.5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1350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130.75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。</w:t>
      </w:r>
    </w:p>
    <w:p>
      <w:pPr>
        <w:autoSpaceDE w:val="0"/>
        <w:autoSpaceDN w:val="0"/>
        <w:spacing w:before="260" w:line="380" w:lineRule="atLeast"/>
        <w:ind w:left="154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年一般公共预算支出预算表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大兴区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年一般公共预算执行数为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64083.57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年一般公共预算数为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56758.37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88.57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%。其中: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(一)一般公共服务支出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9837.91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9497.99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96.54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国防支出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34.98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主要原因是项目支出预算减少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)公共安全支出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27.61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%。主要原因是项目支出预计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减少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)文化旅游体育与传媒支出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230.04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251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109.11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)社会保障和就业支出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6277.03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5526.27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88.04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)卫生健康支出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5404.13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4596.74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85.06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)节能环保支出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2486.22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1292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51.97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)城乡社区支出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8932.87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9536.92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106.76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)农林水支出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22583.42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20612.6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91.27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十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自然资源海洋气象等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383.06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(十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)住房保障支出</w:t>
      </w:r>
    </w:p>
    <w:p>
      <w:pPr>
        <w:autoSpaceDE w:val="0"/>
        <w:autoSpaceDN w:val="0"/>
        <w:spacing w:line="620" w:lineRule="atLeast"/>
        <w:ind w:left="1000" w:right="920" w:firstLine="78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56.06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44.83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79.98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(十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)灾害防治及应急管理支出</w:t>
      </w:r>
    </w:p>
    <w:p>
      <w:pPr>
        <w:autoSpaceDE w:val="0"/>
        <w:autoSpaceDN w:val="0"/>
        <w:spacing w:line="620" w:lineRule="atLeast"/>
        <w:ind w:left="1000" w:right="920" w:firstLine="78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942.24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numPr>
          <w:ilvl w:val="0"/>
          <w:numId w:val="0"/>
        </w:numPr>
        <w:autoSpaceDE w:val="0"/>
        <w:autoSpaceDN w:val="0"/>
        <w:spacing w:line="627" w:lineRule="atLeast"/>
        <w:ind w:left="1540" w:leftChars="0" w:right="960" w:rightChars="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（十三）上解支出</w:t>
      </w:r>
    </w:p>
    <w:p>
      <w:pPr>
        <w:autoSpaceDE w:val="0"/>
        <w:autoSpaceDN w:val="0"/>
        <w:spacing w:line="620" w:lineRule="atLeast"/>
        <w:ind w:left="1000" w:right="920" w:firstLine="78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6888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4886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70.93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上解支出预计减少。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（十四）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年预备费预算数为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514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万元。</w:t>
      </w:r>
    </w:p>
    <w:p>
      <w:pPr>
        <w:autoSpaceDE w:val="0"/>
        <w:autoSpaceDN w:val="0"/>
        <w:spacing w:before="260" w:line="380" w:lineRule="atLeast"/>
        <w:ind w:left="154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本级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年一般公共预算支出预算表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大兴区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年一般公共预算执行数为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57195.57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年一般公共预算数为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51358.37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89.79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%。其中: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(一)一般公共服务支出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9837.91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9497.99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96.54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国防支出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34.98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" w:eastAsia="zh-CN"/>
        </w:rPr>
        <w:t>主要原因是项目支出预算减少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)公共安全支出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27.61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%。主要原因是项目支出预计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减少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)文化旅游体育与传媒支出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230.04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251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109.11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)社会保障和就业支出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6277.03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5526.27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88.04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)卫生健康支出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5404.13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4596.74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85.06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)节能环保支出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2486.22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1292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51.97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)城乡社区支出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8932.87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9536.92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106.76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)农林水支出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22583.42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20612.6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91.27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十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自然资源海洋气象等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383.06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(十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)住房保障支出</w:t>
      </w:r>
    </w:p>
    <w:p>
      <w:pPr>
        <w:autoSpaceDE w:val="0"/>
        <w:autoSpaceDN w:val="0"/>
        <w:spacing w:line="620" w:lineRule="atLeast"/>
        <w:ind w:left="1000" w:right="920" w:firstLine="78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56.06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44.83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79.98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(十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)灾害防治及应急管理支出</w:t>
      </w:r>
    </w:p>
    <w:p>
      <w:pPr>
        <w:autoSpaceDE w:val="0"/>
        <w:autoSpaceDN w:val="0"/>
        <w:spacing w:line="630" w:lineRule="atLeast"/>
        <w:ind w:left="960" w:right="880" w:firstLine="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942.24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项目支出预计减少。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30" w:lineRule="atLeast"/>
        <w:ind w:right="879" w:firstLine="1505" w:firstLineChars="5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年一般公共预算基本支出预算表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年一般公共预算基本支出预算数为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10732.66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万元，其中：工资奖金津补贴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4582.25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万元，社会保障缴费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1460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万元，住房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公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积金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522.3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万元，办公经费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522.79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万元，培训费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万元，公务接待费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公务用车运行维护费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53.88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维修（护）费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其他商品和服务支出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80万元，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工资福利支出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3244.66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商品和服务支出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3.93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万元、社会福利和救助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0.25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万元、离退休费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236.11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万元。</w:t>
      </w:r>
    </w:p>
    <w:p>
      <w:pPr>
        <w:autoSpaceDE w:val="0"/>
        <w:autoSpaceDN w:val="0"/>
        <w:spacing w:before="20" w:line="620" w:lineRule="atLeast"/>
        <w:ind w:left="960" w:right="880" w:firstLine="82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年一般公共预算“三公经费”财政拨款支出预算表</w:t>
      </w:r>
    </w:p>
    <w:p>
      <w:pPr>
        <w:autoSpaceDE w:val="0"/>
        <w:autoSpaceDN w:val="0"/>
        <w:spacing w:line="640" w:lineRule="atLeast"/>
        <w:ind w:left="1000" w:right="880" w:firstLine="78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年“三公经费”预算数共计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57.38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年预算执行数共计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21.56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年年初预算数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万元。</w:t>
      </w:r>
    </w:p>
    <w:p>
      <w:pPr>
        <w:numPr>
          <w:ilvl w:val="0"/>
          <w:numId w:val="1"/>
        </w:numPr>
        <w:autoSpaceDE w:val="0"/>
        <w:autoSpaceDN w:val="0"/>
        <w:spacing w:line="620" w:lineRule="atLeast"/>
        <w:ind w:left="960" w:right="960" w:firstLine="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因公出国(境)费用：202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年年初预算数为0万元，202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年预算执行数为0万元，202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年预计没有此项支出。</w:t>
      </w:r>
    </w:p>
    <w:p>
      <w:pPr>
        <w:numPr>
          <w:ilvl w:val="0"/>
          <w:numId w:val="1"/>
        </w:numPr>
        <w:autoSpaceDE w:val="0"/>
        <w:autoSpaceDN w:val="0"/>
        <w:spacing w:line="620" w:lineRule="atLeast"/>
        <w:ind w:left="960" w:right="960" w:firstLine="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公务接待费：202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年年初预算数为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预算执行数为0万元，202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万元。</w:t>
      </w:r>
    </w:p>
    <w:p>
      <w:pPr>
        <w:autoSpaceDE w:val="0"/>
        <w:autoSpaceDN w:val="0"/>
        <w:spacing w:line="628" w:lineRule="atLeast"/>
        <w:ind w:left="1020" w:right="840" w:firstLine="8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(三)公务用车费(主要是公务用车运行维护费及公务用车购置费)：公务车运行维护费202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年年初预算数为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82.5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21.56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53.88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万元;公务车购置202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年年初预算数为0万元,202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年预算数为0万元。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年政府基金收入预算表</w:t>
      </w:r>
    </w:p>
    <w:p>
      <w:pPr>
        <w:autoSpaceDE w:val="0"/>
        <w:autoSpaceDN w:val="0"/>
        <w:spacing w:before="280" w:line="360" w:lineRule="atLeast"/>
        <w:ind w:left="182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本单位不涉及上述表内数据。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年政府基金支出预算表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(一)城乡社区支出。202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12784.53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12694.63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99.3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专项支出预计减少。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（二）资源勘探工业信息等支出。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1.11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专项支出预计减少。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八、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本级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政府基金支出预算表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城乡社区支出。202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12785.64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12694.63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99.29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专项支出预计减少。其中：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(一)城乡社区支出。202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12784.53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12694.63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99.3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专项支出预计减少。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（二）资源勘探工业信息等支出。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年预算执行数为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1.11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万元，202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年预算数为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万元，预算数为上年执行数的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%。主要原因是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专项支出预计减少。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年国有资本经营预算收入预算表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、大兴区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庞各庄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</w:rPr>
        <w:t>年国有资本经营预算支出预算表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十一、大兴区庞各庄镇202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本级年国有资本经营预算支出预算表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十二、大兴区庞各庄镇202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年社保基金预算收入预算表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十三、大兴区庞各庄镇202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年社保基金预算支出预算表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十四、大兴区庞各庄镇202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年一般公共预算税收返还和转移支付表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十五、一般公共预算对下级专项转移支付明细表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十六、大兴区庞各庄镇202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年政府性基金转移支付明细表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十七、政府性基金预算对下级专项转移支付明细表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十八、大兴区庞各庄镇202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年专项转移支付明细表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2025年大兴区庞各庄镇专项转移支付支出29952.85万元，其中一般公共预算支出19478.22万元，政府性基金预算支出10474.63万元。在一般公共预算专项转移支付支出中，主要支出科目如下：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一般公共服务支出349.03万元；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文化旅游体育与传媒支出0.5万元；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社会保障和就业支出1158.41万元；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卫生健康支出418.97万元；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节能环保支出544.85万元；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城乡社区支出704.03万元；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农林水支出16257.6万元；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住房保障支出44.83万元。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在政府性基金预算专项转移支付中，主要支出科目如下：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城乡社区支出10474.63万元；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十九、大兴区庞各庄镇2024年地方政府债务限额及余额决算情况表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二十、大兴区庞各庄镇2024年地方政府一般债务余额情况表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二十一大兴区庞各庄镇2024年地方政府专项债务余额情况表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二十二、大兴区庞各庄镇地方政府债务发行及还本付息情况表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二十三、重点项目绩效目标情况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2025年重点大额项目绩效目标情况表具体见公开表。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30"/>
          <w:szCs w:val="30"/>
          <w:lang w:eastAsia="zh-CN"/>
        </w:rPr>
        <w:t>二十三、其他重要事项的情况说明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举借债务情况说明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本单位无举借债务情况。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2.转移支付安排情况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2025年转移支付安排49062万元，其中一般公共预算转移支付36367万元，政府性基金预算转移支付12695万元。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3.预算绩效管理工作情况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2024年，庞各庄镇深入贯彻中央精神，落实市区两级工作部署，积极探索、持续深耕，推动绩效管理向“务实、高效、节约”纵深推进，推动全方位、全过程、全覆盖的管理体系建立。一是将绩效理念和方法深度融入预算编制、执行、结果应用全过程，流程衔接畅通。事前把好准入关，完善绩效目标管理；事中把好监督关，紧盯绩效运行监控；事后把好应用关，强化评价结果应用。二是在资金安排上，以事前绩效评估为引领，控好源头。在资金节约上，以成本绩效分析为方法，深度求效。2024年开展1个事前绩效评估项目和2个成本绩效分析项目，持续提升财政资金使用效益。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</w:pPr>
    </w:p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74B9D"/>
    <w:multiLevelType w:val="singleLevel"/>
    <w:tmpl w:val="F7F74B9D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ulTrailSpace/>
    <w:useFELayout/>
    <w:compatSetting w:name="compatibilityMode" w:uri="http://schemas.microsoft.com/office/word" w:val="12"/>
  </w:compat>
  <w:rsids>
    <w:rsidRoot w:val="00BF26B3"/>
    <w:rsid w:val="000212CA"/>
    <w:rsid w:val="00034A06"/>
    <w:rsid w:val="000552E6"/>
    <w:rsid w:val="00066023"/>
    <w:rsid w:val="00122B12"/>
    <w:rsid w:val="001B51E1"/>
    <w:rsid w:val="001B758E"/>
    <w:rsid w:val="001C3672"/>
    <w:rsid w:val="00240278"/>
    <w:rsid w:val="00322AD7"/>
    <w:rsid w:val="0034020F"/>
    <w:rsid w:val="003E7CA7"/>
    <w:rsid w:val="00402F6C"/>
    <w:rsid w:val="00446C92"/>
    <w:rsid w:val="005164CA"/>
    <w:rsid w:val="006000AA"/>
    <w:rsid w:val="006255F0"/>
    <w:rsid w:val="00733662"/>
    <w:rsid w:val="0077099C"/>
    <w:rsid w:val="00795421"/>
    <w:rsid w:val="007B5807"/>
    <w:rsid w:val="008146CB"/>
    <w:rsid w:val="00823B6D"/>
    <w:rsid w:val="00833615"/>
    <w:rsid w:val="00866D82"/>
    <w:rsid w:val="00973A99"/>
    <w:rsid w:val="00A157CA"/>
    <w:rsid w:val="00A30AD8"/>
    <w:rsid w:val="00A710AB"/>
    <w:rsid w:val="00AC3122"/>
    <w:rsid w:val="00AE340A"/>
    <w:rsid w:val="00AE5689"/>
    <w:rsid w:val="00BE3D29"/>
    <w:rsid w:val="00BF26B3"/>
    <w:rsid w:val="00CB6BBD"/>
    <w:rsid w:val="00DE7AB8"/>
    <w:rsid w:val="00DF5F1E"/>
    <w:rsid w:val="00E318FF"/>
    <w:rsid w:val="00E85739"/>
    <w:rsid w:val="00F27F3F"/>
    <w:rsid w:val="0378113F"/>
    <w:rsid w:val="06DE3BF1"/>
    <w:rsid w:val="0AD67293"/>
    <w:rsid w:val="0DD23988"/>
    <w:rsid w:val="0F1D6787"/>
    <w:rsid w:val="14F76E39"/>
    <w:rsid w:val="16366B7B"/>
    <w:rsid w:val="16817096"/>
    <w:rsid w:val="17AE2EE7"/>
    <w:rsid w:val="17B974CF"/>
    <w:rsid w:val="187A6B85"/>
    <w:rsid w:val="1ACF5009"/>
    <w:rsid w:val="1BF62586"/>
    <w:rsid w:val="1DF7AC91"/>
    <w:rsid w:val="21094255"/>
    <w:rsid w:val="228C4044"/>
    <w:rsid w:val="22B8707A"/>
    <w:rsid w:val="22D55CE6"/>
    <w:rsid w:val="22FC3457"/>
    <w:rsid w:val="23E309FB"/>
    <w:rsid w:val="297E1F6F"/>
    <w:rsid w:val="2AFC20E1"/>
    <w:rsid w:val="2B205EFE"/>
    <w:rsid w:val="2B6FCA28"/>
    <w:rsid w:val="2B746EA9"/>
    <w:rsid w:val="2BDFED3E"/>
    <w:rsid w:val="2C5B794D"/>
    <w:rsid w:val="2F178659"/>
    <w:rsid w:val="2F914346"/>
    <w:rsid w:val="2FDDEE84"/>
    <w:rsid w:val="35DF5048"/>
    <w:rsid w:val="3665143D"/>
    <w:rsid w:val="36EF18FC"/>
    <w:rsid w:val="378123B8"/>
    <w:rsid w:val="39E70CEF"/>
    <w:rsid w:val="3A7E6EA7"/>
    <w:rsid w:val="3AC34C73"/>
    <w:rsid w:val="3B661726"/>
    <w:rsid w:val="3BFFF81F"/>
    <w:rsid w:val="3D5F7238"/>
    <w:rsid w:val="3E66D700"/>
    <w:rsid w:val="3EFFD514"/>
    <w:rsid w:val="3FCB425C"/>
    <w:rsid w:val="3FFE0DF2"/>
    <w:rsid w:val="40293363"/>
    <w:rsid w:val="41097B35"/>
    <w:rsid w:val="41FB68F8"/>
    <w:rsid w:val="437F22C6"/>
    <w:rsid w:val="44FE6D1A"/>
    <w:rsid w:val="45D6FEE0"/>
    <w:rsid w:val="471F041C"/>
    <w:rsid w:val="48EC0BE4"/>
    <w:rsid w:val="4BC91830"/>
    <w:rsid w:val="4DBF94FB"/>
    <w:rsid w:val="4DC64705"/>
    <w:rsid w:val="4DE68CCD"/>
    <w:rsid w:val="4E05777F"/>
    <w:rsid w:val="4E2A2C63"/>
    <w:rsid w:val="534140D2"/>
    <w:rsid w:val="566D54CC"/>
    <w:rsid w:val="57FDF980"/>
    <w:rsid w:val="5B67472D"/>
    <w:rsid w:val="5BB07872"/>
    <w:rsid w:val="5D601769"/>
    <w:rsid w:val="5DE838B2"/>
    <w:rsid w:val="5EECBD3B"/>
    <w:rsid w:val="5EFFEB19"/>
    <w:rsid w:val="5F240BA7"/>
    <w:rsid w:val="5F6F61A8"/>
    <w:rsid w:val="5FEA8605"/>
    <w:rsid w:val="5FF75394"/>
    <w:rsid w:val="61711D71"/>
    <w:rsid w:val="661B6425"/>
    <w:rsid w:val="69DE48A1"/>
    <w:rsid w:val="6D0344AB"/>
    <w:rsid w:val="6D79FA63"/>
    <w:rsid w:val="6D7DDB51"/>
    <w:rsid w:val="6DBE2053"/>
    <w:rsid w:val="6DF32E7C"/>
    <w:rsid w:val="6E971D7D"/>
    <w:rsid w:val="6F7F345A"/>
    <w:rsid w:val="719207B2"/>
    <w:rsid w:val="723144DD"/>
    <w:rsid w:val="72DC7CFA"/>
    <w:rsid w:val="74AE0B60"/>
    <w:rsid w:val="75DFE286"/>
    <w:rsid w:val="761B82A4"/>
    <w:rsid w:val="764732CE"/>
    <w:rsid w:val="76B6F0E6"/>
    <w:rsid w:val="76E517A8"/>
    <w:rsid w:val="76E68E55"/>
    <w:rsid w:val="771F3D10"/>
    <w:rsid w:val="79994D39"/>
    <w:rsid w:val="79E98671"/>
    <w:rsid w:val="7A9BD473"/>
    <w:rsid w:val="7AEFC098"/>
    <w:rsid w:val="7B3B0BF5"/>
    <w:rsid w:val="7B7BC8D7"/>
    <w:rsid w:val="7E7D2817"/>
    <w:rsid w:val="7EB204D2"/>
    <w:rsid w:val="7EB7990B"/>
    <w:rsid w:val="7EF96AA9"/>
    <w:rsid w:val="7EFF3E09"/>
    <w:rsid w:val="7F044C3E"/>
    <w:rsid w:val="7F3B46A7"/>
    <w:rsid w:val="7F4F7E16"/>
    <w:rsid w:val="7FB7ECBF"/>
    <w:rsid w:val="7FD72B9B"/>
    <w:rsid w:val="7FEFA9F3"/>
    <w:rsid w:val="7FF6F1A9"/>
    <w:rsid w:val="7FFBF905"/>
    <w:rsid w:val="7FFEEB7A"/>
    <w:rsid w:val="814C9776"/>
    <w:rsid w:val="9DFA1AA4"/>
    <w:rsid w:val="A5BEA2C8"/>
    <w:rsid w:val="ABFE7B53"/>
    <w:rsid w:val="AFFF755B"/>
    <w:rsid w:val="B3EF6404"/>
    <w:rsid w:val="B8F9B382"/>
    <w:rsid w:val="BB7F264C"/>
    <w:rsid w:val="BDBE487C"/>
    <w:rsid w:val="BDBF1B48"/>
    <w:rsid w:val="BDFBCC07"/>
    <w:rsid w:val="BDFEFE60"/>
    <w:rsid w:val="BF3D9B11"/>
    <w:rsid w:val="BFD3797E"/>
    <w:rsid w:val="CD63AA76"/>
    <w:rsid w:val="CF79A648"/>
    <w:rsid w:val="D4BB7625"/>
    <w:rsid w:val="D5CF7F2E"/>
    <w:rsid w:val="D9DD3E22"/>
    <w:rsid w:val="DB3F81D2"/>
    <w:rsid w:val="DE2A55CA"/>
    <w:rsid w:val="DE5C7496"/>
    <w:rsid w:val="DEBA2155"/>
    <w:rsid w:val="E327795D"/>
    <w:rsid w:val="E7CD54D3"/>
    <w:rsid w:val="E87F075F"/>
    <w:rsid w:val="E8FE9794"/>
    <w:rsid w:val="ECFE5D7B"/>
    <w:rsid w:val="EEFDE23E"/>
    <w:rsid w:val="EFBF37FD"/>
    <w:rsid w:val="EFFC5666"/>
    <w:rsid w:val="EFFD0ACB"/>
    <w:rsid w:val="F47EA9B2"/>
    <w:rsid w:val="F7784F95"/>
    <w:rsid w:val="F7BB7116"/>
    <w:rsid w:val="F7BF8EA9"/>
    <w:rsid w:val="F7F703A2"/>
    <w:rsid w:val="F8AB90A3"/>
    <w:rsid w:val="F9C71153"/>
    <w:rsid w:val="FB6D42E1"/>
    <w:rsid w:val="FBFD56A9"/>
    <w:rsid w:val="FCFE54C3"/>
    <w:rsid w:val="FCFFAA1A"/>
    <w:rsid w:val="FD9FCDAD"/>
    <w:rsid w:val="FDEBC385"/>
    <w:rsid w:val="FE9D1621"/>
    <w:rsid w:val="FEBF7A96"/>
    <w:rsid w:val="FF87AF74"/>
    <w:rsid w:val="FF9F2965"/>
    <w:rsid w:val="FFBFA567"/>
    <w:rsid w:val="FFEF3319"/>
    <w:rsid w:val="FFF01E12"/>
    <w:rsid w:val="FFFC9453"/>
    <w:rsid w:val="FFFDAE54"/>
    <w:rsid w:val="FFFFA618"/>
    <w:rsid w:val="FFFFF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qFormat/>
    <w:uiPriority w:val="0"/>
    <w:pPr>
      <w:spacing w:afterLines="0" w:afterAutospacing="0" w:line="640" w:lineRule="exact"/>
      <w:ind w:firstLine="96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339</Words>
  <Characters>1935</Characters>
  <Lines>16</Lines>
  <Paragraphs>4</Paragraphs>
  <TotalTime>5</TotalTime>
  <ScaleCrop>false</ScaleCrop>
  <LinksUpToDate>false</LinksUpToDate>
  <CharactersWithSpaces>2270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2024-01-14T13:59:00Z</dcterms:created>
  <dc:creator>Apache POI</dc:creator>
  <cp:lastModifiedBy>user</cp:lastModifiedBy>
  <dcterms:modified xsi:type="dcterms:W3CDTF">2025-02-10T15:12:20Z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