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庞各庄镇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202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4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年预算执行情况和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202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5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年预算草案的报告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楷体_GB2312" w:cs="楷体_GB2312" w:eastAsia="楷体_GB2312" w:hAnsi="楷体_GB2312" w:hint="eastAsia"/>
          <w:sz w:val="32"/>
          <w:szCs w:val="32"/>
          <w:lang w:eastAsia="zh-CN"/>
        </w:rPr>
      </w:pPr>
      <w:r>
        <w:rPr>
          <w:rFonts w:ascii="楷体_GB2312" w:cs="楷体_GB2312" w:eastAsia="楷体_GB2312" w:hAnsi="楷体_GB2312" w:hint="eastAsia"/>
          <w:sz w:val="32"/>
          <w:szCs w:val="32"/>
        </w:rPr>
        <w:t>——202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5</w:t>
      </w:r>
      <w:r>
        <w:rPr>
          <w:rFonts w:ascii="楷体_GB2312" w:cs="楷体_GB2312" w:eastAsia="楷体_GB2312" w:hAnsi="楷体_GB2312" w:hint="eastAsia"/>
          <w:sz w:val="32"/>
          <w:szCs w:val="32"/>
        </w:rPr>
        <w:t>年1月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22</w:t>
      </w:r>
      <w:r>
        <w:rPr>
          <w:rFonts w:ascii="楷体_GB2312" w:cs="楷体_GB2312" w:eastAsia="楷体_GB2312" w:hAnsi="楷体_GB2312" w:hint="eastAsia"/>
          <w:sz w:val="32"/>
          <w:szCs w:val="32"/>
        </w:rPr>
        <w:t>日在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北京市大兴区庞各庄镇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楷体_GB2312" w:cs="楷体_GB2312" w:eastAsia="楷体_GB2312" w:hAnsi="楷体_GB2312" w:hint="eastAsia"/>
          <w:sz w:val="32"/>
          <w:szCs w:val="32"/>
        </w:rPr>
      </w:pPr>
      <w:r>
        <w:rPr>
          <w:rFonts w:ascii="楷体_GB2312" w:cs="楷体_GB2312" w:eastAsia="楷体_GB2312" w:hAnsi="楷体_GB2312" w:hint="eastAsia"/>
          <w:sz w:val="32"/>
          <w:szCs w:val="32"/>
        </w:rPr>
        <w:t>第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五</w:t>
      </w:r>
      <w:r>
        <w:rPr>
          <w:rFonts w:ascii="楷体_GB2312" w:cs="楷体_GB2312" w:eastAsia="楷体_GB2312" w:hAnsi="楷体_GB2312" w:hint="eastAsia"/>
          <w:sz w:val="32"/>
          <w:szCs w:val="32"/>
        </w:rPr>
        <w:t>届人民代表大会第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七</w:t>
      </w:r>
      <w:r>
        <w:rPr>
          <w:rFonts w:ascii="楷体_GB2312" w:cs="楷体_GB2312" w:eastAsia="楷体_GB2312" w:hAnsi="楷体_GB2312" w:hint="eastAsia"/>
          <w:sz w:val="32"/>
          <w:szCs w:val="32"/>
        </w:rPr>
        <w:t>次会议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</w:pP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庞各庄镇产业发展服务中心（财政）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各位代表：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受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</w:t>
      </w:r>
      <w:r>
        <w:rPr>
          <w:rFonts w:ascii="仿宋_GB2312" w:cs="仿宋_GB2312" w:eastAsia="仿宋_GB2312" w:hAnsi="仿宋_GB2312" w:hint="eastAsia"/>
          <w:sz w:val="32"/>
          <w:szCs w:val="32"/>
        </w:rPr>
        <w:t>人民政府委托，产业发展服务中心（财政）向大会提交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</w:t>
      </w: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4年</w:t>
      </w:r>
      <w:r>
        <w:rPr>
          <w:rFonts w:ascii="仿宋_GB2312" w:cs="仿宋_GB2312" w:eastAsia="仿宋_GB2312" w:hAnsi="仿宋_GB2312" w:hint="eastAsia"/>
          <w:sz w:val="32"/>
          <w:szCs w:val="32"/>
        </w:rPr>
        <w:t>预算执行情况和202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</w:rPr>
        <w:t>年预算草案的报告，请各位代表审议。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jc w:val="center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第一部分202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4</w:t>
      </w:r>
      <w:r>
        <w:rPr>
          <w:rFonts w:ascii="黑体" w:cs="黑体" w:eastAsia="黑体" w:hAnsi="黑体" w:hint="eastAsia"/>
          <w:sz w:val="32"/>
          <w:szCs w:val="32"/>
        </w:rPr>
        <w:t>年预算执行情况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</w:t>
      </w:r>
      <w:r>
        <w:rPr>
          <w:rFonts w:ascii="仿宋_GB2312" w:cs="仿宋_GB2312" w:eastAsia="仿宋_GB2312" w:hAnsi="仿宋_GB2312" w:hint="eastAsia"/>
          <w:sz w:val="32"/>
          <w:szCs w:val="32"/>
        </w:rPr>
        <w:t>年，面对严峻的财政收支形势和艰巨的财政发展改革任务，在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区</w:t>
      </w:r>
      <w:r>
        <w:rPr>
          <w:rFonts w:ascii="仿宋_GB2312" w:cs="仿宋_GB2312" w:eastAsia="仿宋_GB2312" w:hAnsi="仿宋_GB2312" w:hint="eastAsia"/>
          <w:sz w:val="32"/>
          <w:szCs w:val="32"/>
        </w:rPr>
        <w:t>委、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区</w:t>
      </w:r>
      <w:r>
        <w:rPr>
          <w:rFonts w:ascii="仿宋_GB2312" w:cs="仿宋_GB2312" w:eastAsia="仿宋_GB2312" w:hAnsi="仿宋_GB2312" w:hint="eastAsia"/>
          <w:sz w:val="32"/>
          <w:szCs w:val="32"/>
        </w:rPr>
        <w:t>政府和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镇党</w:t>
      </w:r>
      <w:r>
        <w:rPr>
          <w:rFonts w:ascii="仿宋_GB2312" w:cs="仿宋_GB2312" w:eastAsia="仿宋_GB2312" w:hAnsi="仿宋_GB2312" w:hint="eastAsia"/>
          <w:sz w:val="32"/>
          <w:szCs w:val="32"/>
        </w:rPr>
        <w:t>委的坚强领导下，在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人大的依法监督下，全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上下坚持以习近平新时代中国特色社会主义思想为指导，坚持稳字当头、稳中求进，加力提效落实积极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的</w:t>
      </w:r>
      <w:r>
        <w:rPr>
          <w:rFonts w:ascii="仿宋_GB2312" w:cs="仿宋_GB2312" w:eastAsia="仿宋_GB2312" w:hAnsi="仿宋_GB2312" w:hint="eastAsia"/>
          <w:sz w:val="32"/>
          <w:szCs w:val="32"/>
        </w:rPr>
        <w:t>财政政策，努力提升财政资源配置效率和资金使用效益，有力保障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了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</w:t>
      </w:r>
      <w:r>
        <w:rPr>
          <w:rFonts w:ascii="仿宋_GB2312" w:cs="仿宋_GB2312" w:eastAsia="仿宋_GB2312" w:hAnsi="仿宋_GB2312" w:hint="eastAsia"/>
          <w:sz w:val="32"/>
          <w:szCs w:val="32"/>
        </w:rPr>
        <w:t>经济社会平稳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运行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一、一般公共预算执行情况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</w:t>
      </w:r>
      <w:r>
        <w:rPr>
          <w:rFonts w:ascii="仿宋_GB2312" w:cs="仿宋_GB2312" w:eastAsia="仿宋_GB2312" w:hAnsi="仿宋_GB2312" w:hint="eastAsia"/>
          <w:sz w:val="32"/>
          <w:szCs w:val="32"/>
        </w:rPr>
        <w:t>年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</w:rPr>
        <w:t>庞各庄镇一般公共预算总收入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64669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万元，其中：一般公共预算财政收</w:t>
      </w:r>
      <w:r>
        <w:rPr>
          <w:rFonts w:ascii="仿宋_GB2312" w:cs="仿宋_GB2312" w:eastAsia="仿宋_GB2312" w:hAnsi="仿宋_GB2312" w:hint="eastAsia"/>
          <w:sz w:val="32"/>
          <w:szCs w:val="32"/>
          <w:highlight w:val="none"/>
        </w:rPr>
        <w:t>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11516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</w:rPr>
        <w:t>万</w:t>
      </w:r>
      <w:r>
        <w:rPr>
          <w:rFonts w:ascii="仿宋_GB2312" w:cs="仿宋_GB2312" w:eastAsia="仿宋_GB2312" w:hAnsi="仿宋_GB2312" w:hint="eastAsia"/>
          <w:sz w:val="32"/>
          <w:szCs w:val="32"/>
          <w:highlight w:val="none"/>
        </w:rPr>
        <w:t>元，体制补</w:t>
      </w:r>
      <w:r>
        <w:rPr>
          <w:rFonts w:ascii="仿宋_GB2312" w:cs="仿宋_GB2312" w:eastAsia="仿宋_GB2312" w:hAnsi="仿宋_GB2312" w:hint="eastAsia"/>
          <w:sz w:val="32"/>
          <w:szCs w:val="32"/>
        </w:rPr>
        <w:t>助3862万元，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固定补助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9456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万元，其他一般转移支付收入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5567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，专项转移支付收入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26573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万元，上年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结转收入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7695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一般公共预算支出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6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4084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万元，其中：一般公共预算支出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57196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万元；上解支出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6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888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上解支出</w:t>
      </w:r>
      <w:r>
        <w:rPr>
          <w:rFonts w:ascii="仿宋_GB2312" w:cs="仿宋_GB2312" w:eastAsia="仿宋_GB2312" w:hAnsi="仿宋_GB2312" w:hint="eastAsia"/>
          <w:sz w:val="32"/>
          <w:szCs w:val="32"/>
        </w:rPr>
        <w:t>中：民政事项区级统发上解资金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2675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万元，垃圾处理费上解1163万元，公益性岗位补贴上解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993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流管员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384万元，退役统筹332万元，村级公益金347万元，</w:t>
      </w:r>
      <w:r>
        <w:rPr>
          <w:rFonts w:ascii="仿宋_GB2312" w:cs="仿宋_GB2312" w:eastAsia="仿宋_GB2312" w:hAnsi="仿宋_GB2312" w:hint="eastAsia"/>
          <w:sz w:val="32"/>
          <w:szCs w:val="32"/>
        </w:rPr>
        <w:t>其他上解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994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2024年未动用预备费，财力与支出相抵，年终结余585万元，实现收支平衡，符合区对镇结余资金要求。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  <w:t>（一）主要收入科目执行情况。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2024年，</w:t>
      </w:r>
      <w:r>
        <w:rPr>
          <w:rFonts w:ascii="仿宋_GB2312" w:cs="仿宋_GB2312" w:eastAsia="仿宋_GB2312" w:hAnsi="仿宋_GB2312" w:hint="eastAsia"/>
          <w:sz w:val="32"/>
          <w:szCs w:val="32"/>
        </w:rPr>
        <w:t>税收收入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完成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52170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形成</w:t>
      </w:r>
      <w:r>
        <w:rPr>
          <w:rFonts w:ascii="仿宋_GB2312" w:cs="仿宋_GB2312" w:eastAsia="仿宋_GB2312" w:hAnsi="仿宋_GB2312" w:hint="eastAsia"/>
          <w:sz w:val="32"/>
          <w:szCs w:val="32"/>
        </w:rPr>
        <w:t>镇级财政收入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11516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</w:rPr>
        <w:t>其中：增值税税收收入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39989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形成</w:t>
      </w:r>
      <w:r>
        <w:rPr>
          <w:rFonts w:ascii="仿宋_GB2312" w:cs="仿宋_GB2312" w:eastAsia="仿宋_GB2312" w:hAnsi="仿宋_GB2312" w:hint="eastAsia"/>
          <w:sz w:val="32"/>
          <w:szCs w:val="32"/>
        </w:rPr>
        <w:t>镇级财政收入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4999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万元，同比去年减少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173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万元，下降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3.34</w:t>
      </w:r>
      <w:r>
        <w:rPr>
          <w:rFonts w:ascii="仿宋_GB2312" w:cs="仿宋_GB2312" w:eastAsia="仿宋_GB2312" w:hAnsi="仿宋_GB2312" w:hint="eastAsia"/>
          <w:sz w:val="32"/>
          <w:szCs w:val="32"/>
        </w:rPr>
        <w:t>%，主要是中建铁路投资建设集团有限公司今年9月一次性留抵退税增值税3987万元，影响镇级财政收入498万元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</w:rPr>
        <w:t>企业所得税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税收收入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8259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形成</w:t>
      </w:r>
      <w:r>
        <w:rPr>
          <w:rFonts w:ascii="仿宋_GB2312" w:cs="仿宋_GB2312" w:eastAsia="仿宋_GB2312" w:hAnsi="仿宋_GB2312" w:hint="eastAsia"/>
          <w:sz w:val="32"/>
          <w:szCs w:val="32"/>
        </w:rPr>
        <w:t>镇级财政收入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1239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万元，同比去年增加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267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万元，增长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27.51</w:t>
      </w:r>
      <w:r>
        <w:rPr>
          <w:rFonts w:ascii="仿宋_GB2312" w:cs="仿宋_GB2312" w:eastAsia="仿宋_GB2312" w:hAnsi="仿宋_GB2312" w:hint="eastAsia"/>
          <w:sz w:val="32"/>
          <w:szCs w:val="32"/>
        </w:rPr>
        <w:t>%，主要是北京东嘉投资有限公司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因减持贵州燃气集团股份有限公司原始股份，缴纳企业所得税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1760万元，形成镇级财政收入264万元</w:t>
      </w:r>
      <w:r>
        <w:rPr>
          <w:rFonts w:ascii="仿宋_GB2312" w:cs="仿宋_GB2312" w:eastAsia="仿宋_GB2312" w:hAnsi="仿宋_GB2312" w:hint="eastAsia"/>
          <w:sz w:val="32"/>
          <w:szCs w:val="32"/>
        </w:rPr>
        <w:t>；土地增值税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税收收入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-3846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形</w:t>
      </w:r>
      <w:r>
        <w:rPr>
          <w:rFonts w:ascii="仿宋_GB2312" w:cs="仿宋_GB2312" w:eastAsia="仿宋_GB2312" w:hAnsi="仿宋_GB2312" w:hint="eastAsia"/>
          <w:sz w:val="32"/>
          <w:szCs w:val="32"/>
        </w:rPr>
        <w:t>成镇级财政收入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-962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万元，同比去年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减少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5895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下降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119.49</w:t>
      </w:r>
      <w:r>
        <w:rPr>
          <w:rFonts w:ascii="仿宋_GB2312" w:cs="仿宋_GB2312" w:eastAsia="仿宋_GB2312" w:hAnsi="仿宋_GB2312" w:hint="eastAsia"/>
          <w:sz w:val="32"/>
          <w:szCs w:val="32"/>
        </w:rPr>
        <w:t>%，主要是按照区级要求，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我镇主动清退</w:t>
      </w:r>
      <w:r>
        <w:rPr>
          <w:rFonts w:ascii="仿宋_GB2312" w:cs="仿宋_GB2312" w:eastAsia="仿宋_GB2312" w:hAnsi="仿宋_GB2312" w:hint="eastAsia"/>
          <w:sz w:val="32"/>
          <w:szCs w:val="32"/>
        </w:rPr>
        <w:t>中海云筑项目土地增值税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9341万元，</w:t>
      </w:r>
      <w:r>
        <w:rPr>
          <w:rFonts w:ascii="仿宋_GB2312" w:cs="仿宋_GB2312" w:eastAsia="仿宋_GB2312" w:hAnsi="仿宋_GB2312" w:hint="eastAsia"/>
          <w:sz w:val="32"/>
          <w:szCs w:val="32"/>
        </w:rPr>
        <w:t>影响镇级财政收入2335万元。确保了中海集团在魏善庄镇项目土地增值税及时入库。非税收入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49.76万</w:t>
      </w:r>
      <w:r>
        <w:rPr>
          <w:rFonts w:ascii="仿宋_GB2312" w:cs="仿宋_GB2312" w:eastAsia="仿宋_GB2312" w:hAnsi="仿宋_GB2312" w:hint="eastAsia"/>
          <w:sz w:val="32"/>
          <w:szCs w:val="32"/>
        </w:rPr>
        <w:t>元，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与去年基本持平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  <w:t>（二）主要支出科目执行情况。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一般公共服务支出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9837.91万元，完成调整预算的101.16%。主要用于在职在编人员工资及公用经费，社区村党组织服务群众经费，政府保安、保洁、物业等项目支出。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国防支出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34.98万元，完成调整预算的102.88%。主要用于义务兵优待金、训练经费。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公共安全支出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27.61万元，完成调整预算的138.05%。主要用于司法项目经费。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文化旅游体育与传媒支出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230.04万元，完成调整预算的112.21%。主要用于宣传文体、文体转移支付资金、旅游公共服务提升等项目。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社会保障和就业支出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6277.03万元，完成调整预算的91.79%。主要用于在职在编人员社会保障缴费、民政经费、居委会人员工资、居委会运转等经费。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卫生健康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5404.13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完成调整预算的93.75%。主要用于卫生院在职在编人员工资经费、卫生项目经费、基本公共卫生经费、村卫生室运行经费、基层医疗卫生服务能力提升等项目。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eastAsia="zh-CN"/>
        </w:rPr>
        <w:t>节能环保支出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2486.22万元，完成调整预算的109.67%。主要用于大兴区庞各庄镇北章客等村庄污水治理项目、大气精细化管理及服务，2022-2023年取暖季“煤改电”蓄能式电暖器和太阳能提升用户电费补贴等项目。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城乡社区支出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8932.87万元，完成调整预算的51.52%。主要用于农村地区保洁员工资、疏解整治促提升、庞各庄镇中心卫生院等项目。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农林水支出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22583.42万元，完成调整预算的80.51%。主要用于大兴区平原生态林养护及土地流转项目、2023年西瓜商品苗成本补贴、设施蔬菜产业集群、北京市设施农业发展以奖代补、2022年菜田补贴等项目。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自然资源海洋气象等支出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383.06万元，完成调整预算的99.76%。主要用于大兴区房地一体的宅基地、集体建设用地权籍调查和确权登记项目。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住房保障支出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56.06万元，完成调整预算的113.12%。主要用于庞各庄镇老旧小区综合整治项目。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灾害防治及应急管理支出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942.24万元，完成调整预算的38倍。主要用于安全消防经费。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二、政府性基金预算执行情况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庞各庄镇镇级政府性基金预算总收入12785.64万元，其中：政府基金固定补助收入128万元，转移支付收入2092万元，专项转移支付收入10565.64万元。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庞各庄镇镇级政府性基金预算总支出12785.64万元，主要用于庞各庄镇中心卫生院新建工程、庞各庄镇保安庄村等16个村美丽乡村建设等项目。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三、落实区人大预算审查意见情况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</w:t>
      </w:r>
      <w:r>
        <w:rPr>
          <w:rFonts w:ascii="仿宋_GB2312" w:cs="仿宋_GB2312" w:eastAsia="仿宋_GB2312" w:hAnsi="仿宋_GB2312" w:hint="eastAsia"/>
          <w:sz w:val="32"/>
          <w:szCs w:val="32"/>
        </w:rPr>
        <w:t>年，产业发展服务中心（财政）全面贯彻《中华人民共和国预算法》和《北京市预算审查监督条例》，认真落实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人大审查意见，充分发挥财政在构建新发展格局中的引导带动作用，为我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经济社会高质量发展提供有力保障。</w:t>
      </w:r>
    </w:p>
    <w:p>
      <w:pPr>
        <w:pStyle w:val="style94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beforeAutospacing="false" w:after="0" w:afterAutospacing="false" w:lineRule="exact" w:line="560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cs="Times New Roman" w:eastAsia="楷体_GB2312" w:hAnsi="Times New Roman" w:hint="eastAsia"/>
          <w:sz w:val="32"/>
          <w:szCs w:val="32"/>
        </w:rPr>
      </w:pPr>
      <w:r>
        <w:rPr>
          <w:rFonts w:ascii="Times New Roman" w:cs="Times New Roman" w:eastAsia="楷体_GB2312" w:hAnsi="Times New Roman" w:hint="eastAsia"/>
          <w:sz w:val="32"/>
          <w:szCs w:val="32"/>
        </w:rPr>
        <w:t>（一）</w:t>
      </w:r>
      <w:r>
        <w:rPr>
          <w:rFonts w:ascii="Times New Roman" w:cs="Times New Roman" w:eastAsia="楷体_GB2312" w:hAnsi="Times New Roman" w:hint="eastAsia"/>
          <w:sz w:val="32"/>
          <w:szCs w:val="32"/>
          <w:lang w:val="en-US" w:eastAsia="zh-CN"/>
        </w:rPr>
        <w:t>强化财源建设，促进财政增收。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Autospacing="false" w:afterAutospacing="false" w:lineRule="exact" w:line="560"/>
        <w:ind w:left="0" w:leftChars="0" w:right="0" w:rightChars="0" w:firstLine="643" w:firstLineChars="200"/>
        <w:jc w:val="both"/>
        <w:textAlignment w:val="auto"/>
        <w:outlineLvl w:val="9"/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一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是大力开展招商引资。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持续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加大从京外吸引优质税源企业工作力度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。宣传区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“1+N”产业支持政策，推进财源项目招商、洽谈、落地，做好新入企业落地相关服务工作。围绕以现代农业、文旅休闲、航空服务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等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为主导的产业发展方向，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有的放矢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开展招商引资，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高质量推动财源建设工作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是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不断优化对企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服务。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对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新注册优质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企业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进行全天候、全过程、全方位“店小二”式服务，确保企业愿意来、留得住、干得好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。梳理企业纳税信息，对重点纳税企业开展税源动态监测和走访服务，做好“在镇经营、镇外注册纳税”企业治理、“企走事留”清理、重点企业外迁挽留等相关服务工作，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提振企业在我镇发展信心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是强化税源监控管理。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完善与税务、工商等部门联动机制，加强属地管理，及时发现处理财源收入变量，重点监控存在纳税疑点企业，做好协税护税工作。完善“日报周研月调度”工作机制，做好企业经营情况及收入变动原因分析，针对难点、痛点、堵点问题，整合镇域资源，形成解决办法，为企业送政策、解难题。</w:t>
      </w:r>
    </w:p>
    <w:p>
      <w:pPr>
        <w:pStyle w:val="style94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beforeAutospacing="false" w:after="0" w:afterAutospacing="false" w:lineRule="exact" w:line="560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cs="Times New Roman" w:eastAsia="楷体_GB2312" w:hAnsi="Times New Roman" w:hint="eastAsia"/>
          <w:sz w:val="32"/>
          <w:szCs w:val="32"/>
        </w:rPr>
      </w:pPr>
      <w:r>
        <w:rPr>
          <w:rFonts w:ascii="Times New Roman" w:cs="Times New Roman" w:eastAsia="楷体_GB2312" w:hAnsi="Times New Roman" w:hint="eastAsia"/>
          <w:sz w:val="32"/>
          <w:szCs w:val="32"/>
        </w:rPr>
        <w:t>（</w:t>
      </w:r>
      <w:r>
        <w:rPr>
          <w:rFonts w:ascii="Times New Roman" w:cs="Times New Roman" w:eastAsia="楷体_GB2312" w:hAnsi="Times New Roman" w:hint="eastAsia"/>
          <w:sz w:val="32"/>
          <w:szCs w:val="32"/>
          <w:lang w:val="en-US" w:eastAsia="zh-CN"/>
        </w:rPr>
        <w:t>二</w:t>
      </w:r>
      <w:r>
        <w:rPr>
          <w:rFonts w:ascii="Times New Roman" w:cs="Times New Roman" w:eastAsia="楷体_GB2312" w:hAnsi="Times New Roman" w:hint="eastAsia"/>
          <w:sz w:val="32"/>
          <w:szCs w:val="32"/>
        </w:rPr>
        <w:t>）</w:t>
      </w:r>
      <w:r>
        <w:rPr>
          <w:rFonts w:ascii="Times New Roman" w:cs="Times New Roman" w:eastAsia="楷体_GB2312" w:hAnsi="Times New Roman" w:hint="eastAsia"/>
          <w:sz w:val="32"/>
          <w:szCs w:val="32"/>
          <w:shd w:val="clear" w:color="auto" w:fill="auto"/>
          <w:lang w:val="en-US" w:eastAsia="zh-CN"/>
        </w:rPr>
        <w:t>优化支出结构，增进民生福祉。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Autospacing="false" w:afterAutospacing="false" w:lineRule="exact" w:line="560"/>
        <w:ind w:left="0" w:leftChars="0" w:right="0" w:rightChars="0" w:firstLine="643" w:firstLineChars="200"/>
        <w:jc w:val="both"/>
        <w:textAlignment w:val="auto"/>
        <w:outlineLvl w:val="9"/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支持卫生健康事业发展。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坚持人民至上、生命至上原则，发挥财政资金效能，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不断完善公共卫生服务体系、医疗服务体系、急救保障体系与应急管理体系，全面提升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我镇应急事项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防控和救治能力，切实维护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全镇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人民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生命安全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支持文化体育事业发展。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开展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多样化的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群众文化活动，打造一批特色原创节目，推进公益性文化设施免费开放；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支持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完善全民健身服务体系，开展全民体质测试、趣味运动会、健步走等活动，倡导全民健身。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三是不折不扣落实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社会保障政策。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严格按要求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发放各类社保对象补助资金，保障社会弱势群体基本生活。推进养老服务体系建设，支持残疾人事业发展。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四是持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续改善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镇域生态环境质量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支持打好蓝天、碧水、净土保卫战，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扎实推进农村人居环境整治、垃圾分类和大气污染防治工作。着力解决农村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社区侵街占道、私搭乱建、乱堆乱放等问题。完善村规民约，引导广大农民养成良好生活习惯，实现农民文明素质和农村环境面貌双提升。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Autospacing="false" w:afterAutospacing="false" w:lineRule="exact" w:line="560"/>
        <w:ind w:left="0" w:leftChars="0" w:right="0" w:rightChars="0" w:firstLine="640" w:firstLineChars="200"/>
        <w:jc w:val="both"/>
        <w:textAlignment w:val="auto"/>
        <w:outlineLvl w:val="9"/>
        <w:rPr>
          <w:rFonts w:eastAsia="楷体_GB2312" w:hint="eastAsia"/>
          <w:sz w:val="32"/>
          <w:szCs w:val="32"/>
          <w:lang w:eastAsia="zh-CN"/>
        </w:rPr>
      </w:pPr>
      <w:r>
        <w:rPr>
          <w:rFonts w:eastAsia="楷体_GB2312" w:hint="eastAsia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  <w:lang w:val="en-US" w:eastAsia="zh-CN"/>
        </w:rPr>
        <w:t>三</w:t>
      </w:r>
      <w:r>
        <w:rPr>
          <w:rFonts w:eastAsia="楷体_GB2312" w:hint="eastAsia"/>
          <w:sz w:val="32"/>
          <w:szCs w:val="32"/>
        </w:rPr>
        <w:t>）加强</w:t>
      </w:r>
      <w:r>
        <w:rPr>
          <w:rFonts w:eastAsia="楷体_GB2312" w:hint="eastAsia"/>
          <w:sz w:val="32"/>
          <w:szCs w:val="32"/>
          <w:lang w:val="en-US" w:eastAsia="zh-CN"/>
        </w:rPr>
        <w:t>预算</w:t>
      </w:r>
      <w:r>
        <w:rPr>
          <w:rFonts w:eastAsia="楷体_GB2312" w:hint="eastAsia"/>
          <w:sz w:val="32"/>
          <w:szCs w:val="32"/>
        </w:rPr>
        <w:t>管理，</w:t>
      </w:r>
      <w:r>
        <w:rPr>
          <w:rFonts w:eastAsia="楷体_GB2312" w:hint="eastAsia"/>
          <w:sz w:val="32"/>
          <w:szCs w:val="32"/>
          <w:lang w:val="en-US" w:eastAsia="zh-CN"/>
        </w:rPr>
        <w:t>提高财政效能。</w:t>
      </w:r>
    </w:p>
    <w:p>
      <w:pPr>
        <w:pStyle w:val="style66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60"/>
        <w:ind w:left="0" w:leftChars="0" w:right="0" w:rightChars="0" w:firstLine="643" w:firstLineChars="200"/>
        <w:jc w:val="both"/>
        <w:textAlignment w:val="auto"/>
        <w:outlineLvl w:val="9"/>
        <w:rPr>
          <w:rFonts w:ascii="Times New Roman" w:eastAsia="仿宋_GB2312" w:hAnsi="Times New Roman" w:hint="eastAsia"/>
          <w:spacing w:val="-10"/>
          <w:kern w:val="0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一是严格预算资金使用。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细化部门预算编制，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全面梳理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依据和标准，规范申报程序和格式，优先安排</w:t>
      </w:r>
      <w:r>
        <w:rPr>
          <w:rFonts w:ascii="仿宋_GB2312"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“保工资、保运转、保基本民生”类项目资金支出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eastAsia="zh-CN"/>
        </w:rPr>
        <w:t>及影响区域发展的重点改革项目。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严格执行零基预算要求，建立动态调整机制，加大对当年调整、追加项目的财政评估、评审力度，保障预算执行严肃规范。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eastAsia="zh-CN"/>
        </w:rPr>
        <w:t>是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cs="仿宋_GB2312" w:eastAsia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对照市区要求，</w:t>
      </w:r>
      <w:r>
        <w:rPr>
          <w:rFonts w:ascii="仿宋_GB2312"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以资源合理配置和高效利用为目的，</w:t>
      </w:r>
      <w:r>
        <w:rPr>
          <w:rFonts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完善</w:t>
      </w:r>
      <w:r>
        <w:rPr>
          <w:rFonts w:ascii="仿宋_GB2312"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ascii="仿宋_GB2312"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提升财政资金使用效益。</w:t>
      </w:r>
      <w:r>
        <w:rPr>
          <w:rFonts w:ascii="仿宋_GB2312" w:cs="黑体" w:eastAsia="仿宋_GB2312" w:hAnsi="Times New Roman" w:hint="eastAsia"/>
          <w:b/>
          <w:bCs/>
          <w:spacing w:val="0"/>
          <w:sz w:val="32"/>
          <w:szCs w:val="32"/>
          <w:lang w:val="en-US" w:bidi="en-US" w:eastAsia="zh-CN"/>
        </w:rPr>
        <w:t>三是紧密跟进支出进度。</w:t>
      </w:r>
      <w:r>
        <w:rPr>
          <w:rFonts w:ascii="仿宋_GB2312" w:cs="黑体" w:eastAsia="仿宋_GB2312" w:hAnsi="Times New Roman" w:hint="eastAsia"/>
          <w:b w:val="false"/>
          <w:bCs w:val="false"/>
          <w:spacing w:val="0"/>
          <w:sz w:val="32"/>
          <w:szCs w:val="32"/>
          <w:lang w:val="en-US" w:bidi="en-US" w:eastAsia="zh-CN"/>
        </w:rPr>
        <w:t>严格落实专项转移支付下达时限的有关要求，对已明确补助对象和金额的中央、市级、区级专项转移支付，在规定时间内下达</w:t>
      </w:r>
      <w:r>
        <w:rPr>
          <w:rFonts w:ascii="仿宋_GB2312" w:cs="黑体" w:eastAsia="仿宋_GB2312" w:hAnsi="Times New Roman" w:hint="eastAsia"/>
          <w:spacing w:val="0"/>
          <w:sz w:val="32"/>
          <w:szCs w:val="32"/>
          <w:lang w:val="en-US" w:bidi="en-US" w:eastAsia="zh-CN"/>
        </w:rPr>
        <w:t>预算科室，在确保资金规范使用的情况下，加强预算执行分析，做到支出进度不低于时间进度。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各位代表，202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</w:t>
      </w:r>
      <w:r>
        <w:rPr>
          <w:rFonts w:ascii="仿宋_GB2312" w:cs="仿宋_GB2312" w:eastAsia="仿宋_GB2312" w:hAnsi="仿宋_GB2312" w:hint="eastAsia"/>
          <w:sz w:val="32"/>
          <w:szCs w:val="32"/>
        </w:rPr>
        <w:t>年,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政府及各组成部门在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</w:rPr>
        <w:t>人大的监督指导下，全面落实各项工作部署，提高财政资金保障能力，圆满完成全年财政工作任务。在取得一定成效的同时，我们清醒地看到，财政工作仍面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临一些困难和问题，主要表现在：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highlight w:val="none"/>
          <w:lang w:val="en-US" w:eastAsia="zh-CN"/>
        </w:rPr>
        <w:t>一是财政收入未能完成区级任务数。</w:t>
      </w:r>
      <w:r>
        <w:rPr>
          <w:rFonts w:ascii="仿宋_GB2312" w:cs="仿宋_GB2312" w:eastAsia="仿宋_GB2312" w:hAnsi="仿宋_GB2312" w:hint="eastAsia"/>
          <w:b w:val="false"/>
          <w:bCs w:val="false"/>
          <w:spacing w:val="-10"/>
          <w:kern w:val="0"/>
          <w:sz w:val="32"/>
          <w:szCs w:val="32"/>
          <w:shd w:val="clear" w:color="auto" w:fill="auto"/>
          <w:lang w:val="en-US" w:bidi="ar-SA" w:eastAsia="zh-CN"/>
        </w:rPr>
        <w:t>受企业退税、纳税企业注销、土增税清算周期较长、储备项目落地周期长等多重因素影响，2024年我镇实际完成财政收入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11516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shd w:val="clear" w:color="auto" w:fill="auto"/>
        </w:rPr>
        <w:t>万</w:t>
      </w:r>
      <w:r>
        <w:rPr>
          <w:rFonts w:ascii="仿宋_GB2312" w:cs="仿宋_GB2312" w:eastAsia="仿宋_GB2312" w:hAnsi="仿宋_GB2312" w:hint="eastAsia"/>
          <w:b w:val="false"/>
          <w:bCs w:val="false"/>
          <w:spacing w:val="-10"/>
          <w:kern w:val="0"/>
          <w:sz w:val="32"/>
          <w:szCs w:val="32"/>
          <w:shd w:val="clear" w:color="auto" w:fill="auto"/>
          <w:lang w:val="en-US" w:bidi="ar-SA" w:eastAsia="zh-CN"/>
        </w:rPr>
        <w:t>元，未能完成区级19293万元财政任务。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highlight w:val="none"/>
          <w:lang w:val="en-US" w:eastAsia="zh-CN"/>
        </w:rPr>
        <w:t>二是“三保”支出预算压力较大。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人员支出预算包括行政人员、事业编制人员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eastAsia="zh-CN"/>
        </w:rPr>
        <w:t>、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村（居）委干部工资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以及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合同制聘用人员、政</w:t>
      </w:r>
      <w:r>
        <w:rPr>
          <w:rFonts w:ascii="仿宋_GB2312" w:cs="仿宋_GB2312" w:eastAsia="仿宋_GB2312" w:hAnsi="仿宋_GB2312" w:hint="eastAsia"/>
          <w:sz w:val="32"/>
          <w:szCs w:val="32"/>
        </w:rPr>
        <w:t>府购买服务项目聘用人员经费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同时，</w:t>
      </w:r>
      <w:r>
        <w:rPr>
          <w:rFonts w:ascii="仿宋_GB2312" w:cs="仿宋_GB2312" w:eastAsia="仿宋_GB2312" w:hAnsi="仿宋_GB2312" w:hint="eastAsia"/>
          <w:sz w:val="32"/>
          <w:szCs w:val="32"/>
        </w:rPr>
        <w:t>项目支出预算中招商引资、市政绿化、社会稳定以及镇街基础设施建设等工作项目繁多，经济支出压力巨大。对此，我们将高度重视，采取有力措施，努力加以解决。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jc w:val="center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第二部分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 xml:space="preserve">  </w:t>
      </w:r>
      <w:r>
        <w:rPr>
          <w:rFonts w:ascii="黑体" w:cs="黑体" w:eastAsia="黑体" w:hAnsi="黑体" w:hint="eastAsia"/>
          <w:sz w:val="32"/>
          <w:szCs w:val="32"/>
        </w:rPr>
        <w:t>202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5</w:t>
      </w:r>
      <w:r>
        <w:rPr>
          <w:rFonts w:ascii="黑体" w:cs="黑体" w:eastAsia="黑体" w:hAnsi="黑体" w:hint="eastAsia"/>
          <w:sz w:val="32"/>
          <w:szCs w:val="32"/>
        </w:rPr>
        <w:t>年预算草案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</w:rPr>
        <w:t>年我们将始终坚持习近平新时代中国特色社会主义思想，认真落实市委市政府各项决策部署，坚持以政领财、以财辅政，推动新时代财政事业发展达到新水平。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  <w:shd w:val="clear" w:color="auto" w:fill="auto"/>
        </w:rPr>
      </w:pPr>
      <w:r>
        <w:rPr>
          <w:rFonts w:ascii="黑体" w:cs="黑体" w:eastAsia="黑体" w:hAnsi="黑体" w:hint="eastAsia"/>
          <w:sz w:val="32"/>
          <w:szCs w:val="32"/>
          <w:shd w:val="clear" w:color="auto" w:fill="auto"/>
        </w:rPr>
        <w:t>一、202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</w:rPr>
        <w:t>年我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  <w:lang w:val="en-US" w:eastAsia="zh-CN"/>
        </w:rPr>
        <w:t>镇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</w:rPr>
        <w:t>财政收支形势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从收入形势看，财源建设成果初步显现，产业转型升级逐渐步入加速轨道，但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受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实施减税降费政策、重点财源储备项目建设周期长等因素影响，财政收入将继续承压运行。从支出形势看，各领域对财政资金需求仍呈快速增长态势，实施“十四五”规划、培育高精尖产业等重点任务资金需求旺盛，基本民生保障、城市运维等刚性支出保障压力增大。综合来看，202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年财政收支依然持续紧平衡状态。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  <w:shd w:val="clear" w:color="auto" w:fill="auto"/>
        </w:rPr>
      </w:pPr>
      <w:r>
        <w:rPr>
          <w:rFonts w:ascii="黑体" w:cs="黑体" w:eastAsia="黑体" w:hAnsi="黑体" w:hint="eastAsia"/>
          <w:sz w:val="32"/>
          <w:szCs w:val="32"/>
          <w:shd w:val="clear" w:color="auto" w:fill="auto"/>
        </w:rPr>
        <w:t>二、202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ascii="黑体" w:cs="黑体" w:eastAsia="黑体" w:hAnsi="黑体" w:hint="eastAsia"/>
          <w:sz w:val="32"/>
          <w:szCs w:val="32"/>
          <w:shd w:val="clear" w:color="auto" w:fill="auto"/>
        </w:rPr>
        <w:t>年预算编制和财政工作的指导思想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年我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预算编制和财政工作的指导思想是:以习近平新时代中国特色社会主义思想为指导，全面贯彻党的二十大和二十届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eastAsia="zh-CN"/>
        </w:rPr>
        <w:t>三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中全会精神，落实中央经济工作会议部署，深入贯彻习近平总书记对北京重要讲话精神，认真落实市委市政府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eastAsia="zh-CN"/>
        </w:rPr>
        <w:t>、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区委区政府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决策部署，在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镇党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委的正确领导下，坚持稳中求进工作总基调，完整、准确、全面贯彻新发展理念，加快构建新发展格局，着力推动高质量发展，积极的财政政策适度加力、提质增效，落实好结构性减税降费政策，坚持党政机关过紧日子，大力优化财政支出结构，兜牢“三保”底线，加强政府债务管理，严肃财经纪律，提高财政资金绩效，切实增强经济活力、防范化解风险、改善社会预期，巩固和增强经济回升向好态势，持续推动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镇域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经济实现质的有效提升和量的合理增长，增进民生福祉，保持社会稳定，全力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  <w:lang w:val="en-US" w:eastAsia="zh-CN"/>
        </w:rPr>
        <w:t>保障镇域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auto"/>
        </w:rPr>
        <w:t>经济社会高质量发展。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三、202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5</w:t>
      </w:r>
      <w:r>
        <w:rPr>
          <w:rFonts w:ascii="黑体" w:cs="黑体" w:eastAsia="黑体" w:hAnsi="黑体" w:hint="eastAsia"/>
          <w:sz w:val="32"/>
          <w:szCs w:val="32"/>
        </w:rPr>
        <w:t>年收支预算的总体安排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  <w:t>（一）一般公共预算总体安排情况</w:t>
      </w: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2025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年庞各庄镇一般公共预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算总收入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预计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为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cs="仿宋_GB2312" w:eastAsia="仿宋_GB2312" w:hAnsi="仿宋_GB2312" w:hint="default"/>
          <w:color w:val="auto"/>
          <w:sz w:val="32"/>
          <w:szCs w:val="32"/>
          <w:highlight w:val="none"/>
          <w:lang w:val="en-US" w:eastAsia="zh-CN"/>
        </w:rPr>
        <w:t>6245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万元，其中：一般公共预算财政收入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预计19293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万元，体制补助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3862万元，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固定补助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9456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eastAsia="zh-CN"/>
        </w:rPr>
        <w:t>万元，其他一般转移支付收入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3123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万元，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提前下达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专项转移支付收入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18954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万元，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提前下达一般转移支付972万元，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上年结转收入</w:t>
      </w:r>
      <w:r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  <w:t>585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万元。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一般公共预算总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支出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  <w:t>6245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万元。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其中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：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一般公共预算支出51359万元，上解支出</w:t>
      </w:r>
      <w:r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  <w:t>4886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万元。一般公共预算收支平衡。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预备费514万元，占一般公共预算支出的1%，符合《中华人民共和国预算法》1%-3%的要求。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2025年我镇三公经费财政拨款支出预算安排57.38万元，较上年略有下降。其中:因公出国（境）费0万元;公务接待费3.5万元;公务用车购置及运行维护费53.88万元。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2025年我镇“三保”支出预算安排13322万元。其中：保基本民生支出2589万元，保工资支出10046万元，保运转支出687万元，预计能覆盖我镇“三保”保障需求。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主要支出科目安排情况如下: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一般公共服务支出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9498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主要用于在职在编人员工资及公用经费，社区村党组织服务群众经费，政府保安、保洁、物业等项目支出。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文化旅游体育与传媒支出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251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主要用于宣传文体、三节一赛等项目。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社会保障和就业支出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5526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主要用于在职在编人员社会保障缴费、民政经费、居委会人员工资、居委会运转等经费、大学生支农人员经费、公益性就业岗位补贴等项目。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卫生健康支出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4597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主要用于卫生院在职在编人员工资经费、卫生项目经费、基本公共卫生经费、基层医疗卫生服务能力提升等项目。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节能环保支出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1292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。主要用于202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年大气精细化治理项目、大气污染防治等项目。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城乡社区支出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9537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主要用于农村地区保洁员工资、疏解整治促提升等项目。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农林水支出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20613</w:t>
      </w:r>
      <w:r>
        <w:rPr>
          <w:rFonts w:ascii="仿宋_GB2312" w:cs="仿宋_GB2312" w:eastAsia="仿宋_GB2312" w:hAnsi="仿宋_GB2312" w:hint="eastAsia"/>
          <w:sz w:val="32"/>
          <w:szCs w:val="32"/>
        </w:rPr>
        <w:t>万元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主要用于大兴区平原生态林养护及土地流转项目、庞各庄镇韩家铺村花园村庄建设等项目。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3" w:firstLineChars="200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楷体_GB2312" w:cs="楷体_GB2312" w:eastAsia="楷体_GB2312" w:hAnsi="楷体_GB2312" w:hint="eastAsia"/>
          <w:b/>
          <w:bCs/>
          <w:sz w:val="32"/>
          <w:szCs w:val="32"/>
          <w:lang w:eastAsia="zh-CN"/>
        </w:rPr>
        <w:t>住房保障支出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45万元。主要用于2025年庞各庄镇老旧小区综合整治项目。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  <w:t>（二）政府性基金预算总体安排情况</w:t>
      </w: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庞各庄镇镇级政府性基金预算总收入2220万元，其中：政府基金固定补助收入128万元，转移支付收入2092万元。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提前下达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专项转移支付收入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10475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eastAsia="zh-CN"/>
        </w:rPr>
        <w:t>万元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庞各庄镇镇级政府性基金预算总支出12695万元，主要用于农村基础设施建设支出、城市建设</w:t>
      </w:r>
      <w:bookmarkStart w:id="0" w:name="_GoBack"/>
      <w:bookmarkEnd w:id="0"/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支出等。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jc w:val="left"/>
        <w:textAlignment w:val="auto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四、切实做好202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5</w:t>
      </w:r>
      <w:r>
        <w:rPr>
          <w:rFonts w:ascii="黑体" w:cs="黑体" w:eastAsia="黑体" w:hAnsi="黑体" w:hint="eastAsia"/>
          <w:sz w:val="32"/>
          <w:szCs w:val="32"/>
        </w:rPr>
        <w:t>年财政管理和预算执行工作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</w:rPr>
        <w:t>年，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将继续坚持以习近平新时代中国特色社会主义思想为指导，全面贯彻落实党的二十大、中央经济工作会议、全国财政工作会、市委二次全会等重要会议精神，坚持稳中求进、以进促稳、先立后破，贯彻落实积极的财政政策要适度加力、提质增效工作要求，在支出上持续发力，在政策上强化落实，在运行中严防风险，为推动镇域经济社会高质量发展贡献财政力量。</w:t>
      </w:r>
    </w:p>
    <w:p>
      <w:pPr>
        <w:pStyle w:val="style94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beforeAutospacing="false" w:after="0" w:afterAutospacing="false" w:lineRule="exact" w:line="560"/>
        <w:ind w:left="0" w:leftChars="0" w:right="0" w:rightChars="0" w:firstLine="640" w:firstLineChars="200"/>
        <w:jc w:val="both"/>
        <w:textAlignment w:val="auto"/>
        <w:rPr>
          <w:rFonts w:ascii="Times New Roman" w:cs="Times New Roman" w:eastAsia="楷体_GB2312" w:hAnsi="Times New Roman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</w:pPr>
      <w:r>
        <w:rPr>
          <w:rFonts w:ascii="Times New Roman" w:cs="Times New Roman" w:eastAsia="楷体_GB2312" w:hAnsi="Times New Roman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（一）积极组织财政收入。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一是持续做好对企服务工作。提升服务意识，优化对企服务。严格落实领导联系企业机制，帮助企业用好用足惠企政策，解决实际生产经营困难。“一企一策”开展精准服务，不断提升产业核心竞争力。二是继续做好招商引资工作。充分用好联东U谷、中化岩土、兴展启航园3个产业园区，以及工业园区闲置空间，着力吸引生物医药、医疗美容、科技研发、航空航天等业态集聚。主动对接4个区级驻点招商组，积极组织镇级工作人员和企业招商人员赴京外开展招商引资工作，时刻关注有意向落户企业的发展动态和现实需求。三是强化税源监控管理工作。加强预期管理，围绕重点行业、重点税种对辖区重点税源企业开展税源摸排工作，做到应收尽收。完善与税务、工商等部门联动机制，共享信息资源，加强属地管理，重点监控存在纳税疑点企业，做好协税护税工作。</w:t>
      </w:r>
    </w:p>
    <w:p>
      <w:pPr>
        <w:pStyle w:val="style94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beforeAutospacing="false" w:after="0" w:afterAutospacing="false" w:lineRule="exact" w:line="560"/>
        <w:ind w:left="0" w:leftChars="0" w:right="0" w:rightChars="0" w:firstLine="640" w:firstLineChars="200"/>
        <w:jc w:val="both"/>
        <w:textAlignment w:val="auto"/>
        <w:rPr>
          <w:rFonts w:ascii="Times New Roman" w:cs="Times New Roman" w:eastAsia="楷体_GB2312" w:hAnsi="Times New Roman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</w:pPr>
      <w:r>
        <w:rPr>
          <w:rFonts w:ascii="Times New Roman" w:cs="Times New Roman" w:eastAsia="楷体_GB2312" w:hAnsi="Times New Roman" w:hint="eastAsia"/>
          <w:b w:val="false"/>
          <w:bCs w:val="false"/>
          <w:sz w:val="32"/>
          <w:szCs w:val="32"/>
          <w:shd w:val="clear" w:color="auto" w:fill="auto"/>
          <w:lang w:val="en-US" w:eastAsia="zh-CN"/>
        </w:rPr>
        <w:t>（二）继续优化支出结构。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00" w:firstLineChars="200"/>
        <w:jc w:val="both"/>
        <w:textAlignment w:val="auto"/>
        <w:outlineLvl w:val="9"/>
        <w:rPr>
          <w:rFonts w:ascii="仿宋_GB2312" w:cs="仿宋_GB2312" w:eastAsia="仿宋_GB2312" w:hAnsi="仿宋_GB2312" w:hint="eastAsia"/>
          <w:spacing w:val="-10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ascii="仿宋_GB2312" w:cs="仿宋_GB2312" w:eastAsia="仿宋_GB2312" w:hAnsi="仿宋_GB2312" w:hint="eastAsia"/>
          <w:b w:val="false"/>
          <w:bCs w:val="false"/>
          <w:spacing w:val="-10"/>
          <w:kern w:val="0"/>
          <w:sz w:val="32"/>
          <w:szCs w:val="32"/>
          <w:shd w:val="clear" w:color="auto" w:fill="auto"/>
          <w:lang w:val="en-US" w:eastAsia="zh-CN"/>
        </w:rPr>
        <w:t>一是统筹财力保障重点。全面梳理全镇重点工作，统筹安排体制资金，优先保障“三保”资金支出，坚持财力向民生倾斜，树牢“政府过紧日子”思想，进一步压缩行政运行支出，严控三公经费，为镇级重点工程项目实施提供财力支撑。二是严格做好预算执行。</w:t>
      </w:r>
      <w:r>
        <w:rPr>
          <w:rFonts w:ascii="仿宋_GB2312" w:eastAsia="仿宋_GB2312" w:hint="eastAsia"/>
          <w:b w:val="false"/>
          <w:bCs w:val="false"/>
          <w:color w:val="auto"/>
          <w:sz w:val="32"/>
          <w:szCs w:val="32"/>
          <w:shd w:val="clear" w:color="auto" w:fill="auto"/>
          <w:lang w:val="en-US" w:eastAsia="zh-CN"/>
        </w:rPr>
        <w:t>在保证资金使用安全规范条件下，合理加快预算支出执行进度，</w:t>
      </w:r>
      <w:r>
        <w:rPr>
          <w:rFonts w:ascii="仿宋_GB2312" w:cs="仿宋_GB2312" w:eastAsia="仿宋_GB2312" w:hAnsi="仿宋_GB2312" w:hint="eastAsia"/>
          <w:b w:val="false"/>
          <w:bCs w:val="false"/>
          <w:spacing w:val="-10"/>
          <w:kern w:val="0"/>
          <w:sz w:val="32"/>
          <w:szCs w:val="32"/>
          <w:shd w:val="clear" w:color="auto" w:fill="auto"/>
          <w:lang w:val="en-US" w:eastAsia="zh-CN"/>
        </w:rPr>
        <w:t>做到支出进度不低于时间进度，加强预算执行分析，</w:t>
      </w:r>
      <w:r>
        <w:rPr>
          <w:rFonts w:ascii="仿宋_GB2312" w:eastAsia="仿宋_GB2312" w:hint="eastAsia"/>
          <w:b w:val="false"/>
          <w:bCs w:val="false"/>
          <w:color w:val="auto"/>
          <w:sz w:val="32"/>
          <w:szCs w:val="32"/>
          <w:shd w:val="clear" w:color="auto" w:fill="auto"/>
          <w:lang w:val="en-US" w:eastAsia="zh-CN"/>
        </w:rPr>
        <w:t>促进财政资金尽快发挥政策效应。</w:t>
      </w:r>
      <w:r>
        <w:rPr>
          <w:rFonts w:ascii="仿宋_GB2312" w:cs="仿宋_GB2312" w:eastAsia="仿宋_GB2312" w:hAnsi="仿宋_GB2312" w:hint="eastAsia"/>
          <w:b w:val="false"/>
          <w:bCs w:val="false"/>
          <w:spacing w:val="-10"/>
          <w:kern w:val="0"/>
          <w:sz w:val="32"/>
          <w:szCs w:val="32"/>
          <w:shd w:val="clear" w:color="auto" w:fill="auto"/>
          <w:lang w:val="en-US" w:eastAsia="zh-CN"/>
        </w:rPr>
        <w:t>三是做好资金转移支付。严格落实专项转移支付下达时限有关要求，对已明确补助对象和金额的中央、市级和区级专项转移支付，在规定时间内下达到预算单位。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</w:rPr>
        <w:t>（三）完善财政监管体系</w:t>
      </w: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</w:pP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一是强化专项资金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和直达资金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管理力度。严格按照专项资金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和直达资金管理办法，在规定的用途和时限范围内用好专项资金和直达资金。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二是提升财政信息公开质量。明确政府信息公开主体责任，对财政预决算、直达资金、三公经费等内容在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政府网站上及时公示，确保公开数据完整、真实、准确，着力建设“透明财政”。三是自觉接受人大监督。强化主动接受人大监督意识，自觉接受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镇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人大监督，认真落实人大决定、决议。积极办理人大代表提案，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加强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</w:rPr>
        <w:t>沟通协调，有效提升提案办理质量。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各位代表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做好</w:t>
      </w:r>
      <w:r>
        <w:rPr>
          <w:rFonts w:ascii="仿宋_GB2312" w:cs="仿宋_GB2312" w:eastAsia="仿宋_GB2312" w:hAnsi="仿宋_GB2312" w:hint="eastAsia"/>
          <w:sz w:val="32"/>
          <w:szCs w:val="32"/>
        </w:rPr>
        <w:t>202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</w:t>
      </w:r>
      <w:r>
        <w:rPr>
          <w:rFonts w:ascii="仿宋_GB2312" w:cs="仿宋_GB2312" w:eastAsia="仿宋_GB2312" w:hAnsi="仿宋_GB2312" w:hint="eastAsia"/>
          <w:sz w:val="32"/>
          <w:szCs w:val="32"/>
        </w:rPr>
        <w:t>年财政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工作</w:t>
      </w:r>
      <w:r>
        <w:rPr>
          <w:rFonts w:ascii="仿宋_GB2312" w:cs="仿宋_GB2312" w:eastAsia="仿宋_GB2312" w:hAnsi="仿宋_GB2312" w:hint="eastAsia"/>
          <w:sz w:val="32"/>
          <w:szCs w:val="32"/>
        </w:rPr>
        <w:t>任务艰巨、使命光荣。我们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要</w:t>
      </w:r>
      <w:r>
        <w:rPr>
          <w:rFonts w:ascii="仿宋_GB2312" w:cs="仿宋_GB2312" w:eastAsia="仿宋_GB2312" w:hAnsi="仿宋_GB2312" w:hint="eastAsia"/>
          <w:sz w:val="32"/>
          <w:szCs w:val="32"/>
        </w:rPr>
        <w:t>坚持以习近平新时代中国特色社会主义思想为指导，接续奋斗、砥砺前行，推动财政保障能力达到新水平，财政治理效能实现新突破，全力服务保障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全镇</w:t>
      </w:r>
      <w:r>
        <w:rPr>
          <w:rFonts w:ascii="仿宋_GB2312" w:cs="仿宋_GB2312" w:eastAsia="仿宋_GB2312" w:hAnsi="仿宋_GB2312" w:hint="eastAsia"/>
          <w:sz w:val="32"/>
          <w:szCs w:val="32"/>
        </w:rPr>
        <w:t>中心工作，努力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让庞各庄在</w:t>
      </w:r>
      <w:r>
        <w:rPr>
          <w:rFonts w:ascii="仿宋_GB2312" w:cs="仿宋_GB2312" w:eastAsia="仿宋_GB2312" w:hAnsi="仿宋_GB2312" w:hint="eastAsia"/>
          <w:sz w:val="32"/>
          <w:szCs w:val="32"/>
        </w:rPr>
        <w:t>新的赶考之路上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步伐走得更加坚实、更有力量、更见神采、更显底气！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以上报告，请予审议。</w:t>
      </w:r>
    </w:p>
    <w:sectPr>
      <w:footerReference w:type="default" r:id="rId2"/>
      <w:pgSz w:w="11906" w:h="16838" w:orient="portrait"/>
      <w:pgMar w:top="2098" w:right="1474" w:bottom="1984" w:left="1587" w:header="851" w:footer="1417" w:gutter="0"/>
      <w:pgNumType w:fmt="numberInDash"/>
      <w:cols w:space="0" w:num="1"/>
      <w:rtlGutter w:val="false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宋体"/>
    <w:panose1 w:val="02010600030000010101"/>
    <w:charset w:val="7a"/>
    <w:family w:val="auto"/>
    <w:pitch w:val="default"/>
    <w:sig w:usb0="00000003" w:usb1="080E0000" w:usb2="00000000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黑体"/>
    <w:panose1 w:val="02010600030000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Courier New"/>
    <w:panose1 w:val="02070309020000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_GB2312"/>
    <w:panose1 w:val="02010609030000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小标宋简体"/>
    <w:panose1 w:val="02010601030000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_GB2312"/>
    <w:panose1 w:val="02010609030000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style32"/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cs="宋体" w:eastAsia="宋体" w:hAnsi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cs="宋体" w:eastAsia="宋体" w:hAnsi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doNotDisplayPageBoundaries/>
  <w:embedTrueTypeFonts/>
  <w:saveSubset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28">
    <w:name w:val="Normal Indent"/>
    <w:basedOn w:val="style0"/>
    <w:next w:val="style26"/>
    <w:qFormat/>
    <w:uiPriority w:val="0"/>
    <w:pPr>
      <w:spacing w:lineRule="exact" w:line="560"/>
      <w:ind w:firstLine="420" w:firstLineChars="200"/>
    </w:pPr>
    <w:rPr>
      <w:rFonts w:ascii="仿宋_GB2312" w:hAnsi="仿宋_GB2312"/>
    </w:rPr>
  </w:style>
  <w:style w:type="paragraph" w:styleId="style26">
    <w:name w:val="toc 8"/>
    <w:next w:val="style0"/>
    <w:qFormat/>
    <w:uiPriority w:val="0"/>
    <w:pPr>
      <w:wordWrap w:val="false"/>
      <w:ind w:left="2550"/>
      <w:jc w:val="both"/>
    </w:pPr>
    <w:rPr>
      <w:rFonts w:ascii="Times New Roman" w:cs="Times New Roman" w:eastAsia="宋体" w:hAnsi="Times New Roman"/>
      <w:sz w:val="21"/>
      <w:szCs w:val="22"/>
      <w:lang w:val="en-US" w:bidi="ar-SA" w:eastAsia="zh-CN"/>
    </w:rPr>
  </w:style>
  <w:style w:type="paragraph" w:styleId="style66">
    <w:name w:val="Body Text"/>
    <w:basedOn w:val="style0"/>
    <w:next w:val="style4097"/>
    <w:qFormat/>
    <w:uiPriority w:val="0"/>
    <w:pPr>
      <w:spacing w:after="120"/>
    </w:pPr>
    <w:rPr>
      <w:rFonts w:ascii="Calibri" w:cs="黑体" w:hAnsi="Calibri"/>
    </w:rPr>
  </w:style>
  <w:style w:type="paragraph" w:customStyle="1" w:styleId="style4097">
    <w:name w:val="TOC 11"/>
    <w:next w:val="style0"/>
    <w:qFormat/>
    <w:uiPriority w:val="0"/>
    <w:pPr>
      <w:wordWrap w:val="false"/>
      <w:jc w:val="both"/>
    </w:pPr>
    <w:rPr>
      <w:rFonts w:ascii="Times New Roman" w:cs="Times New Roman" w:eastAsia="宋体" w:hAnsi="Times New Roman"/>
      <w:sz w:val="21"/>
      <w:szCs w:val="22"/>
      <w:lang w:val="en-US" w:bidi="ar-SA" w:eastAsia="zh-CN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94">
    <w:name w:val="Normal (Web)"/>
    <w:basedOn w:val="style0"/>
    <w:next w:val="style94"/>
    <w:qFormat/>
    <w:uiPriority w:val="0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098">
    <w:name w:val="目录 11"/>
    <w:next w:val="style0"/>
    <w:qFormat/>
    <w:uiPriority w:val="99"/>
    <w:pPr>
      <w:wordWrap w:val="false"/>
      <w:jc w:val="both"/>
    </w:pPr>
    <w:rPr>
      <w:rFonts w:ascii="Times New Roman" w:cs="Times New Roman" w:eastAsia="宋体" w:hAnsi="Times New Roman"/>
      <w:kern w:val="0"/>
      <w:sz w:val="21"/>
      <w:szCs w:val="22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6128</Words>
  <Pages>31</Pages>
  <Characters>6619</Characters>
  <Application>WPS Office</Application>
  <DocSecurity>0</DocSecurity>
  <Paragraphs>80</Paragraphs>
  <ScaleCrop>false</ScaleCrop>
  <LinksUpToDate>false</LinksUpToDate>
  <CharactersWithSpaces>6621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2025-01-17T16:06:41Z</dcterms:created>
  <dc:creator>张权</dc:creator>
  <lastModifiedBy>2211133C</lastModifiedBy>
  <dcterms:modified xsi:type="dcterms:W3CDTF">2025-01-17T16:06:41Z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385b7f3bdec74ae4b99a33ca9d220494</vt:lpwstr>
  </property>
</Properties>
</file>