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北京市大兴区黄村镇平安建设办公室（综治办）</w:t>
      </w:r>
    </w:p>
    <w:p>
      <w:pPr>
        <w:jc w:val="both"/>
        <w:rPr>
          <w:rFonts w:hint="eastAsia"/>
          <w:sz w:val="32"/>
          <w:szCs w:val="32"/>
          <w:lang w:val="en-US" w:eastAsia="zh-CN"/>
        </w:rPr>
      </w:pPr>
      <w:r>
        <w:rPr>
          <w:rFonts w:hint="eastAsia"/>
          <w:sz w:val="32"/>
          <w:szCs w:val="32"/>
          <w:lang w:val="en-US" w:eastAsia="zh-CN"/>
        </w:rPr>
        <w:t>——城乡管理指挥中心及网格化管理运行服务项目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项目申报单位（科室）：平安建设办公室（综治办）</w:t>
      </w:r>
    </w:p>
    <w:p>
      <w:pPr>
        <w:rPr>
          <w:rFonts w:hint="eastAsia"/>
          <w:sz w:val="32"/>
          <w:szCs w:val="32"/>
          <w:lang w:val="en-US" w:eastAsia="zh-CN"/>
        </w:rPr>
      </w:pPr>
      <w:r>
        <w:rPr>
          <w:rFonts w:hint="eastAsia"/>
          <w:sz w:val="32"/>
          <w:szCs w:val="32"/>
          <w:lang w:val="en-US" w:eastAsia="zh-CN"/>
        </w:rPr>
        <w:t>主管部门（区直或镇）：黄村镇人民政府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项目申报时间：2024年9月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8"/>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城乡管理指挥中心及网格化管理运行服务项目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平安建设办公室（综治办）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陈冲</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69265020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color w:val="auto"/>
                <w:sz w:val="24"/>
                <w:szCs w:val="24"/>
                <w:lang w:val="en-US" w:eastAsia="zh-CN"/>
              </w:rPr>
              <w:t>服务外包项目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color w:val="auto"/>
                <w:sz w:val="24"/>
                <w:szCs w:val="24"/>
                <w:lang w:val="en-US" w:eastAsia="zh-CN"/>
              </w:rPr>
              <w:t>服务外包项目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color w:val="auto"/>
                <w:sz w:val="24"/>
                <w:szCs w:val="24"/>
                <w:lang w:val="en-US" w:eastAsia="zh-CN"/>
              </w:rPr>
              <w:t>服务外包项目经费</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color w:val="auto"/>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是</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default"/>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eastAsia="宋体"/>
                <w:b w:val="0"/>
                <w:bCs w:val="0"/>
                <w:color w:val="auto"/>
                <w:sz w:val="28"/>
                <w:szCs w:val="28"/>
                <w:lang w:val="en-US" w:eastAsia="zh-CN"/>
              </w:rPr>
            </w:pPr>
            <w:r>
              <w:rPr>
                <w:rFonts w:hint="eastAsia" w:eastAsia="宋体"/>
                <w:b w:val="0"/>
                <w:bCs w:val="0"/>
                <w:color w:val="auto"/>
                <w:sz w:val="28"/>
                <w:szCs w:val="28"/>
                <w:lang w:val="en-US" w:eastAsia="zh-CN"/>
              </w:rPr>
              <w:t>为推进城市网格化管理，进一步落实辖区社会综合治理、智慧城市建设、平安建设、“热线+网格”为民服务模式等相关工作要求，加强辖区应急事件处置、日常案件的发现、指挥调度、处置能力，提升辖区社会治理现代化水平。</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b w:val="0"/>
                <w:bCs w:val="0"/>
                <w:color w:val="auto"/>
                <w:sz w:val="28"/>
                <w:szCs w:val="28"/>
                <w:lang w:val="en-US" w:eastAsia="zh-CN"/>
              </w:rPr>
            </w:pPr>
            <w:r>
              <w:rPr>
                <w:rFonts w:hint="eastAsia" w:eastAsia="宋体"/>
                <w:b w:val="0"/>
                <w:bCs w:val="0"/>
                <w:color w:val="auto"/>
                <w:sz w:val="28"/>
                <w:szCs w:val="28"/>
                <w:lang w:val="en-US" w:eastAsia="zh-CN"/>
              </w:rPr>
              <w:t>组建城乡管理指挥中心指挥调度、网格化内勤、网格化巡查三支队伍，做好视频巡控、事件处理、协调督办、数据分析、系统值守、网格巡查、问题上报、案件办理等工作</w:t>
            </w:r>
            <w:r>
              <w:rPr>
                <w:rFonts w:hint="eastAsia"/>
                <w:b w:val="0"/>
                <w:bCs w:val="0"/>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b w:val="0"/>
                <w:bCs w:val="0"/>
                <w:sz w:val="24"/>
                <w:szCs w:val="24"/>
                <w:lang w:val="en-US" w:eastAsia="zh-CN"/>
              </w:rPr>
            </w:pPr>
            <w:r>
              <w:rPr>
                <w:rFonts w:hint="eastAsia" w:eastAsia="宋体"/>
                <w:b w:val="0"/>
                <w:bCs w:val="0"/>
                <w:color w:val="auto"/>
                <w:sz w:val="28"/>
                <w:szCs w:val="28"/>
                <w:lang w:val="en-US" w:eastAsia="zh-CN"/>
              </w:rPr>
              <w:t>做好为民服务工作，不断提升城市精细化管理水平，提高社会治理能力现代化水平。</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单位：平安建设办公室（综治办）                                     万元（保留六位小数）</w:t>
      </w:r>
    </w:p>
    <w:tbl>
      <w:tblPr>
        <w:tblStyle w:val="8"/>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95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7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95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7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指挥中心运行人员</w:t>
            </w:r>
          </w:p>
        </w:tc>
        <w:tc>
          <w:tcPr>
            <w:tcW w:w="95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镇级自筹</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人员服务费</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22人</w:t>
            </w: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8500元/人/月</w:t>
            </w: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 w:hRule="atLeast"/>
        </w:trPr>
        <w:tc>
          <w:tcPr>
            <w:tcW w:w="107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网格化人员</w:t>
            </w:r>
          </w:p>
        </w:tc>
        <w:tc>
          <w:tcPr>
            <w:tcW w:w="952" w:type="dxa"/>
            <w:vAlign w:val="center"/>
          </w:tcPr>
          <w:p>
            <w:pPr>
              <w:jc w:val="left"/>
              <w:rPr>
                <w:rFonts w:hint="eastAsia" w:ascii="宋体" w:hAnsi="宋体" w:eastAsia="宋体" w:cs="宋体"/>
                <w:b w:val="0"/>
                <w:bCs w:val="0"/>
                <w:color w:val="auto"/>
                <w:sz w:val="24"/>
                <w:szCs w:val="24"/>
                <w:lang w:val="en-US" w:eastAsia="zh-CN"/>
              </w:rPr>
            </w:pPr>
          </w:p>
        </w:tc>
        <w:tc>
          <w:tcPr>
            <w:tcW w:w="1012" w:type="dxa"/>
            <w:vAlign w:val="center"/>
          </w:tcPr>
          <w:p>
            <w:pPr>
              <w:jc w:val="left"/>
              <w:rPr>
                <w:rFonts w:hint="eastAsia" w:ascii="宋体" w:hAnsi="宋体" w:eastAsia="宋体" w:cs="宋体"/>
                <w:b w:val="0"/>
                <w:bCs w:val="0"/>
                <w:color w:val="auto"/>
                <w:sz w:val="24"/>
                <w:szCs w:val="24"/>
                <w:lang w:val="en-US" w:eastAsia="zh-CN"/>
              </w:rPr>
            </w:pPr>
          </w:p>
        </w:tc>
        <w:tc>
          <w:tcPr>
            <w:tcW w:w="1012" w:type="dxa"/>
            <w:vAlign w:val="center"/>
          </w:tcPr>
          <w:p>
            <w:pPr>
              <w:jc w:val="left"/>
              <w:rPr>
                <w:rFonts w:hint="eastAsia" w:ascii="宋体" w:hAnsi="宋体" w:eastAsia="宋体" w:cs="宋体"/>
                <w:b w:val="0"/>
                <w:bCs w:val="0"/>
                <w:color w:val="auto"/>
                <w:sz w:val="24"/>
                <w:szCs w:val="24"/>
                <w:lang w:val="en-US" w:eastAsia="zh-CN"/>
              </w:rPr>
            </w:pPr>
          </w:p>
        </w:tc>
        <w:tc>
          <w:tcPr>
            <w:tcW w:w="1012" w:type="dxa"/>
            <w:vAlign w:val="center"/>
          </w:tcPr>
          <w:p>
            <w:pPr>
              <w:jc w:val="left"/>
              <w:rPr>
                <w:rFonts w:hint="eastAsia" w:ascii="宋体" w:hAnsi="宋体" w:eastAsia="宋体" w:cs="宋体"/>
                <w:b w:val="0"/>
                <w:bCs w:val="0"/>
                <w:color w:val="auto"/>
                <w:sz w:val="24"/>
                <w:szCs w:val="24"/>
                <w:lang w:val="en-US" w:eastAsia="zh-CN"/>
              </w:rPr>
            </w:pPr>
          </w:p>
        </w:tc>
        <w:tc>
          <w:tcPr>
            <w:tcW w:w="1012" w:type="dxa"/>
            <w:vAlign w:val="center"/>
          </w:tcPr>
          <w:p>
            <w:pPr>
              <w:jc w:val="left"/>
              <w:rPr>
                <w:rFonts w:hint="eastAsia" w:ascii="宋体" w:hAnsi="宋体" w:eastAsia="宋体" w:cs="宋体"/>
                <w:b w:val="0"/>
                <w:bCs w:val="0"/>
                <w:color w:val="auto"/>
                <w:sz w:val="24"/>
                <w:szCs w:val="24"/>
                <w:lang w:val="en-US" w:eastAsia="zh-CN"/>
              </w:rPr>
            </w:pPr>
          </w:p>
        </w:tc>
        <w:tc>
          <w:tcPr>
            <w:tcW w:w="1012" w:type="dxa"/>
            <w:vAlign w:val="center"/>
          </w:tcPr>
          <w:p>
            <w:pPr>
              <w:jc w:val="left"/>
              <w:rPr>
                <w:rFonts w:hint="eastAsia" w:ascii="宋体" w:hAnsi="宋体" w:eastAsia="宋体" w:cs="宋体"/>
                <w:b w:val="0"/>
                <w:bCs w:val="0"/>
                <w:color w:val="auto"/>
                <w:sz w:val="24"/>
                <w:szCs w:val="24"/>
                <w:lang w:val="en-US" w:eastAsia="zh-CN"/>
              </w:rPr>
            </w:pPr>
          </w:p>
        </w:tc>
        <w:tc>
          <w:tcPr>
            <w:tcW w:w="1012" w:type="dxa"/>
            <w:vAlign w:val="center"/>
          </w:tcPr>
          <w:p>
            <w:pPr>
              <w:jc w:val="left"/>
              <w:rPr>
                <w:rFonts w:hint="eastAsia" w:ascii="宋体" w:hAnsi="宋体" w:eastAsia="宋体" w:cs="宋体"/>
                <w:b w:val="0"/>
                <w:bCs w:val="0"/>
                <w:color w:val="auto"/>
                <w:sz w:val="24"/>
                <w:szCs w:val="24"/>
                <w:lang w:val="en-US" w:eastAsia="zh-CN"/>
              </w:rPr>
            </w:pPr>
          </w:p>
        </w:tc>
        <w:tc>
          <w:tcPr>
            <w:tcW w:w="1013" w:type="dxa"/>
            <w:vAlign w:val="center"/>
          </w:tcPr>
          <w:p>
            <w:pPr>
              <w:jc w:val="left"/>
              <w:rPr>
                <w:rFonts w:hint="eastAsia" w:ascii="宋体" w:hAnsi="宋体" w:eastAsia="宋体" w:cs="宋体"/>
                <w:b w:val="0"/>
                <w:bCs w:val="0"/>
                <w:color w:val="auto"/>
                <w:sz w:val="24"/>
                <w:szCs w:val="24"/>
                <w:lang w:val="en-US" w:eastAsia="zh-CN"/>
              </w:rPr>
            </w:pPr>
          </w:p>
        </w:tc>
        <w:tc>
          <w:tcPr>
            <w:tcW w:w="1013" w:type="dxa"/>
            <w:vAlign w:val="center"/>
          </w:tcPr>
          <w:p>
            <w:pPr>
              <w:jc w:val="left"/>
              <w:rPr>
                <w:rFonts w:hint="eastAsia" w:ascii="宋体" w:hAnsi="宋体" w:eastAsia="宋体" w:cs="宋体"/>
                <w:b w:val="0"/>
                <w:bCs w:val="0"/>
                <w:color w:val="auto"/>
                <w:sz w:val="24"/>
                <w:szCs w:val="24"/>
                <w:lang w:val="en-US" w:eastAsia="zh-CN"/>
              </w:rPr>
            </w:pPr>
          </w:p>
        </w:tc>
        <w:tc>
          <w:tcPr>
            <w:tcW w:w="1013" w:type="dxa"/>
            <w:vAlign w:val="center"/>
          </w:tcPr>
          <w:p>
            <w:pPr>
              <w:jc w:val="left"/>
              <w:rPr>
                <w:rFonts w:hint="eastAsia" w:ascii="宋体" w:hAnsi="宋体" w:eastAsia="宋体" w:cs="宋体"/>
                <w:b w:val="0"/>
                <w:bCs w:val="0"/>
                <w:color w:val="auto"/>
                <w:sz w:val="24"/>
                <w:szCs w:val="24"/>
                <w:lang w:val="en-US" w:eastAsia="zh-CN"/>
              </w:rPr>
            </w:pPr>
          </w:p>
        </w:tc>
        <w:tc>
          <w:tcPr>
            <w:tcW w:w="1013" w:type="dxa"/>
            <w:vAlign w:val="center"/>
          </w:tcPr>
          <w:p>
            <w:pPr>
              <w:jc w:val="left"/>
              <w:rPr>
                <w:rFonts w:hint="eastAsia" w:ascii="宋体" w:hAnsi="宋体" w:eastAsia="宋体" w:cs="宋体"/>
                <w:b w:val="0"/>
                <w:bCs w:val="0"/>
                <w:color w:val="auto"/>
                <w:sz w:val="24"/>
                <w:szCs w:val="24"/>
                <w:lang w:val="en-US" w:eastAsia="zh-CN"/>
              </w:rPr>
            </w:pPr>
            <w:r>
              <w:rPr>
                <w:rFonts w:hint="eastAsia" w:ascii="宋体" w:hAnsi="宋体" w:cs="宋体"/>
                <w:b w:val="0"/>
                <w:bCs w:val="0"/>
                <w:sz w:val="24"/>
                <w:szCs w:val="24"/>
                <w:lang w:val="en-US" w:eastAsia="zh-CN"/>
              </w:rPr>
              <w:t>21人</w:t>
            </w:r>
          </w:p>
        </w:tc>
        <w:tc>
          <w:tcPr>
            <w:tcW w:w="1013" w:type="dxa"/>
            <w:vAlign w:val="center"/>
          </w:tcPr>
          <w:p>
            <w:pPr>
              <w:jc w:val="left"/>
              <w:rPr>
                <w:rFonts w:hint="eastAsia" w:ascii="宋体" w:hAnsi="宋体" w:eastAsia="宋体" w:cs="宋体"/>
                <w:b w:val="0"/>
                <w:bCs w:val="0"/>
                <w:color w:val="auto"/>
                <w:sz w:val="24"/>
                <w:szCs w:val="24"/>
                <w:lang w:val="en-US" w:eastAsia="zh-CN"/>
              </w:rPr>
            </w:pPr>
            <w:r>
              <w:rPr>
                <w:rFonts w:hint="eastAsia" w:ascii="宋体" w:hAnsi="宋体" w:cs="宋体"/>
                <w:b w:val="0"/>
                <w:bCs w:val="0"/>
                <w:sz w:val="24"/>
                <w:szCs w:val="24"/>
                <w:lang w:val="en-US" w:eastAsia="zh-CN"/>
              </w:rPr>
              <w:t>8500元/人/月</w:t>
            </w:r>
          </w:p>
        </w:tc>
        <w:tc>
          <w:tcPr>
            <w:tcW w:w="1013" w:type="dxa"/>
            <w:vAlign w:val="center"/>
          </w:tcPr>
          <w:p>
            <w:pPr>
              <w:jc w:val="left"/>
              <w:rPr>
                <w:rFonts w:hint="default" w:ascii="宋体" w:hAnsi="宋体" w:eastAsia="宋体" w:cs="宋体"/>
                <w:b w:val="0"/>
                <w:bCs w:val="0"/>
                <w:color w:val="auto"/>
                <w:sz w:val="24"/>
                <w:szCs w:val="24"/>
                <w:lang w:val="en-US" w:eastAsia="zh-CN"/>
              </w:rPr>
            </w:pPr>
            <w:r>
              <w:rPr>
                <w:rFonts w:hint="eastAsia" w:ascii="宋体" w:hAnsi="宋体" w:cs="宋体"/>
                <w:b w:val="0"/>
                <w:bCs w:val="0"/>
                <w:sz w:val="24"/>
                <w:szCs w:val="24"/>
                <w:lang w:val="en-US" w:eastAsia="zh-CN"/>
              </w:rPr>
              <w:t>214.2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 w:hRule="atLeast"/>
        </w:trPr>
        <w:tc>
          <w:tcPr>
            <w:tcW w:w="107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合计</w:t>
            </w:r>
          </w:p>
        </w:tc>
        <w:tc>
          <w:tcPr>
            <w:tcW w:w="95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2"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3"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3"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3"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3"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3" w:type="dxa"/>
            <w:vAlign w:val="center"/>
          </w:tcPr>
          <w:p>
            <w:pPr>
              <w:jc w:val="left"/>
              <w:rPr>
                <w:rFonts w:hint="eastAsia" w:ascii="宋体" w:hAnsi="宋体" w:eastAsia="宋体" w:cs="宋体"/>
                <w:b w:val="0"/>
                <w:bCs w:val="0"/>
                <w:color w:val="auto"/>
                <w:sz w:val="24"/>
                <w:szCs w:val="24"/>
                <w:highlight w:val="none"/>
                <w:lang w:val="en-US" w:eastAsia="zh-CN"/>
              </w:rPr>
            </w:pPr>
          </w:p>
        </w:tc>
        <w:tc>
          <w:tcPr>
            <w:tcW w:w="1013" w:type="dxa"/>
            <w:vAlign w:val="center"/>
          </w:tcPr>
          <w:p>
            <w:pPr>
              <w:jc w:val="left"/>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438.6</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8"/>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4"/>
                <w:szCs w:val="24"/>
                <w:lang w:val="en-US" w:eastAsia="zh-CN"/>
              </w:rPr>
              <w:t>平安建设办公室（综治办）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第二办公区319室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69265020</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黄村镇人民政府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王璐</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城乡管理指挥中心及网格化管理运行服务项目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cs="宋体"/>
                <w:b w:val="0"/>
                <w:bCs w:val="0"/>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1.城乡管理指挥中心指挥调度队伍</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组建2</w:t>
      </w:r>
      <w:r>
        <w:rPr>
          <w:rFonts w:hint="eastAsia" w:cs="黑体"/>
          <w:b w:val="0"/>
          <w:bCs w:val="0"/>
          <w:color w:val="auto"/>
          <w:kern w:val="2"/>
          <w:sz w:val="28"/>
          <w:szCs w:val="28"/>
          <w:lang w:val="en-US" w:eastAsia="zh-CN" w:bidi="ar-SA"/>
        </w:rPr>
        <w:t>2</w:t>
      </w:r>
      <w:r>
        <w:rPr>
          <w:rFonts w:hint="eastAsia" w:ascii="Calibri" w:hAnsi="Calibri" w:eastAsia="宋体" w:cs="黑体"/>
          <w:b w:val="0"/>
          <w:bCs w:val="0"/>
          <w:color w:val="auto"/>
          <w:kern w:val="2"/>
          <w:sz w:val="28"/>
          <w:szCs w:val="28"/>
          <w:lang w:val="en-US" w:eastAsia="zh-CN" w:bidi="ar-SA"/>
        </w:rPr>
        <w:t>人的城乡指挥中心（应急指挥调度）队伍，按照7×24小时服务要求，实行4班3运转工作模式，做好视频巡控、事件处理、协调督办等工作</w:t>
      </w:r>
      <w:r>
        <w:rPr>
          <w:rFonts w:hint="eastAsia" w:cs="黑体"/>
          <w:b w:val="0"/>
          <w:bCs w:val="0"/>
          <w:color w:val="auto"/>
          <w:kern w:val="2"/>
          <w:sz w:val="28"/>
          <w:szCs w:val="28"/>
          <w:lang w:val="en-US" w:eastAsia="zh-CN" w:bidi="ar-SA"/>
        </w:rPr>
        <w:t>，</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（1）视频巡控</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利用监控平台针对发现的各类问题进行快速的指挥调度，重点各类违法事件的发现报告、回放追踪、定点跟踪和快速响应等工作。分析甄别并上报给事件处理指挥调度员，记录相关事件并跟进。值班室24小时均有专人值班，对发生的各类问题均有记录，重要事件均有视频图像和相关自动记录，执行严格的交接班制度，所有值班人员均需遵守保密规定和纪律。</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（2）</w:t>
      </w:r>
      <w:r>
        <w:rPr>
          <w:rFonts w:hint="eastAsia" w:cs="黑体"/>
          <w:b w:val="0"/>
          <w:bCs w:val="0"/>
          <w:color w:val="auto"/>
          <w:kern w:val="2"/>
          <w:sz w:val="28"/>
          <w:szCs w:val="28"/>
          <w:lang w:val="en-US" w:eastAsia="zh-CN" w:bidi="ar-SA"/>
        </w:rPr>
        <w:t>人员配置：需1名队长、1名副队长进行指挥中心视频巡控人员管理工作；另外，每班5人开展</w:t>
      </w:r>
      <w:r>
        <w:rPr>
          <w:rFonts w:hint="eastAsia" w:ascii="Calibri" w:hAnsi="Calibri" w:eastAsia="宋体" w:cs="黑体"/>
          <w:b w:val="0"/>
          <w:bCs w:val="0"/>
          <w:color w:val="auto"/>
          <w:kern w:val="2"/>
          <w:sz w:val="28"/>
          <w:szCs w:val="28"/>
          <w:lang w:val="en-US" w:eastAsia="zh-CN" w:bidi="ar-SA"/>
        </w:rPr>
        <w:t>7×24小时</w:t>
      </w:r>
      <w:r>
        <w:rPr>
          <w:rFonts w:hint="eastAsia" w:cs="黑体"/>
          <w:b w:val="0"/>
          <w:bCs w:val="0"/>
          <w:color w:val="auto"/>
          <w:kern w:val="2"/>
          <w:sz w:val="28"/>
          <w:szCs w:val="28"/>
          <w:lang w:val="en-US" w:eastAsia="zh-CN" w:bidi="ar-SA"/>
        </w:rPr>
        <w:t>日常视频巡控、指挥电镀工作</w:t>
      </w:r>
      <w:r>
        <w:rPr>
          <w:rFonts w:hint="eastAsia" w:ascii="Calibri" w:hAnsi="Calibri" w:eastAsia="宋体" w:cs="黑体"/>
          <w:b w:val="0"/>
          <w:bCs w:val="0"/>
          <w:color w:val="auto"/>
          <w:kern w:val="2"/>
          <w:sz w:val="28"/>
          <w:szCs w:val="28"/>
          <w:lang w:val="en-US" w:eastAsia="zh-CN" w:bidi="ar-SA"/>
        </w:rPr>
        <w:t>，实行4班3运转模式</w:t>
      </w:r>
      <w:r>
        <w:rPr>
          <w:rFonts w:hint="eastAsia" w:cs="黑体"/>
          <w:b w:val="0"/>
          <w:bCs w:val="0"/>
          <w:color w:val="auto"/>
          <w:kern w:val="2"/>
          <w:sz w:val="28"/>
          <w:szCs w:val="28"/>
          <w:lang w:val="en-US" w:eastAsia="zh-CN" w:bidi="ar-SA"/>
        </w:rPr>
        <w:t>，需20人。</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w:t>
      </w:r>
      <w:r>
        <w:rPr>
          <w:rFonts w:hint="eastAsia" w:cs="黑体"/>
          <w:b w:val="0"/>
          <w:bCs w:val="0"/>
          <w:color w:val="auto"/>
          <w:kern w:val="2"/>
          <w:sz w:val="28"/>
          <w:szCs w:val="28"/>
          <w:lang w:val="en-US" w:eastAsia="zh-CN" w:bidi="ar-SA"/>
        </w:rPr>
        <w:t>3</w:t>
      </w:r>
      <w:r>
        <w:rPr>
          <w:rFonts w:hint="eastAsia" w:ascii="Calibri" w:hAnsi="Calibri" w:eastAsia="宋体" w:cs="黑体"/>
          <w:b w:val="0"/>
          <w:bCs w:val="0"/>
          <w:color w:val="auto"/>
          <w:kern w:val="2"/>
          <w:sz w:val="28"/>
          <w:szCs w:val="28"/>
          <w:lang w:val="en-US" w:eastAsia="zh-CN" w:bidi="ar-SA"/>
        </w:rPr>
        <w:t>）事件处理</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负责视频巡控发现事件和上报事件的立案、派遣、督办工作；梳理事件派遣规则。</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w:t>
      </w:r>
      <w:r>
        <w:rPr>
          <w:rFonts w:hint="eastAsia" w:cs="黑体"/>
          <w:b w:val="0"/>
          <w:bCs w:val="0"/>
          <w:color w:val="auto"/>
          <w:kern w:val="2"/>
          <w:sz w:val="28"/>
          <w:szCs w:val="28"/>
          <w:lang w:val="en-US" w:eastAsia="zh-CN" w:bidi="ar-SA"/>
        </w:rPr>
        <w:t>4</w:t>
      </w:r>
      <w:r>
        <w:rPr>
          <w:rFonts w:hint="eastAsia" w:ascii="Calibri" w:hAnsi="Calibri" w:eastAsia="宋体" w:cs="黑体"/>
          <w:b w:val="0"/>
          <w:bCs w:val="0"/>
          <w:color w:val="auto"/>
          <w:kern w:val="2"/>
          <w:sz w:val="28"/>
          <w:szCs w:val="28"/>
          <w:lang w:val="en-US" w:eastAsia="zh-CN" w:bidi="ar-SA"/>
        </w:rPr>
        <w:t>）协调督办</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督促事件高效办理，协助业务科室完善处置流程。</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2.网格台账数据统计分析</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组建4人的网格台账数据统计分析队伍，负责以下工作：</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每周跟踪区城指中心专项巡查任务，对专项巡查进行并指导网格巡查员开展专项巡查工作，每天将区监督员上报的案件进行派单、督办和结案。其次，收集、汇总并分析筛选全镇网格案件，记录并形成网格工作台账，提升案件上报数量、案件上报质量、案件办结路等相关指标。</w:t>
      </w:r>
    </w:p>
    <w:p>
      <w:pPr>
        <w:numPr>
          <w:ilvl w:val="0"/>
          <w:numId w:val="0"/>
        </w:numPr>
        <w:ind w:firstLine="560" w:firstLineChars="200"/>
        <w:jc w:val="left"/>
        <w:rPr>
          <w:rFonts w:hint="eastAsia" w:ascii="Calibri" w:hAnsi="Calibri" w:eastAsia="宋体" w:cs="黑体"/>
          <w:b w:val="0"/>
          <w:bCs w:val="0"/>
          <w:color w:val="auto"/>
          <w:kern w:val="2"/>
          <w:sz w:val="28"/>
          <w:szCs w:val="28"/>
          <w:lang w:val="en-US" w:eastAsia="zh-CN" w:bidi="ar-SA"/>
        </w:rPr>
      </w:pPr>
      <w:r>
        <w:rPr>
          <w:rFonts w:hint="eastAsia" w:ascii="Calibri" w:hAnsi="Calibri" w:eastAsia="宋体" w:cs="黑体"/>
          <w:b w:val="0"/>
          <w:bCs w:val="0"/>
          <w:color w:val="auto"/>
          <w:kern w:val="2"/>
          <w:sz w:val="28"/>
          <w:szCs w:val="28"/>
          <w:lang w:val="en-US" w:eastAsia="zh-CN" w:bidi="ar-SA"/>
        </w:rPr>
        <w:t>3.网格化巡查队伍</w:t>
      </w:r>
    </w:p>
    <w:p>
      <w:pPr>
        <w:numPr>
          <w:ilvl w:val="0"/>
          <w:numId w:val="0"/>
        </w:numPr>
        <w:ind w:firstLine="560" w:firstLineChars="200"/>
        <w:jc w:val="left"/>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组建一支专职网格化管理工作队伍，包含网格数据组4人及网格巡查员17人，完成区级下发的47000个网格案件任务，并参与综治下发的网格巡查工作。由1名队长、1名副队长、15名巡查巡查员组成，共21人。</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pStyle w:val="4"/>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组建22人的城乡指挥中心（应急指挥调度）队伍，按照7×24小时服务要求，实行4班3运转工作模式，做好视频巡控、事件处理、协调督办等工作。</w:t>
      </w:r>
    </w:p>
    <w:p>
      <w:pPr>
        <w:pStyle w:val="4"/>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组建4人的网格台账数据统计分析队伍，记录并形成网格工作台账，另外组建一支专职15人的网格化巡查员队伍，共21人，负责网格内的日常巡查工作。</w:t>
      </w:r>
    </w:p>
    <w:p>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预算共计438.6万/年</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jc w:val="left"/>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1.项目实施的必要性：提高城乡社会管理水平和为民办实事的效率和质量，实现政府管理由粗放、盲目、落后方式向高效、敏捷、精确方式的转变。</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jc w:val="left"/>
        <w:textAlignment w:val="auto"/>
        <w:outlineLvl w:val="9"/>
        <w:rPr>
          <w:rFonts w:hint="eastAsia" w:ascii="仿宋" w:hAnsi="仿宋" w:eastAsia="仿宋" w:cs="仿宋"/>
          <w:bCs/>
          <w:sz w:val="32"/>
          <w:szCs w:val="32"/>
        </w:rPr>
      </w:pPr>
      <w:r>
        <w:rPr>
          <w:rFonts w:hint="eastAsia" w:ascii="宋体" w:hAnsi="宋体" w:cs="宋体"/>
          <w:b w:val="0"/>
          <w:bCs w:val="0"/>
          <w:sz w:val="28"/>
          <w:szCs w:val="28"/>
          <w:lang w:val="en-US" w:eastAsia="zh-CN"/>
        </w:rPr>
        <w:t>2.</w:t>
      </w:r>
      <w:r>
        <w:rPr>
          <w:rFonts w:hint="eastAsia" w:ascii="宋体" w:hAnsi="宋体" w:eastAsia="宋体" w:cs="宋体"/>
          <w:b w:val="0"/>
          <w:bCs w:val="0"/>
          <w:sz w:val="28"/>
          <w:szCs w:val="28"/>
          <w:lang w:val="en-US" w:eastAsia="zh-CN"/>
        </w:rPr>
        <w:t>项目实施的可行性：通过视频监控、空气质量监测设备、物联网等方式对全镇村庄和社区进行精细化管控，通过人防、技防、物防手段，推进黄村地区社会治安防控体系建设，全面提高社会治理体系建设和治理能力现代化水平。</w:t>
      </w:r>
    </w:p>
    <w:p>
      <w:pPr>
        <w:numPr>
          <w:ilvl w:val="0"/>
          <w:numId w:val="0"/>
        </w:numPr>
        <w:ind w:leftChars="0" w:firstLine="560" w:firstLineChars="200"/>
        <w:jc w:val="left"/>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3.</w:t>
      </w: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现阶段申请金额和人员可能不能满足全年项目的工作所需资金和人员安排。</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159"/>
        <w:gridCol w:w="3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159"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3523"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0" w:hRule="atLeast"/>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城乡管理指挥中心及网格化管理运行服务项目</w:t>
            </w:r>
          </w:p>
        </w:tc>
        <w:tc>
          <w:tcPr>
            <w:tcW w:w="2159" w:type="dxa"/>
            <w:vAlign w:val="top"/>
          </w:tcPr>
          <w:p>
            <w:pPr>
              <w:numPr>
                <w:ilvl w:val="0"/>
                <w:numId w:val="0"/>
              </w:numPr>
              <w:jc w:val="left"/>
              <w:rPr>
                <w:rFonts w:hint="default" w:ascii="宋体" w:hAnsi="宋体" w:eastAsia="宋体" w:cs="宋体"/>
                <w:b/>
                <w:bCs/>
                <w:sz w:val="32"/>
                <w:szCs w:val="32"/>
                <w:lang w:val="en-US" w:eastAsia="zh-CN"/>
              </w:rPr>
            </w:pPr>
            <w:r>
              <w:rPr>
                <w:rFonts w:hint="eastAsia" w:ascii="宋体" w:hAnsi="宋体" w:cs="宋体"/>
                <w:b/>
                <w:bCs/>
                <w:sz w:val="32"/>
                <w:szCs w:val="32"/>
                <w:lang w:val="en-US" w:eastAsia="zh-CN"/>
              </w:rPr>
              <w:t>2024年11月-2025年11月</w:t>
            </w:r>
          </w:p>
        </w:tc>
        <w:tc>
          <w:tcPr>
            <w:tcW w:w="3523" w:type="dxa"/>
            <w:vAlign w:val="top"/>
          </w:tcPr>
          <w:p>
            <w:pPr>
              <w:numPr>
                <w:ilvl w:val="0"/>
                <w:numId w:val="0"/>
              </w:numPr>
              <w:jc w:val="left"/>
              <w:rPr>
                <w:rFonts w:hint="default" w:ascii="宋体" w:hAnsi="宋体" w:eastAsia="宋体" w:cs="宋体"/>
                <w:b/>
                <w:bCs/>
                <w:sz w:val="32"/>
                <w:szCs w:val="32"/>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159" w:type="dxa"/>
            <w:vAlign w:val="top"/>
          </w:tcPr>
          <w:p>
            <w:pPr>
              <w:numPr>
                <w:ilvl w:val="0"/>
                <w:numId w:val="0"/>
              </w:numPr>
              <w:jc w:val="left"/>
              <w:rPr>
                <w:rFonts w:hint="eastAsia" w:ascii="宋体" w:hAnsi="宋体" w:eastAsia="宋体" w:cs="宋体"/>
                <w:b/>
                <w:bCs/>
                <w:sz w:val="32"/>
                <w:szCs w:val="32"/>
                <w:lang w:val="en-US" w:eastAsia="zh-CN"/>
              </w:rPr>
            </w:pPr>
          </w:p>
        </w:tc>
        <w:tc>
          <w:tcPr>
            <w:tcW w:w="3523"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8"/>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34B53ED7"/>
    <w:rsid w:val="08130A6A"/>
    <w:rsid w:val="08291819"/>
    <w:rsid w:val="0A5D4D63"/>
    <w:rsid w:val="0F4A1D24"/>
    <w:rsid w:val="13F73D10"/>
    <w:rsid w:val="19B61F54"/>
    <w:rsid w:val="1D4276E8"/>
    <w:rsid w:val="20181590"/>
    <w:rsid w:val="23642280"/>
    <w:rsid w:val="2B4801D7"/>
    <w:rsid w:val="2BF030C9"/>
    <w:rsid w:val="2C8A063B"/>
    <w:rsid w:val="2F471EE1"/>
    <w:rsid w:val="308113CB"/>
    <w:rsid w:val="34B53ED7"/>
    <w:rsid w:val="35046BA9"/>
    <w:rsid w:val="36B6732D"/>
    <w:rsid w:val="3A6709E1"/>
    <w:rsid w:val="3F33798F"/>
    <w:rsid w:val="44B261C4"/>
    <w:rsid w:val="45983355"/>
    <w:rsid w:val="49FC2F9F"/>
    <w:rsid w:val="4A4B2B40"/>
    <w:rsid w:val="4F372D38"/>
    <w:rsid w:val="4F815F87"/>
    <w:rsid w:val="50F46B6E"/>
    <w:rsid w:val="513D6BBD"/>
    <w:rsid w:val="54F9326F"/>
    <w:rsid w:val="559B2D08"/>
    <w:rsid w:val="59467262"/>
    <w:rsid w:val="5D6F2201"/>
    <w:rsid w:val="5EED4A22"/>
    <w:rsid w:val="5F2B57DC"/>
    <w:rsid w:val="625005B0"/>
    <w:rsid w:val="651C2939"/>
    <w:rsid w:val="6D535020"/>
    <w:rsid w:val="6F694FFD"/>
    <w:rsid w:val="6FED0967"/>
    <w:rsid w:val="70F330A2"/>
    <w:rsid w:val="7C457EE7"/>
    <w:rsid w:val="7C8D7F4E"/>
    <w:rsid w:val="7DB6427C"/>
    <w:rsid w:val="7E741598"/>
    <w:rsid w:val="7E8E1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sz w:val="24"/>
    </w:rPr>
  </w:style>
  <w:style w:type="paragraph" w:styleId="5">
    <w:name w:val="Normal (Web)"/>
    <w:qFormat/>
    <w:uiPriority w:val="0"/>
    <w:pPr>
      <w:spacing w:beforeAutospacing="1" w:afterAutospacing="1"/>
      <w:jc w:val="left"/>
    </w:pPr>
    <w:rPr>
      <w:rFonts w:ascii="Times New Roman" w:hAnsi="Times New Roman" w:eastAsia="宋体" w:cs="Times New Roman"/>
      <w:kern w:val="0"/>
      <w:sz w:val="24"/>
      <w:szCs w:val="22"/>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HCZ-LGB-01</cp:lastModifiedBy>
  <cp:lastPrinted>2018-09-07T03:15:00Z</cp:lastPrinted>
  <dcterms:modified xsi:type="dcterms:W3CDTF">2024-09-20T01:40:23Z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A7834EB36DC240278C54EEE5AEE5D4DE_13</vt:lpwstr>
  </property>
</Properties>
</file>