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北京市大兴区黄村平安建设办公室科室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——禁毒项目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项目申报单位（科室）：平安建设办公室（维稳办）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禁毒项目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维稳办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李卫兵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13641055995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为深入贯彻落实习总书记对禁毒工作的重要指示批示精神，严格吸毒人员管理，和禁种铲毒工作。同时，</w:t>
            </w:r>
            <w:r>
              <w:rPr>
                <w:rFonts w:hint="eastAsia"/>
                <w:sz w:val="32"/>
                <w:szCs w:val="32"/>
                <w:lang w:val="en-US" w:eastAsia="zh-CN"/>
              </w:rPr>
              <w:t>为进一步推动北京市大兴区毒品预防宣传教育工作，全面打响禁毒人民战争，提升全民禁毒意识，特申请禁毒专项经费10万元整。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禁毒专项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1F5F4820"/>
    <w:rsid w:val="2EF230AD"/>
    <w:rsid w:val="2F471EE1"/>
    <w:rsid w:val="308113CB"/>
    <w:rsid w:val="34B53ED7"/>
    <w:rsid w:val="4F815F87"/>
    <w:rsid w:val="54F9326F"/>
    <w:rsid w:val="59467262"/>
    <w:rsid w:val="625005B0"/>
    <w:rsid w:val="651C2939"/>
    <w:rsid w:val="658D2444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2024-08-30T03:25:47Z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