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北京市大兴区黄村镇综合行政执法队（土地巡查）科室</w:t>
      </w:r>
    </w:p>
    <w:p>
      <w:pPr>
        <w:jc w:val="both"/>
        <w:rPr>
          <w:rFonts w:hint="eastAsia"/>
          <w:sz w:val="32"/>
          <w:szCs w:val="32"/>
          <w:lang w:val="en-US" w:eastAsia="zh-CN"/>
        </w:rPr>
      </w:pPr>
      <w:r>
        <w:rPr>
          <w:rFonts w:hint="eastAsia"/>
          <w:sz w:val="32"/>
          <w:szCs w:val="32"/>
          <w:lang w:val="en-US" w:eastAsia="zh-CN"/>
        </w:rPr>
        <w:t>——违法用地清理及违法建设拆除项目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项目申报单位（科室）：黄村镇综合行政执法队（土地巡查）</w:t>
      </w:r>
    </w:p>
    <w:p>
      <w:pPr>
        <w:rPr>
          <w:rFonts w:hint="eastAsia"/>
          <w:sz w:val="32"/>
          <w:szCs w:val="32"/>
          <w:lang w:val="en-US" w:eastAsia="zh-CN"/>
        </w:rPr>
      </w:pPr>
      <w:r>
        <w:rPr>
          <w:rFonts w:hint="eastAsia"/>
          <w:sz w:val="32"/>
          <w:szCs w:val="32"/>
          <w:lang w:val="en-US" w:eastAsia="zh-CN"/>
        </w:rPr>
        <w:t>主管部门（区直或镇）：黄村镇人民政府</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项目申报时间：2024.8.30</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8"/>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sz w:val="32"/>
                <w:szCs w:val="32"/>
                <w:lang w:val="en-US" w:eastAsia="zh-CN"/>
              </w:rPr>
              <w:t>违法用地清理及违法建设拆除项目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综合行政执法队（土地巡查）</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张亮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18911225812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违法占地违法建设拆除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城乡社区支出</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无（单价评审）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一、申报理由：黄村镇目前正处于经济和社会建设高速发展阶段，受利益驱使，少数人员、单位为谋求不当利益，存在违法用地、违法建设等行为。有抢栽、抢建、扩建、改建等违法现象出现，这与我镇城镇化的发展不符，为此我镇将持续加大对违法用地、违法建设的管控力度。努力实现“新生违法建设零增长，存量违法建设逐步减少”的工作目标。</w:t>
            </w:r>
          </w:p>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1.完成2025年黄村镇拆违腾地任务指标。</w:t>
            </w:r>
          </w:p>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2.巡查发现新生违法建拆除。</w:t>
            </w:r>
          </w:p>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3.拆除一般违法类卫片。</w:t>
            </w:r>
          </w:p>
          <w:p>
            <w:pPr>
              <w:pStyle w:val="9"/>
              <w:rPr>
                <w:rFonts w:hint="eastAsia"/>
                <w:lang w:val="en-US" w:eastAsia="zh-CN"/>
              </w:rPr>
            </w:pPr>
          </w:p>
          <w:p>
            <w:pPr>
              <w:numPr>
                <w:ilvl w:val="0"/>
                <w:numId w:val="1"/>
              </w:numPr>
              <w:ind w:firstLine="480" w:firstLineChars="200"/>
              <w:jc w:val="left"/>
              <w:rPr>
                <w:rFonts w:hint="eastAsia"/>
                <w:b w:val="0"/>
                <w:bCs w:val="0"/>
                <w:sz w:val="24"/>
                <w:szCs w:val="24"/>
                <w:lang w:val="en-US" w:eastAsia="zh-CN"/>
              </w:rPr>
            </w:pPr>
            <w:r>
              <w:rPr>
                <w:rFonts w:hint="eastAsia"/>
                <w:b w:val="0"/>
                <w:bCs w:val="0"/>
                <w:sz w:val="24"/>
                <w:szCs w:val="24"/>
                <w:lang w:val="en-US" w:eastAsia="zh-CN"/>
              </w:rPr>
              <w:t>主要内容：加大对新生违法用地、违法建设的管控力度，坚决依法拆除宅基地、农田地和以公益为名的各类违法建设，重点打击拆除腾退地区和线性工程区域内的抢栽、抢建、扩建、改建等违法行为，切实实现“新生违法建设零增长”。同时，继续加大对历史遗留违法建设的拆除力度，落实查违、控违、拆违工作。</w:t>
            </w:r>
          </w:p>
          <w:p>
            <w:pPr>
              <w:pStyle w:val="2"/>
              <w:numPr>
                <w:ilvl w:val="0"/>
                <w:numId w:val="0"/>
              </w:numPr>
              <w:ind w:leftChars="200"/>
              <w:rPr>
                <w:rFonts w:hint="eastAsia"/>
                <w:lang w:val="en-US" w:eastAsia="zh-CN"/>
              </w:rPr>
            </w:pPr>
          </w:p>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三、绩效目标：拆除后的的场地达到场清地平，占用耕地的达到复耕条件，见土地。平台销账成功，完成本年度任务指标及其他拆除违法建设清理违法用地工作。</w:t>
            </w:r>
          </w:p>
          <w:p>
            <w:pPr>
              <w:ind w:firstLine="480" w:firstLineChars="200"/>
              <w:jc w:val="left"/>
              <w:rPr>
                <w:rFonts w:hint="eastAsia"/>
                <w:b w:val="0"/>
                <w:bCs w:val="0"/>
                <w:sz w:val="24"/>
                <w:szCs w:val="24"/>
                <w:lang w:val="en-US" w:eastAsia="zh-CN"/>
              </w:rPr>
            </w:pPr>
          </w:p>
          <w:p>
            <w:pPr>
              <w:ind w:firstLine="480" w:firstLineChars="200"/>
              <w:jc w:val="left"/>
              <w:rPr>
                <w:rFonts w:hint="eastAsia"/>
                <w:b w:val="0"/>
                <w:bCs w:val="0"/>
                <w:sz w:val="24"/>
                <w:szCs w:val="24"/>
                <w:lang w:val="en-US" w:eastAsia="zh-CN"/>
              </w:rPr>
            </w:pP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w:t>
      </w:r>
      <w:r>
        <w:rPr>
          <w:rFonts w:hint="eastAsia"/>
          <w:b w:val="0"/>
          <w:bCs w:val="0"/>
          <w:sz w:val="24"/>
          <w:szCs w:val="24"/>
          <w:lang w:val="en-US" w:eastAsia="zh-CN"/>
        </w:rPr>
        <w:t>黄村镇综合行政执法队（土地巡查）</w:t>
      </w:r>
      <w:r>
        <w:rPr>
          <w:rFonts w:hint="eastAsia"/>
          <w:b w:val="0"/>
          <w:bCs w:val="0"/>
          <w:sz w:val="30"/>
          <w:szCs w:val="30"/>
          <w:lang w:val="en-US" w:eastAsia="zh-CN"/>
        </w:rPr>
        <w:t xml:space="preserve">                                  1300.018万元（保留六位小数）</w:t>
      </w: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715"/>
        <w:gridCol w:w="735"/>
        <w:gridCol w:w="1035"/>
        <w:gridCol w:w="765"/>
        <w:gridCol w:w="1813"/>
        <w:gridCol w:w="677"/>
        <w:gridCol w:w="825"/>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明细项目内容</w:t>
            </w:r>
          </w:p>
        </w:tc>
        <w:tc>
          <w:tcPr>
            <w:tcW w:w="1012"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支出功能分类科目代码</w:t>
            </w:r>
          </w:p>
        </w:tc>
        <w:tc>
          <w:tcPr>
            <w:tcW w:w="1012"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支出功能分类科目名称</w:t>
            </w:r>
          </w:p>
        </w:tc>
        <w:tc>
          <w:tcPr>
            <w:tcW w:w="1012"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支出经济分类科目代码</w:t>
            </w:r>
          </w:p>
        </w:tc>
        <w:tc>
          <w:tcPr>
            <w:tcW w:w="1012"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支出经济分类科目名称</w:t>
            </w:r>
          </w:p>
        </w:tc>
        <w:tc>
          <w:tcPr>
            <w:tcW w:w="1012"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资金来源</w:t>
            </w:r>
          </w:p>
        </w:tc>
        <w:tc>
          <w:tcPr>
            <w:tcW w:w="715"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收费项目代码</w:t>
            </w:r>
          </w:p>
        </w:tc>
        <w:tc>
          <w:tcPr>
            <w:tcW w:w="735"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收费项目名称</w:t>
            </w:r>
          </w:p>
        </w:tc>
        <w:tc>
          <w:tcPr>
            <w:tcW w:w="1035"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是否涉及政府采购</w:t>
            </w:r>
          </w:p>
        </w:tc>
        <w:tc>
          <w:tcPr>
            <w:tcW w:w="765"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采购目录名称</w:t>
            </w:r>
          </w:p>
        </w:tc>
        <w:tc>
          <w:tcPr>
            <w:tcW w:w="1813"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参考型号</w:t>
            </w:r>
          </w:p>
        </w:tc>
        <w:tc>
          <w:tcPr>
            <w:tcW w:w="677"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采购数量</w:t>
            </w:r>
          </w:p>
        </w:tc>
        <w:tc>
          <w:tcPr>
            <w:tcW w:w="825" w:type="dxa"/>
            <w:vAlign w:val="center"/>
          </w:tcPr>
          <w:p>
            <w:pPr>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单价（元）</w:t>
            </w:r>
          </w:p>
        </w:tc>
        <w:tc>
          <w:tcPr>
            <w:tcW w:w="1537" w:type="dxa"/>
            <w:vAlign w:val="center"/>
          </w:tcPr>
          <w:p>
            <w:pPr>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预算申请金额</w:t>
            </w:r>
            <w:r>
              <w:rPr>
                <w:rFonts w:hint="eastAsia" w:ascii="宋体" w:hAnsi="宋体" w:cs="宋体"/>
                <w:b w:val="0"/>
                <w:bCs w:val="0"/>
                <w:sz w:val="18"/>
                <w:szCs w:val="18"/>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其他三方服务费</w:t>
            </w: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center"/>
              <w:rPr>
                <w:rFonts w:hint="eastAsia" w:ascii="宋体" w:hAnsi="宋体" w:eastAsia="宋体" w:cs="宋体"/>
                <w:b w:val="0"/>
                <w:bCs w:val="0"/>
                <w:sz w:val="18"/>
                <w:szCs w:val="18"/>
                <w:lang w:val="en-US" w:eastAsia="zh-CN"/>
              </w:rPr>
            </w:pPr>
          </w:p>
        </w:tc>
        <w:tc>
          <w:tcPr>
            <w:tcW w:w="735" w:type="dxa"/>
            <w:vAlign w:val="center"/>
          </w:tcPr>
          <w:p>
            <w:pPr>
              <w:jc w:val="center"/>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center"/>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微型货车（载质量≤750kg的载货汽车</w:t>
            </w: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微型货车（载质量≤750kg的载货汽车</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500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轻型货车（750kg＜载质量≤4500kg的载货汽车</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轻型货车（750kg＜载质量≤4500kg的载货汽车</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1200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中型货车（4500kg＜载质量≤12000kg的载货汽车</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中型货车（4500kg＜载质量≤12000kg的载货汽车</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1000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1500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重型货车（载质量＞12000kg的载货汽车）</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重型货车（载质量＞12000kg的载货汽车）</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1400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单斗装载机（额定载重：1.6t）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单斗装载机（额定载重：1.6t）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单斗装载机（额定载重：3t）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单斗装载机（额定载重：3t）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6</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1700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单斗装载机（额定载重：4t）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单斗装载机（额定载重：4t）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1900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单斗装载机（额定载重：5t）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单斗装载机（额定载重：5t）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15</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2100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汽车起重机（最大额定起重量:8t）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汽车起重机（最大额定起重量:8t）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1100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汽车起重机（最大额定起重量:12t）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汽车起重机（最大额定起重量:12t）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1400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汽车起重机（最大额定起重量:16t）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汽车起重机（最大额定起重量:16t）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1600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小型挖掘机{厂定最大总质量（车身自重）≤6t}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小型挖掘机{厂定最大总质量（车身自重）≤6t}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60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2100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中型挖掘机{厂定最大总质量（车身自重）20t}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中型挖掘机{厂定最大总质量（车身自重）20t}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1000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大型挖掘机{厂定最大总质量（车身自重）＞40t}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大型挖掘机{厂定最大总质量（车身自重）＞40t}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3400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小型水车5t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小型水车5t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3500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中型水车10t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中型水车10t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50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3900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多功能抑尘车8t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多功能抑尘车8t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29</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推土车型号160</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推土车型号160</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15</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4500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电焊机</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电焊机</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5</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6000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发电机（50-200kw）</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发电机（50-200kw）</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劳务工人</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劳务工人</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2000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1500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叉车（1t＜最大额定起重量≤3t）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叉车（1t＜最大额定起重量≤3t）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叉车（3t＜最大额定起重量≤5t）</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叉车（3t＜最大额定起重量≤5t）</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4</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高空作业车</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高空作业车</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3000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气割</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气割</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500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防尘网4针密  8米宽*35米长</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防尘网4针密  8米宽*35米长</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1200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防尘网6针密  8米宽*35米长</w:t>
            </w: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cs="宋体"/>
                <w:i w:val="0"/>
                <w:color w:val="000000"/>
                <w:kern w:val="0"/>
                <w:sz w:val="18"/>
                <w:szCs w:val="18"/>
                <w:u w:val="none"/>
                <w:lang w:val="en-US" w:eastAsia="zh-CN" w:bidi="ar"/>
              </w:rPr>
              <w:t>市级</w:t>
            </w: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18"/>
                <w:szCs w:val="18"/>
                <w:u w:val="none"/>
                <w:lang w:val="en-US" w:eastAsia="zh-CN" w:bidi="ar"/>
              </w:rPr>
              <w:t>否</w:t>
            </w: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防尘网6针密  8米宽*35米长</w:t>
            </w:r>
          </w:p>
        </w:tc>
        <w:tc>
          <w:tcPr>
            <w:tcW w:w="67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10</w:t>
            </w:r>
          </w:p>
        </w:tc>
        <w:tc>
          <w:tcPr>
            <w:tcW w:w="825"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280</w:t>
            </w:r>
          </w:p>
        </w:tc>
        <w:tc>
          <w:tcPr>
            <w:tcW w:w="1537" w:type="dxa"/>
            <w:vAlign w:val="center"/>
          </w:tcPr>
          <w:p>
            <w:pPr>
              <w:keepNext w:val="0"/>
              <w:keepLines w:val="0"/>
              <w:widowControl/>
              <w:suppressLineNumbers w:val="0"/>
              <w:jc w:val="center"/>
              <w:textAlignment w:val="center"/>
              <w:rPr>
                <w:rFonts w:hint="eastAsia" w:ascii="宋体" w:hAnsi="宋体" w:eastAsia="宋体" w:cs="宋体"/>
                <w:b w:val="0"/>
                <w:bCs w:val="0"/>
                <w:sz w:val="18"/>
                <w:szCs w:val="18"/>
                <w:lang w:val="en-US" w:eastAsia="zh-CN"/>
              </w:rPr>
            </w:pPr>
            <w:r>
              <w:rPr>
                <w:rFonts w:hint="eastAsia" w:ascii="宋体" w:hAnsi="宋体" w:eastAsia="宋体" w:cs="宋体"/>
                <w:i w:val="0"/>
                <w:color w:val="000000"/>
                <w:kern w:val="0"/>
                <w:sz w:val="22"/>
                <w:szCs w:val="22"/>
                <w:u w:val="none"/>
                <w:lang w:val="en-US" w:eastAsia="zh-CN" w:bidi="ar"/>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tcPr>
          <w:p>
            <w:pPr>
              <w:jc w:val="left"/>
              <w:rPr>
                <w:rFonts w:hint="eastAsia" w:ascii="宋体" w:hAnsi="宋体" w:eastAsia="宋体" w:cs="宋体"/>
                <w:b w:val="0"/>
                <w:bCs w:val="0"/>
                <w:sz w:val="18"/>
                <w:szCs w:val="18"/>
                <w:lang w:val="en-US" w:eastAsia="zh-CN"/>
              </w:rPr>
            </w:pPr>
          </w:p>
        </w:tc>
        <w:tc>
          <w:tcPr>
            <w:tcW w:w="1012" w:type="dxa"/>
            <w:vAlign w:val="center"/>
          </w:tcPr>
          <w:p>
            <w:pPr>
              <w:keepNext w:val="0"/>
              <w:keepLines w:val="0"/>
              <w:widowControl/>
              <w:suppressLineNumbers w:val="0"/>
              <w:jc w:val="center"/>
              <w:textAlignment w:val="center"/>
              <w:rPr>
                <w:rFonts w:hint="eastAsia" w:ascii="宋体" w:hAnsi="宋体" w:cs="宋体"/>
                <w:i w:val="0"/>
                <w:color w:val="000000"/>
                <w:kern w:val="0"/>
                <w:sz w:val="18"/>
                <w:szCs w:val="18"/>
                <w:u w:val="none"/>
                <w:lang w:val="en-US" w:eastAsia="zh-CN" w:bidi="ar"/>
              </w:rPr>
            </w:pPr>
          </w:p>
        </w:tc>
        <w:tc>
          <w:tcPr>
            <w:tcW w:w="715" w:type="dxa"/>
            <w:vAlign w:val="center"/>
          </w:tcPr>
          <w:p>
            <w:pPr>
              <w:jc w:val="left"/>
              <w:rPr>
                <w:rFonts w:hint="eastAsia" w:ascii="宋体" w:hAnsi="宋体" w:eastAsia="宋体" w:cs="宋体"/>
                <w:b w:val="0"/>
                <w:bCs w:val="0"/>
                <w:sz w:val="18"/>
                <w:szCs w:val="18"/>
                <w:lang w:val="en-US" w:eastAsia="zh-CN"/>
              </w:rPr>
            </w:pPr>
          </w:p>
        </w:tc>
        <w:tc>
          <w:tcPr>
            <w:tcW w:w="735" w:type="dxa"/>
            <w:vAlign w:val="center"/>
          </w:tcPr>
          <w:p>
            <w:pPr>
              <w:jc w:val="left"/>
              <w:rPr>
                <w:rFonts w:hint="eastAsia" w:ascii="宋体" w:hAnsi="宋体" w:eastAsia="宋体" w:cs="宋体"/>
                <w:b w:val="0"/>
                <w:bCs w:val="0"/>
                <w:sz w:val="18"/>
                <w:szCs w:val="18"/>
                <w:lang w:val="en-US" w:eastAsia="zh-CN"/>
              </w:rPr>
            </w:pPr>
          </w:p>
        </w:tc>
        <w:tc>
          <w:tcPr>
            <w:tcW w:w="10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765" w:type="dxa"/>
            <w:vAlign w:val="center"/>
          </w:tcPr>
          <w:p>
            <w:pPr>
              <w:jc w:val="left"/>
              <w:rPr>
                <w:rFonts w:hint="eastAsia" w:ascii="宋体" w:hAnsi="宋体" w:eastAsia="宋体" w:cs="宋体"/>
                <w:b w:val="0"/>
                <w:bCs w:val="0"/>
                <w:sz w:val="18"/>
                <w:szCs w:val="18"/>
                <w:lang w:val="en-US" w:eastAsia="zh-CN"/>
              </w:rPr>
            </w:pPr>
          </w:p>
        </w:tc>
        <w:tc>
          <w:tcPr>
            <w:tcW w:w="181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合计</w:t>
            </w:r>
          </w:p>
        </w:tc>
        <w:tc>
          <w:tcPr>
            <w:tcW w:w="67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82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5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1300.018</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2"/>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8"/>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综合行政执法队（土地巡查）</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二办公区102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81292996</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黄村镇人民政府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王春亮</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黄村镇违法用地清理及违法建设拆除项目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r>
              <w:rPr>
                <w:rFonts w:hint="default" w:ascii="Arial" w:hAnsi="Arial" w:eastAsia="宋体" w:cs="Arial"/>
                <w:b w:val="0"/>
                <w:bCs w:val="0"/>
                <w:sz w:val="28"/>
                <w:szCs w:val="28"/>
                <w:shd w:val="clear" w:color="auto" w:fill="auto"/>
                <w:lang w:val="en-US" w:eastAsia="zh-CN"/>
              </w:rPr>
              <w:t>√</w:t>
            </w:r>
            <w:r>
              <w:rPr>
                <w:rFonts w:hint="eastAsia" w:ascii="宋体" w:hAnsi="宋体" w:eastAsia="宋体" w:cs="宋体"/>
                <w:b w:val="0"/>
                <w:bCs w:val="0"/>
                <w:sz w:val="28"/>
                <w:szCs w:val="28"/>
                <w:shd w:val="clear" w:color="auto" w:fill="auto"/>
                <w:lang w:val="en-US" w:eastAsia="zh-CN"/>
              </w:rPr>
              <w:t xml:space="preserve">  </w:t>
            </w:r>
          </w:p>
        </w:tc>
      </w:tr>
    </w:tbl>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bCs/>
          <w:kern w:val="2"/>
          <w:sz w:val="28"/>
          <w:szCs w:val="28"/>
          <w:lang w:val="en-US" w:eastAsia="zh-CN" w:bidi="ar-SA"/>
        </w:rPr>
        <w:t>坚决依法拆除宅基地、农田地和以公益为名的各类违法建设，重点打击拆除腾退地区和线性工程区域内的抢栽、抢建、扩建、改建等违法行为，切实实现“新生违法建设零增长”。依法拆除违法建设，拆除后的的场地达到场清地净，占用耕地的达到复耕条件。坚持“动土必查、发现必拆”的工作原则。努力实现“新生违法建设零增长，存量违法建设逐步减少”的工作目标。</w:t>
      </w:r>
    </w:p>
    <w:p>
      <w:pPr>
        <w:spacing w:line="360" w:lineRule="auto"/>
        <w:ind w:firstLine="55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仿宋_GB2312" w:hAnsi="仿宋_GB2312" w:eastAsia="仿宋_GB2312" w:cs="仿宋_GB2312"/>
          <w:bCs/>
          <w:kern w:val="2"/>
          <w:sz w:val="28"/>
          <w:szCs w:val="28"/>
          <w:lang w:val="en-US" w:eastAsia="zh-CN" w:bidi="ar-SA"/>
        </w:rPr>
        <w:t>该项目需资金1300.018万元。</w:t>
      </w:r>
    </w:p>
    <w:p>
      <w:pPr>
        <w:numPr>
          <w:ilvl w:val="0"/>
          <w:numId w:val="2"/>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spacing w:line="360" w:lineRule="auto"/>
        <w:ind w:firstLine="551"/>
        <w:rPr>
          <w:rFonts w:hint="eastAsia" w:ascii="仿宋_GB2312" w:hAnsi="仿宋_GB2312" w:eastAsia="仿宋_GB2312" w:cs="仿宋_GB2312"/>
          <w:bCs/>
          <w:kern w:val="2"/>
          <w:sz w:val="28"/>
          <w:szCs w:val="28"/>
          <w:lang w:val="en-US" w:eastAsia="zh-CN" w:bidi="ar-SA"/>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项目实施的必要性：</w:t>
      </w:r>
      <w:r>
        <w:rPr>
          <w:rFonts w:hint="eastAsia" w:ascii="仿宋_GB2312" w:hAnsi="仿宋_GB2312" w:eastAsia="仿宋_GB2312" w:cs="仿宋_GB2312"/>
          <w:bCs/>
          <w:kern w:val="2"/>
          <w:sz w:val="28"/>
          <w:szCs w:val="28"/>
          <w:lang w:val="en-US" w:eastAsia="zh-CN" w:bidi="ar-SA"/>
        </w:rPr>
        <w:t>许多违法建设都是非法活动的场所，给人们的生命财产造成了很大的危害。拆除违法建设对于整顿社会秩序，消除隐患，为镇域的发展提供更广阔的空间有着重要的作用。</w:t>
      </w:r>
    </w:p>
    <w:p>
      <w:pPr>
        <w:spacing w:line="360" w:lineRule="auto"/>
        <w:ind w:firstLine="551"/>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w:t>
      </w:r>
      <w:r>
        <w:rPr>
          <w:rFonts w:hint="eastAsia" w:ascii="宋体" w:hAnsi="宋体" w:eastAsia="宋体" w:cs="宋体"/>
          <w:b w:val="0"/>
          <w:bCs w:val="0"/>
          <w:sz w:val="28"/>
          <w:szCs w:val="28"/>
          <w:lang w:val="en-US" w:eastAsia="zh-CN"/>
        </w:rPr>
        <w:t>项目实施的可行性：</w:t>
      </w:r>
      <w:r>
        <w:rPr>
          <w:rFonts w:hint="eastAsia" w:ascii="仿宋_GB2312" w:hAnsi="仿宋_GB2312" w:eastAsia="仿宋_GB2312" w:cs="仿宋_GB2312"/>
          <w:bCs/>
          <w:kern w:val="2"/>
          <w:sz w:val="28"/>
          <w:szCs w:val="28"/>
          <w:lang w:val="en-US" w:eastAsia="zh-CN" w:bidi="ar-SA"/>
        </w:rPr>
        <w:t>能够对城市经济和社会发展产生积极的影响。能够为城市空间的优化和提升建设一个更加美好的未来。即消除了城市环境的污染，同时释放了土地资源，为后续城市建设奠定了良好的基础。</w:t>
      </w:r>
    </w:p>
    <w:p>
      <w:pPr>
        <w:spacing w:line="360" w:lineRule="auto"/>
        <w:ind w:firstLine="551"/>
        <w:rPr>
          <w:rFonts w:hint="eastAsia" w:ascii="仿宋_GB2312" w:hAnsi="仿宋_GB2312" w:eastAsia="仿宋_GB2312" w:cs="仿宋_GB2312"/>
          <w:bCs/>
          <w:kern w:val="2"/>
          <w:sz w:val="28"/>
          <w:szCs w:val="28"/>
          <w:lang w:val="en-US" w:eastAsia="zh-CN" w:bidi="ar-SA"/>
        </w:rPr>
      </w:pPr>
      <w:r>
        <w:rPr>
          <w:rFonts w:hint="eastAsia" w:ascii="宋体" w:hAnsi="宋体" w:cs="宋体"/>
          <w:b w:val="0"/>
          <w:bCs w:val="0"/>
          <w:sz w:val="28"/>
          <w:szCs w:val="28"/>
          <w:lang w:val="en-US" w:eastAsia="zh-CN"/>
        </w:rPr>
        <w:t>3.</w:t>
      </w:r>
      <w:r>
        <w:rPr>
          <w:rFonts w:hint="eastAsia" w:ascii="宋体" w:hAnsi="宋体" w:eastAsia="宋体" w:cs="宋体"/>
          <w:b w:val="0"/>
          <w:bCs w:val="0"/>
          <w:sz w:val="28"/>
          <w:szCs w:val="28"/>
          <w:lang w:val="en-US" w:eastAsia="zh-CN"/>
        </w:rPr>
        <w:t>项目风险与不确定性：</w:t>
      </w:r>
      <w:r>
        <w:rPr>
          <w:rFonts w:hint="eastAsia" w:ascii="仿宋_GB2312" w:hAnsi="仿宋_GB2312" w:eastAsia="仿宋_GB2312" w:cs="仿宋_GB2312"/>
          <w:bCs/>
          <w:kern w:val="2"/>
          <w:sz w:val="28"/>
          <w:szCs w:val="28"/>
          <w:lang w:val="en-US" w:eastAsia="zh-CN" w:bidi="ar-SA"/>
        </w:rPr>
        <w:t>由于对拆除的违法建设在村外围极少情况是在村内人员密集的场所实施，项目的风险和不确定性很低。</w:t>
      </w:r>
    </w:p>
    <w:p>
      <w:pPr>
        <w:numPr>
          <w:ilvl w:val="0"/>
          <w:numId w:val="0"/>
        </w:numPr>
        <w:ind w:leftChars="0" w:firstLine="560" w:firstLineChars="200"/>
        <w:jc w:val="left"/>
        <w:rPr>
          <w:rFonts w:hint="eastAsia" w:ascii="宋体" w:hAnsi="宋体" w:eastAsia="宋体" w:cs="宋体"/>
          <w:b w:val="0"/>
          <w:bCs w:val="0"/>
          <w:sz w:val="28"/>
          <w:szCs w:val="28"/>
          <w:lang w:val="en-US" w:eastAsia="zh-CN"/>
        </w:rPr>
      </w:pP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8"/>
        <w:tblW w:w="96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3221"/>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840" w:type="dxa"/>
            <w:vAlign w:val="center"/>
          </w:tcPr>
          <w:p>
            <w:pPr>
              <w:numPr>
                <w:ilvl w:val="0"/>
                <w:numId w:val="0"/>
              </w:num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3221" w:type="dxa"/>
            <w:vAlign w:val="center"/>
          </w:tcPr>
          <w:p>
            <w:pPr>
              <w:numPr>
                <w:ilvl w:val="0"/>
                <w:numId w:val="0"/>
              </w:num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3540" w:type="dxa"/>
            <w:vAlign w:val="center"/>
          </w:tcPr>
          <w:p>
            <w:pPr>
              <w:numPr>
                <w:ilvl w:val="0"/>
                <w:numId w:val="0"/>
              </w:num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8" w:hRule="atLeast"/>
        </w:trPr>
        <w:tc>
          <w:tcPr>
            <w:tcW w:w="2840" w:type="dxa"/>
            <w:vAlign w:val="top"/>
          </w:tcPr>
          <w:p>
            <w:pPr>
              <w:numPr>
                <w:ilvl w:val="0"/>
                <w:numId w:val="0"/>
              </w:numPr>
              <w:jc w:val="left"/>
              <w:rPr>
                <w:rFonts w:hint="eastAsia" w:ascii="宋体" w:hAnsi="宋体" w:eastAsia="宋体" w:cs="宋体"/>
                <w:b/>
                <w:bCs/>
                <w:sz w:val="32"/>
                <w:szCs w:val="32"/>
                <w:lang w:val="en-US" w:eastAsia="zh-CN"/>
              </w:rPr>
            </w:pPr>
            <w:r>
              <w:rPr>
                <w:rFonts w:hint="eastAsia"/>
                <w:b w:val="0"/>
                <w:bCs w:val="0"/>
                <w:sz w:val="24"/>
                <w:szCs w:val="24"/>
                <w:lang w:val="en-US" w:eastAsia="zh-CN"/>
              </w:rPr>
              <w:t>黄村镇违法用地清理及违法建设拆除项目</w:t>
            </w:r>
          </w:p>
        </w:tc>
        <w:tc>
          <w:tcPr>
            <w:tcW w:w="322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val="0"/>
                <w:bCs w:val="0"/>
                <w:sz w:val="32"/>
                <w:szCs w:val="32"/>
                <w:lang w:val="en-US" w:eastAsia="zh-CN"/>
              </w:rPr>
              <w:t>2025年1月1日开始</w:t>
            </w:r>
          </w:p>
        </w:tc>
        <w:tc>
          <w:tcPr>
            <w:tcW w:w="3540"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val="0"/>
                <w:bCs w:val="0"/>
                <w:sz w:val="32"/>
                <w:szCs w:val="32"/>
                <w:lang w:val="en-US" w:eastAsia="zh-CN"/>
              </w:rPr>
              <w:t>2025</w:t>
            </w:r>
            <w:bookmarkStart w:id="0" w:name="_GoBack"/>
            <w:bookmarkEnd w:id="0"/>
            <w:r>
              <w:rPr>
                <w:rFonts w:hint="eastAsia" w:ascii="宋体" w:hAnsi="宋体" w:cs="宋体"/>
                <w:b w:val="0"/>
                <w:bCs w:val="0"/>
                <w:sz w:val="32"/>
                <w:szCs w:val="32"/>
                <w:lang w:val="en-US" w:eastAsia="zh-CN"/>
              </w:rPr>
              <w:t>年12月31日结束</w:t>
            </w: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Lucida Sans Unicode">
    <w:panose1 w:val="020B0602030504020204"/>
    <w:charset w:val="00"/>
    <w:family w:val="auto"/>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auto"/>
    <w:pitch w:val="default"/>
    <w:sig w:usb0="A10006FF" w:usb1="4000205B" w:usb2="00000010" w:usb3="00000000" w:csb0="2000019F"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0"/>
    <w:family w:val="roman"/>
    <w:pitch w:val="default"/>
    <w:sig w:usb0="00000000" w:usb1="00000000" w:usb2="00000000" w:usb3="00000000" w:csb0="80000000" w:csb1="00000000"/>
  </w:font>
  <w:font w:name="-webkit-standard">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仿宋_GB2312">
    <w:altName w:val="仿宋"/>
    <w:panose1 w:val="02000000000000000000"/>
    <w:charset w:val="00"/>
    <w:family w:val="auto"/>
    <w:pitch w:val="default"/>
    <w:sig w:usb0="00000000" w:usb1="00000000" w:usb2="00000000" w:usb3="00000000" w:csb0="00040001" w:csb1="00000000"/>
  </w:font>
  <w:font w:name="方正粗黑宋简体">
    <w:panose1 w:val="02000000000000000000"/>
    <w:charset w:val="86"/>
    <w:family w:val="auto"/>
    <w:pitch w:val="default"/>
    <w:sig w:usb0="A00002BF" w:usb1="184F6CFA" w:usb2="00000012"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Helvetica">
    <w:panose1 w:val="020B0604020202020204"/>
    <w:charset w:val="00"/>
    <w:family w:val="swiss"/>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Arial Narrow">
    <w:panose1 w:val="020B0606020202030204"/>
    <w:charset w:val="00"/>
    <w:family w:val="swiss"/>
    <w:pitch w:val="default"/>
    <w:sig w:usb0="00000287" w:usb1="00000800" w:usb2="00000000" w:usb3="00000000" w:csb0="2000009F" w:csb1="DFD70000"/>
  </w:font>
  <w:font w:name="等线 Light">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64DC3560"/>
    <w:multiLevelType w:val="singleLevel"/>
    <w:tmpl w:val="64DC3560"/>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29B678E"/>
    <w:rsid w:val="06847773"/>
    <w:rsid w:val="084E6897"/>
    <w:rsid w:val="09462A87"/>
    <w:rsid w:val="0A5D4D63"/>
    <w:rsid w:val="0BA370C7"/>
    <w:rsid w:val="0C301D59"/>
    <w:rsid w:val="0E272169"/>
    <w:rsid w:val="0FB44392"/>
    <w:rsid w:val="13030BC6"/>
    <w:rsid w:val="13F73D10"/>
    <w:rsid w:val="15283166"/>
    <w:rsid w:val="17786071"/>
    <w:rsid w:val="1B4C5126"/>
    <w:rsid w:val="1BE57C68"/>
    <w:rsid w:val="1F2F0386"/>
    <w:rsid w:val="21FB1E6F"/>
    <w:rsid w:val="24337A94"/>
    <w:rsid w:val="24AF3BBA"/>
    <w:rsid w:val="250C0E63"/>
    <w:rsid w:val="27B1128F"/>
    <w:rsid w:val="2AD22C9C"/>
    <w:rsid w:val="2BF20978"/>
    <w:rsid w:val="2E8A08DA"/>
    <w:rsid w:val="2F471EE1"/>
    <w:rsid w:val="308113CB"/>
    <w:rsid w:val="34B53ED7"/>
    <w:rsid w:val="392174EA"/>
    <w:rsid w:val="3986253E"/>
    <w:rsid w:val="3B9E0676"/>
    <w:rsid w:val="3EE7473D"/>
    <w:rsid w:val="42977198"/>
    <w:rsid w:val="42C8236C"/>
    <w:rsid w:val="46546C40"/>
    <w:rsid w:val="470771CB"/>
    <w:rsid w:val="4775673C"/>
    <w:rsid w:val="49BD3D3E"/>
    <w:rsid w:val="4E7144A5"/>
    <w:rsid w:val="4F815F87"/>
    <w:rsid w:val="54F9326F"/>
    <w:rsid w:val="5899218B"/>
    <w:rsid w:val="59467262"/>
    <w:rsid w:val="625005B0"/>
    <w:rsid w:val="63F01422"/>
    <w:rsid w:val="651C2939"/>
    <w:rsid w:val="65FC780C"/>
    <w:rsid w:val="6875468F"/>
    <w:rsid w:val="69CF4D5E"/>
    <w:rsid w:val="6D535020"/>
    <w:rsid w:val="6DBF4C2E"/>
    <w:rsid w:val="718540C5"/>
    <w:rsid w:val="71C9020E"/>
    <w:rsid w:val="72D26A15"/>
    <w:rsid w:val="76DC7E8D"/>
    <w:rsid w:val="7C8D7F4E"/>
    <w:rsid w:val="7D364BCB"/>
    <w:rsid w:val="7F584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rPr>
      <w:rFonts w:eastAsia="仿宋_GB2312"/>
      <w:sz w:val="32"/>
    </w:rPr>
  </w:style>
  <w:style w:type="paragraph" w:styleId="3">
    <w:name w:val="Body Text Indent"/>
    <w:basedOn w:val="1"/>
    <w:qFormat/>
    <w:uiPriority w:val="0"/>
    <w:pPr>
      <w:spacing w:line="600" w:lineRule="atLeast"/>
      <w:ind w:left="360" w:hanging="540"/>
    </w:pPr>
    <w:rPr>
      <w:rFonts w:ascii="仿宋_GB2312" w:hAnsi="Calibri" w:eastAsia="仿宋_GB2312" w:cs="Times New Roman"/>
      <w:kern w:val="0"/>
      <w:sz w:val="32"/>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正文 "/>
    <w:basedOn w:val="1"/>
    <w:qFormat/>
    <w:uiPriority w:val="0"/>
    <w:pPr>
      <w:widowControl w:val="0"/>
      <w:adjustRightInd w:val="0"/>
      <w:spacing w:line="318" w:lineRule="atLeast"/>
      <w:ind w:left="369" w:firstLine="369"/>
      <w:jc w:val="both"/>
      <w:textAlignment w:val="baseline"/>
    </w:pPr>
    <w:rPr>
      <w:rFonts w:ascii="宋体"/>
      <w:sz w:val="21"/>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HCZ-TUXC</cp:lastModifiedBy>
  <cp:lastPrinted>2018-09-07T03:15:00Z</cp:lastPrinted>
  <dcterms:modified xsi:type="dcterms:W3CDTF">2024-08-13T02:52:59Z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