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89" w:rsidRDefault="00B531C5">
      <w:pPr>
        <w:spacing w:before="101" w:line="316" w:lineRule="auto"/>
        <w:ind w:right="71"/>
        <w:jc w:val="center"/>
        <w:rPr>
          <w:rFonts w:ascii="黑体" w:eastAsia="黑体" w:hAnsi="黑体" w:cs="黑体"/>
          <w:spacing w:val="9"/>
          <w:sz w:val="31"/>
          <w:szCs w:val="31"/>
          <w:lang w:eastAsia="zh-CN"/>
        </w:rPr>
      </w:pPr>
      <w:r>
        <w:rPr>
          <w:rFonts w:ascii="宋体" w:eastAsia="宋体" w:hAnsi="宋体" w:cs="宋体" w:hint="eastAsia"/>
          <w:b/>
          <w:bCs/>
          <w:spacing w:val="2"/>
          <w:sz w:val="43"/>
          <w:szCs w:val="43"/>
          <w:lang w:eastAsia="zh-CN"/>
        </w:rPr>
        <w:t>魏善庄镇202</w:t>
      </w:r>
      <w:r w:rsidR="00742105">
        <w:rPr>
          <w:rFonts w:ascii="宋体" w:eastAsia="宋体" w:hAnsi="宋体" w:cs="宋体" w:hint="eastAsia"/>
          <w:b/>
          <w:bCs/>
          <w:spacing w:val="2"/>
          <w:sz w:val="43"/>
          <w:szCs w:val="43"/>
          <w:lang w:eastAsia="zh-CN"/>
        </w:rPr>
        <w:t>5</w:t>
      </w:r>
      <w:r>
        <w:rPr>
          <w:rFonts w:ascii="宋体" w:eastAsia="宋体" w:hAnsi="宋体" w:cs="宋体" w:hint="eastAsia"/>
          <w:b/>
          <w:bCs/>
          <w:spacing w:val="2"/>
          <w:sz w:val="43"/>
          <w:szCs w:val="43"/>
          <w:lang w:eastAsia="zh-CN"/>
        </w:rPr>
        <w:t>年</w:t>
      </w:r>
      <w:r w:rsidR="00742105">
        <w:rPr>
          <w:rFonts w:ascii="宋体" w:eastAsia="宋体" w:hAnsi="宋体" w:cs="宋体" w:hint="eastAsia"/>
          <w:b/>
          <w:bCs/>
          <w:spacing w:val="2"/>
          <w:sz w:val="43"/>
          <w:szCs w:val="43"/>
          <w:lang w:eastAsia="zh-CN"/>
        </w:rPr>
        <w:t>上半年</w:t>
      </w:r>
      <w:r>
        <w:rPr>
          <w:rFonts w:ascii="宋体" w:eastAsia="宋体" w:hAnsi="宋体" w:cs="宋体"/>
          <w:b/>
          <w:bCs/>
          <w:spacing w:val="2"/>
          <w:sz w:val="43"/>
          <w:szCs w:val="43"/>
          <w:lang w:eastAsia="zh-CN"/>
        </w:rPr>
        <w:t>调整预算方案的说明</w:t>
      </w:r>
    </w:p>
    <w:p w:rsidR="00E17289" w:rsidRDefault="00E17289">
      <w:pPr>
        <w:spacing w:before="101" w:line="316" w:lineRule="auto"/>
        <w:ind w:left="4" w:right="71" w:firstLine="649"/>
        <w:rPr>
          <w:rFonts w:ascii="黑体" w:eastAsia="黑体" w:hAnsi="黑体" w:cs="黑体"/>
          <w:spacing w:val="9"/>
          <w:sz w:val="31"/>
          <w:szCs w:val="31"/>
          <w:lang w:eastAsia="zh-CN"/>
        </w:rPr>
      </w:pPr>
    </w:p>
    <w:p w:rsidR="00E17289" w:rsidRDefault="00B531C5">
      <w:pPr>
        <w:spacing w:before="101" w:line="316" w:lineRule="auto"/>
        <w:ind w:left="4" w:right="71" w:firstLine="649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9"/>
          <w:sz w:val="31"/>
          <w:szCs w:val="31"/>
          <w:lang w:eastAsia="zh-CN"/>
        </w:rPr>
        <w:t>一、关于《</w:t>
      </w:r>
      <w:r>
        <w:rPr>
          <w:rFonts w:ascii="黑体" w:eastAsia="黑体" w:hAnsi="黑体" w:cs="黑体" w:hint="eastAsia"/>
          <w:spacing w:val="9"/>
          <w:sz w:val="31"/>
          <w:szCs w:val="31"/>
          <w:lang w:eastAsia="zh-CN"/>
        </w:rPr>
        <w:t>魏善庄镇202</w:t>
      </w:r>
      <w:r w:rsidR="00742105">
        <w:rPr>
          <w:rFonts w:ascii="黑体" w:eastAsia="黑体" w:hAnsi="黑体" w:cs="黑体" w:hint="eastAsia"/>
          <w:spacing w:val="9"/>
          <w:sz w:val="31"/>
          <w:szCs w:val="31"/>
          <w:lang w:eastAsia="zh-CN"/>
        </w:rPr>
        <w:t>5</w:t>
      </w:r>
      <w:r>
        <w:rPr>
          <w:rFonts w:ascii="黑体" w:eastAsia="黑体" w:hAnsi="黑体" w:cs="黑体"/>
          <w:spacing w:val="9"/>
          <w:sz w:val="31"/>
          <w:szCs w:val="31"/>
          <w:lang w:eastAsia="zh-CN"/>
        </w:rPr>
        <w:t>年一般公共预算收</w:t>
      </w:r>
      <w:r>
        <w:rPr>
          <w:rFonts w:ascii="黑体" w:eastAsia="黑体" w:hAnsi="黑体" w:cs="黑体"/>
          <w:spacing w:val="8"/>
          <w:sz w:val="31"/>
          <w:szCs w:val="31"/>
          <w:lang w:eastAsia="zh-CN"/>
        </w:rPr>
        <w:t>入调整预算</w:t>
      </w:r>
      <w:r>
        <w:rPr>
          <w:rFonts w:ascii="黑体" w:eastAsia="黑体" w:hAnsi="黑体" w:cs="黑体"/>
          <w:spacing w:val="7"/>
          <w:sz w:val="31"/>
          <w:szCs w:val="31"/>
          <w:lang w:eastAsia="zh-CN"/>
        </w:rPr>
        <w:t>表》的说明</w:t>
      </w:r>
    </w:p>
    <w:p w:rsidR="00E17289" w:rsidRDefault="00B531C5">
      <w:pPr>
        <w:spacing w:before="50" w:line="323" w:lineRule="auto"/>
        <w:ind w:left="3" w:right="25" w:firstLine="655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 w:hint="eastAsia"/>
          <w:spacing w:val="9"/>
          <w:sz w:val="31"/>
          <w:szCs w:val="31"/>
          <w:lang w:eastAsia="zh-CN"/>
        </w:rPr>
        <w:t>202</w:t>
      </w:r>
      <w:r w:rsidR="00742105">
        <w:rPr>
          <w:rFonts w:ascii="仿宋" w:eastAsia="仿宋" w:hAnsi="仿宋" w:cs="仿宋" w:hint="eastAsia"/>
          <w:spacing w:val="9"/>
          <w:sz w:val="31"/>
          <w:szCs w:val="31"/>
          <w:lang w:eastAsia="zh-CN"/>
        </w:rPr>
        <w:t>5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>年一般公共预算收入</w:t>
      </w:r>
      <w:r>
        <w:rPr>
          <w:rFonts w:ascii="仿宋" w:eastAsia="仿宋" w:hAnsi="仿宋" w:cs="仿宋" w:hint="eastAsia"/>
          <w:spacing w:val="9"/>
          <w:sz w:val="31"/>
          <w:szCs w:val="31"/>
          <w:lang w:eastAsia="zh-CN"/>
        </w:rPr>
        <w:t>任务为1</w:t>
      </w:r>
      <w:r w:rsidR="00557FB0">
        <w:rPr>
          <w:rFonts w:ascii="仿宋" w:eastAsia="仿宋" w:hAnsi="仿宋" w:cs="仿宋" w:hint="eastAsia"/>
          <w:spacing w:val="9"/>
          <w:sz w:val="31"/>
          <w:szCs w:val="31"/>
          <w:lang w:eastAsia="zh-CN"/>
        </w:rPr>
        <w:t>10</w:t>
      </w:r>
      <w:r>
        <w:rPr>
          <w:rFonts w:ascii="仿宋" w:eastAsia="仿宋" w:hAnsi="仿宋" w:cs="仿宋" w:hint="eastAsia"/>
          <w:spacing w:val="9"/>
          <w:sz w:val="31"/>
          <w:szCs w:val="31"/>
          <w:lang w:eastAsia="zh-CN"/>
        </w:rPr>
        <w:t>00万元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>，</w:t>
      </w:r>
      <w:r>
        <w:rPr>
          <w:rFonts w:ascii="仿宋" w:eastAsia="仿宋" w:hAnsi="仿宋" w:cs="仿宋" w:hint="eastAsia"/>
          <w:spacing w:val="9"/>
          <w:sz w:val="31"/>
          <w:szCs w:val="31"/>
          <w:lang w:eastAsia="zh-CN"/>
        </w:rPr>
        <w:t>暂无变化。</w:t>
      </w:r>
    </w:p>
    <w:p w:rsidR="00E17289" w:rsidRDefault="00B531C5">
      <w:pPr>
        <w:spacing w:before="36" w:line="315" w:lineRule="auto"/>
        <w:ind w:left="4" w:right="71" w:firstLine="648"/>
        <w:rPr>
          <w:rFonts w:ascii="黑体" w:eastAsia="黑体" w:hAnsi="黑体" w:cs="黑体"/>
          <w:spacing w:val="7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9"/>
          <w:sz w:val="31"/>
          <w:szCs w:val="31"/>
          <w:lang w:eastAsia="zh-CN"/>
        </w:rPr>
        <w:t>二、关于《</w:t>
      </w:r>
      <w:r>
        <w:rPr>
          <w:rFonts w:ascii="黑体" w:eastAsia="黑体" w:hAnsi="黑体" w:cs="黑体" w:hint="eastAsia"/>
          <w:spacing w:val="9"/>
          <w:sz w:val="31"/>
          <w:szCs w:val="31"/>
          <w:lang w:eastAsia="zh-CN"/>
        </w:rPr>
        <w:t>魏善庄镇202</w:t>
      </w:r>
      <w:r w:rsidR="00742105">
        <w:rPr>
          <w:rFonts w:ascii="黑体" w:eastAsia="黑体" w:hAnsi="黑体" w:cs="黑体" w:hint="eastAsia"/>
          <w:spacing w:val="9"/>
          <w:sz w:val="31"/>
          <w:szCs w:val="31"/>
          <w:lang w:eastAsia="zh-CN"/>
        </w:rPr>
        <w:t>5</w:t>
      </w:r>
      <w:r>
        <w:rPr>
          <w:rFonts w:ascii="黑体" w:eastAsia="黑体" w:hAnsi="黑体" w:cs="黑体"/>
          <w:spacing w:val="9"/>
          <w:sz w:val="31"/>
          <w:szCs w:val="31"/>
          <w:lang w:eastAsia="zh-CN"/>
        </w:rPr>
        <w:t>年一般公共预算支出调</w:t>
      </w:r>
      <w:r>
        <w:rPr>
          <w:rFonts w:ascii="黑体" w:eastAsia="黑体" w:hAnsi="黑体" w:cs="黑体"/>
          <w:spacing w:val="8"/>
          <w:sz w:val="31"/>
          <w:szCs w:val="31"/>
          <w:lang w:eastAsia="zh-CN"/>
        </w:rPr>
        <w:t>整预算</w:t>
      </w:r>
      <w:r>
        <w:rPr>
          <w:rFonts w:ascii="黑体" w:eastAsia="黑体" w:hAnsi="黑体" w:cs="黑体"/>
          <w:spacing w:val="7"/>
          <w:sz w:val="31"/>
          <w:szCs w:val="31"/>
          <w:lang w:eastAsia="zh-CN"/>
        </w:rPr>
        <w:t>表》的说明</w:t>
      </w:r>
    </w:p>
    <w:p w:rsidR="00742105" w:rsidRDefault="00742105" w:rsidP="00742105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auto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auto"/>
          <w:sz w:val="32"/>
          <w:szCs w:val="32"/>
          <w:lang w:eastAsia="zh-CN"/>
        </w:rPr>
        <w:t>（一）一般公共预算支出54205.28万元，其中：</w:t>
      </w:r>
      <w:r>
        <w:rPr>
          <w:rFonts w:ascii="仿宋_GB2312" w:eastAsia="仿宋_GB2312" w:hAnsi="仿宋_GB2312" w:cs="仿宋_GB2312" w:hint="eastAsia"/>
          <w:color w:val="auto"/>
          <w:kern w:val="2"/>
          <w:sz w:val="32"/>
          <w:szCs w:val="32"/>
          <w:lang w:eastAsia="zh-CN"/>
        </w:rPr>
        <w:t>一般公共服务支出调整为7800.02万元，调增424.5万元，主要是增加违法建设治理、责任规划师补贴项目；公共安全支出5.68万元，未做调整；科学技术支出14万元，未做调整；文化旅游体育与传媒支出调整为207.65万元，调增46.7万元，主要是增加休闲文化季宣传服务项目；社会保障和就业支出调整为2444.15万元，调增31.37万元，主要是增加公益性就业岗位补贴项目；卫生健康支出调整为4420.08万元，调增212.22万元，主要是增加农村地区社区卫生人员岗位补助项目；节能环保支出调整为951.72万元，调增604.34万元，主要是增加大气精细化治理项目；城乡社区支出调整为12305.9万元，调增3039.5万元，主要是增加疏整促项目；农林水支出调整为25661.95万元，调增4816.24万元，主要是增加小微绿地建设工程、美丽乡村建设项目；交通运输支出166.18万元，未做调整；</w:t>
      </w:r>
      <w:r>
        <w:rPr>
          <w:rStyle w:val="CharCharCharCharCharCharCharCharCharCharCharCharCharCharCharChar"/>
          <w:rFonts w:ascii="仿宋_GB2312" w:eastAsia="仿宋_GB2312" w:hAnsi="仿宋_GB2312" w:hint="eastAsia"/>
          <w:bCs/>
          <w:color w:val="auto"/>
          <w:sz w:val="32"/>
          <w:szCs w:val="32"/>
          <w:lang w:eastAsia="zh-CN"/>
        </w:rPr>
        <w:t>自然资源海洋气象支出</w:t>
      </w:r>
      <w:r>
        <w:rPr>
          <w:rFonts w:ascii="仿宋_GB2312" w:eastAsia="仿宋_GB2312" w:hAnsi="仿宋_GB2312" w:cs="仿宋_GB2312" w:hint="eastAsia"/>
          <w:color w:val="auto"/>
          <w:kern w:val="2"/>
          <w:sz w:val="32"/>
          <w:szCs w:val="32"/>
          <w:lang w:eastAsia="zh-CN"/>
        </w:rPr>
        <w:t>调增为</w:t>
      </w:r>
      <w:r>
        <w:rPr>
          <w:rStyle w:val="CharCharCharCharCharCharCharCharCharCharCharCharCharCharCharChar"/>
          <w:rFonts w:ascii="仿宋_GB2312" w:eastAsia="仿宋_GB2312" w:hAnsi="仿宋_GB2312" w:hint="eastAsia"/>
          <w:bCs/>
          <w:color w:val="auto"/>
          <w:sz w:val="32"/>
          <w:szCs w:val="32"/>
          <w:lang w:eastAsia="zh-CN"/>
        </w:rPr>
        <w:t>220.99万元，</w:t>
      </w:r>
      <w:r>
        <w:rPr>
          <w:rFonts w:ascii="仿宋_GB2312" w:eastAsia="仿宋_GB2312" w:hAnsi="仿宋_GB2312" w:cs="仿宋_GB2312" w:hint="eastAsia"/>
          <w:color w:val="auto"/>
          <w:kern w:val="2"/>
          <w:sz w:val="32"/>
          <w:szCs w:val="32"/>
          <w:lang w:eastAsia="zh-CN"/>
        </w:rPr>
        <w:t>主要是增加房地一体的宅基地、集体建设用地权籍调查和确权登记项目；住房保障支出6.96万元,未做调整。</w:t>
      </w:r>
    </w:p>
    <w:p w:rsidR="00E17289" w:rsidRDefault="00B531C5">
      <w:pPr>
        <w:spacing w:before="178" w:line="289" w:lineRule="auto"/>
        <w:ind w:right="38" w:firstLine="668"/>
        <w:rPr>
          <w:rFonts w:ascii="黑体" w:eastAsia="黑体" w:hAnsi="黑体" w:cs="黑体"/>
          <w:spacing w:val="8"/>
          <w:sz w:val="31"/>
          <w:szCs w:val="31"/>
          <w:lang w:eastAsia="zh-CN"/>
        </w:rPr>
      </w:pPr>
      <w:r>
        <w:rPr>
          <w:rFonts w:ascii="黑体" w:eastAsia="黑体" w:hAnsi="黑体" w:cs="黑体" w:hint="eastAsia"/>
          <w:spacing w:val="8"/>
          <w:sz w:val="31"/>
          <w:szCs w:val="31"/>
          <w:lang w:eastAsia="zh-CN"/>
        </w:rPr>
        <w:lastRenderedPageBreak/>
        <w:t>三</w:t>
      </w:r>
      <w:r>
        <w:rPr>
          <w:rFonts w:ascii="黑体" w:eastAsia="黑体" w:hAnsi="黑体" w:cs="黑体"/>
          <w:spacing w:val="8"/>
          <w:sz w:val="31"/>
          <w:szCs w:val="31"/>
          <w:lang w:eastAsia="zh-CN"/>
        </w:rPr>
        <w:t>、关于《</w:t>
      </w:r>
      <w:r>
        <w:rPr>
          <w:rFonts w:ascii="黑体" w:eastAsia="黑体" w:hAnsi="黑体" w:cs="黑体" w:hint="eastAsia"/>
          <w:spacing w:val="8"/>
          <w:sz w:val="31"/>
          <w:szCs w:val="31"/>
          <w:lang w:eastAsia="zh-CN"/>
        </w:rPr>
        <w:t>魏善庄镇202</w:t>
      </w:r>
      <w:r w:rsidR="00742105">
        <w:rPr>
          <w:rFonts w:ascii="黑体" w:eastAsia="黑体" w:hAnsi="黑体" w:cs="黑体" w:hint="eastAsia"/>
          <w:spacing w:val="8"/>
          <w:sz w:val="31"/>
          <w:szCs w:val="31"/>
          <w:lang w:eastAsia="zh-CN"/>
        </w:rPr>
        <w:t>5</w:t>
      </w:r>
      <w:r>
        <w:rPr>
          <w:rFonts w:ascii="黑体" w:eastAsia="黑体" w:hAnsi="黑体" w:cs="黑体"/>
          <w:spacing w:val="8"/>
          <w:sz w:val="31"/>
          <w:szCs w:val="31"/>
          <w:lang w:eastAsia="zh-CN"/>
        </w:rPr>
        <w:t>年政府性基金预算收入调整预算表》的说明</w:t>
      </w:r>
    </w:p>
    <w:p w:rsidR="00E17289" w:rsidRDefault="00B531C5">
      <w:pPr>
        <w:spacing w:before="101" w:line="276" w:lineRule="auto"/>
        <w:ind w:left="18" w:right="38" w:firstLineChars="200" w:firstLine="624"/>
        <w:rPr>
          <w:rFonts w:ascii="仿宋" w:eastAsia="仿宋" w:hAnsi="仿宋" w:cs="仿宋"/>
          <w:spacing w:val="1"/>
          <w:sz w:val="31"/>
          <w:szCs w:val="31"/>
          <w:lang w:eastAsia="zh-CN"/>
        </w:rPr>
      </w:pPr>
      <w:r>
        <w:rPr>
          <w:rFonts w:ascii="仿宋" w:eastAsia="仿宋" w:hAnsi="仿宋" w:cs="仿宋" w:hint="eastAsia"/>
          <w:spacing w:val="1"/>
          <w:sz w:val="31"/>
          <w:szCs w:val="31"/>
          <w:lang w:eastAsia="zh-CN"/>
        </w:rPr>
        <w:t>本单位不涉及上述表内数据。</w:t>
      </w:r>
    </w:p>
    <w:p w:rsidR="00742105" w:rsidRDefault="00742105" w:rsidP="00742105">
      <w:pPr>
        <w:spacing w:before="35" w:line="289" w:lineRule="auto"/>
        <w:ind w:left="1" w:right="38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 w:hint="eastAsia"/>
          <w:spacing w:val="14"/>
          <w:sz w:val="31"/>
          <w:szCs w:val="31"/>
          <w:lang w:eastAsia="zh-CN"/>
        </w:rPr>
        <w:t xml:space="preserve">    </w:t>
      </w:r>
      <w:r w:rsidR="00B531C5">
        <w:rPr>
          <w:rFonts w:ascii="黑体" w:eastAsia="黑体" w:hAnsi="黑体" w:cs="黑体" w:hint="eastAsia"/>
          <w:spacing w:val="14"/>
          <w:sz w:val="31"/>
          <w:szCs w:val="31"/>
          <w:lang w:eastAsia="zh-CN"/>
        </w:rPr>
        <w:t>四</w:t>
      </w:r>
      <w:r w:rsidR="00B531C5">
        <w:rPr>
          <w:rFonts w:ascii="黑体" w:eastAsia="黑体" w:hAnsi="黑体" w:cs="黑体"/>
          <w:spacing w:val="14"/>
          <w:sz w:val="31"/>
          <w:szCs w:val="31"/>
          <w:lang w:eastAsia="zh-CN"/>
        </w:rPr>
        <w:t>、关于《</w:t>
      </w:r>
      <w:r w:rsidR="00B531C5">
        <w:rPr>
          <w:rFonts w:ascii="黑体" w:eastAsia="黑体" w:hAnsi="黑体" w:cs="黑体" w:hint="eastAsia"/>
          <w:spacing w:val="14"/>
          <w:sz w:val="31"/>
          <w:szCs w:val="31"/>
          <w:lang w:eastAsia="zh-CN"/>
        </w:rPr>
        <w:t>魏善庄镇202</w:t>
      </w:r>
      <w:r>
        <w:rPr>
          <w:rFonts w:ascii="黑体" w:eastAsia="黑体" w:hAnsi="黑体" w:cs="黑体" w:hint="eastAsia"/>
          <w:spacing w:val="14"/>
          <w:sz w:val="31"/>
          <w:szCs w:val="31"/>
          <w:lang w:eastAsia="zh-CN"/>
        </w:rPr>
        <w:t>5</w:t>
      </w:r>
      <w:r w:rsidR="00B531C5">
        <w:rPr>
          <w:rFonts w:ascii="黑体" w:eastAsia="黑体" w:hAnsi="黑体" w:cs="黑体"/>
          <w:spacing w:val="14"/>
          <w:sz w:val="31"/>
          <w:szCs w:val="31"/>
          <w:lang w:eastAsia="zh-CN"/>
        </w:rPr>
        <w:t>年政府性基金预算支出调整</w:t>
      </w:r>
      <w:r w:rsidR="00B531C5">
        <w:rPr>
          <w:rFonts w:ascii="黑体" w:eastAsia="黑体" w:hAnsi="黑体" w:cs="黑体"/>
          <w:spacing w:val="8"/>
          <w:sz w:val="31"/>
          <w:szCs w:val="31"/>
          <w:lang w:eastAsia="zh-CN"/>
        </w:rPr>
        <w:t>预算表》的说明</w:t>
      </w:r>
    </w:p>
    <w:p w:rsidR="00742105" w:rsidRPr="00742105" w:rsidRDefault="00742105" w:rsidP="00742105">
      <w:pPr>
        <w:spacing w:before="35" w:line="289" w:lineRule="auto"/>
        <w:ind w:left="1" w:right="38" w:firstLine="806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仿宋_GB2312" w:eastAsia="仿宋_GB2312" w:hAnsi="楷体_GB2312" w:cs="楷体_GB2312" w:hint="eastAsia"/>
          <w:bCs/>
          <w:color w:val="auto"/>
          <w:sz w:val="32"/>
          <w:szCs w:val="32"/>
          <w:lang w:eastAsia="zh-CN"/>
        </w:rPr>
        <w:t>政府性基金预算支出12841.19万元，其中：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  <w:lang w:eastAsia="zh-CN"/>
        </w:rPr>
        <w:t>城乡社区支出调整为</w:t>
      </w:r>
      <w:r>
        <w:rPr>
          <w:rFonts w:ascii="仿宋_GB2312" w:eastAsia="仿宋_GB2312" w:hAnsi="仿宋_GB2312" w:cs="仿宋_GB2312" w:hint="eastAsia"/>
          <w:color w:val="auto"/>
          <w:kern w:val="2"/>
          <w:sz w:val="32"/>
          <w:szCs w:val="32"/>
          <w:lang w:eastAsia="zh-CN"/>
        </w:rPr>
        <w:t>12654.53万元，调增9274万元，主要是增加老旧果园复耕项目；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  <w:lang w:eastAsia="zh-CN"/>
        </w:rPr>
        <w:t>资源勘探工业信息等支出调增为186.66万元，新增煤改电设备更新项目。</w:t>
      </w:r>
    </w:p>
    <w:p w:rsidR="00E17289" w:rsidRDefault="00B531C5">
      <w:pPr>
        <w:spacing w:before="35" w:line="411" w:lineRule="exact"/>
        <w:ind w:left="651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 w:hint="eastAsia"/>
          <w:spacing w:val="8"/>
          <w:position w:val="1"/>
          <w:sz w:val="31"/>
          <w:szCs w:val="31"/>
          <w:lang w:eastAsia="zh-CN"/>
        </w:rPr>
        <w:t>五</w:t>
      </w:r>
      <w:r>
        <w:rPr>
          <w:rFonts w:ascii="黑体" w:eastAsia="黑体" w:hAnsi="黑体" w:cs="黑体"/>
          <w:spacing w:val="8"/>
          <w:position w:val="1"/>
          <w:sz w:val="31"/>
          <w:szCs w:val="31"/>
          <w:lang w:eastAsia="zh-CN"/>
        </w:rPr>
        <w:t>、其他重要事项说明</w:t>
      </w:r>
    </w:p>
    <w:p w:rsidR="00E17289" w:rsidRDefault="00B531C5">
      <w:pPr>
        <w:widowControl w:val="0"/>
        <w:kinsoku/>
        <w:autoSpaceDE/>
        <w:autoSpaceDN/>
        <w:adjustRightInd/>
        <w:snapToGrid/>
        <w:spacing w:line="579" w:lineRule="exact"/>
        <w:ind w:firstLineChars="200" w:firstLine="656"/>
        <w:textAlignment w:val="auto"/>
        <w:rPr>
          <w:rFonts w:ascii="仿宋_GB2312" w:eastAsia="仿宋_GB2312" w:hAnsi="仿宋_GB2312" w:cs="仿宋_GB2312"/>
          <w:bCs/>
          <w:sz w:val="32"/>
          <w:szCs w:val="32"/>
          <w:lang w:eastAsia="zh-CN"/>
        </w:rPr>
      </w:pP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>预算绩效工作开展情况</w:t>
      </w:r>
      <w:r>
        <w:rPr>
          <w:rFonts w:ascii="仿宋" w:eastAsia="仿宋" w:hAnsi="仿宋" w:cs="仿宋" w:hint="eastAsia"/>
          <w:spacing w:val="9"/>
          <w:sz w:val="31"/>
          <w:szCs w:val="31"/>
          <w:lang w:eastAsia="zh-CN"/>
        </w:rPr>
        <w:t>：我镇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>进一步深化全面实施预算绩效管理，不断</w:t>
      </w:r>
      <w:r>
        <w:rPr>
          <w:rFonts w:ascii="仿宋" w:eastAsia="仿宋" w:hAnsi="仿宋" w:cs="仿宋" w:hint="eastAsia"/>
          <w:spacing w:val="9"/>
          <w:sz w:val="31"/>
          <w:szCs w:val="31"/>
          <w:lang w:eastAsia="zh-CN"/>
        </w:rPr>
        <w:t>完善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>预算绩效</w:t>
      </w:r>
      <w:r>
        <w:rPr>
          <w:rFonts w:ascii="仿宋" w:eastAsia="仿宋" w:hAnsi="仿宋" w:cs="仿宋" w:hint="eastAsia"/>
          <w:spacing w:val="9"/>
          <w:sz w:val="31"/>
          <w:szCs w:val="31"/>
          <w:lang w:eastAsia="zh-CN"/>
        </w:rPr>
        <w:t>融合机制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>。</w:t>
      </w:r>
      <w:r>
        <w:rPr>
          <w:rFonts w:ascii="仿宋_GB2312" w:eastAsia="仿宋_GB2312" w:hAnsi="仿宋_GB2312" w:cs="仿宋_GB2312" w:hint="eastAsia"/>
          <w:bCs/>
          <w:sz w:val="32"/>
          <w:szCs w:val="32"/>
          <w:lang w:eastAsia="zh-CN"/>
        </w:rPr>
        <w:t>一是提高成本绩效意识，深化成本预算绩效分析，完善绩效目标管理，</w:t>
      </w:r>
      <w:r>
        <w:rPr>
          <w:rFonts w:ascii="仿宋_GB2312" w:eastAsia="仿宋_GB2312" w:hAnsi="仿宋_GB2312" w:cs="仿宋_GB2312" w:hint="eastAsia"/>
          <w:bCs/>
          <w:sz w:val="32"/>
          <w:szCs w:val="32"/>
          <w:lang w:val="zh-CN" w:eastAsia="zh-CN"/>
        </w:rPr>
        <w:t>围绕重点领域开展成本绩效分析，强化成本绩效管理主体责任</w:t>
      </w:r>
      <w:r>
        <w:rPr>
          <w:rFonts w:ascii="仿宋" w:eastAsia="仿宋" w:hAnsi="仿宋"/>
          <w:bCs/>
          <w:sz w:val="32"/>
          <w:szCs w:val="32"/>
          <w:lang w:val="zh-CN" w:eastAsia="zh-CN" w:bidi="zh-CN"/>
        </w:rPr>
        <w:t>，</w:t>
      </w:r>
      <w:r>
        <w:rPr>
          <w:rFonts w:ascii="仿宋_GB2312" w:eastAsia="仿宋_GB2312" w:hAnsi="仿宋_GB2312" w:cs="仿宋_GB2312" w:hint="eastAsia"/>
          <w:bCs/>
          <w:sz w:val="32"/>
          <w:szCs w:val="32"/>
          <w:lang w:val="zh-CN" w:eastAsia="zh-CN"/>
        </w:rPr>
        <w:t>实现全成本预算绩效管理改革在基层纵深推进</w:t>
      </w:r>
      <w:r>
        <w:rPr>
          <w:rFonts w:ascii="仿宋_GB2312" w:eastAsia="仿宋_GB2312" w:hAnsi="仿宋_GB2312" w:cs="仿宋_GB2312" w:hint="eastAsia"/>
          <w:bCs/>
          <w:sz w:val="32"/>
          <w:szCs w:val="32"/>
          <w:lang w:eastAsia="zh-CN"/>
        </w:rPr>
        <w:t>。二是全面深化预算绩效管理工作。预算编制阶段，加强业务培训指导，提高绩效目标编制质量。预算执行阶段，对预算执行和绩效目标实现进展进行常态化监测，确保绩效目标切实完成，提高预算管理水平。</w:t>
      </w:r>
    </w:p>
    <w:p w:rsidR="00742105" w:rsidRDefault="00742105" w:rsidP="00742105">
      <w:pPr>
        <w:pStyle w:val="a0"/>
        <w:rPr>
          <w:rFonts w:eastAsiaTheme="minorEastAsia"/>
          <w:lang w:eastAsia="zh-CN"/>
        </w:rPr>
      </w:pPr>
    </w:p>
    <w:p w:rsidR="00742105" w:rsidRDefault="00742105" w:rsidP="00742105">
      <w:pPr>
        <w:pStyle w:val="a0"/>
        <w:rPr>
          <w:rFonts w:eastAsiaTheme="minorEastAsia"/>
          <w:lang w:eastAsia="zh-CN"/>
        </w:rPr>
      </w:pPr>
    </w:p>
    <w:p w:rsidR="00742105" w:rsidRDefault="00742105" w:rsidP="00742105">
      <w:pPr>
        <w:pStyle w:val="a0"/>
        <w:rPr>
          <w:rFonts w:eastAsiaTheme="minorEastAsia"/>
          <w:lang w:eastAsia="zh-CN"/>
        </w:rPr>
      </w:pPr>
    </w:p>
    <w:p w:rsidR="00742105" w:rsidRDefault="00742105" w:rsidP="00742105">
      <w:pPr>
        <w:pStyle w:val="a0"/>
        <w:rPr>
          <w:rFonts w:eastAsiaTheme="minorEastAsia"/>
          <w:lang w:eastAsia="zh-CN"/>
        </w:rPr>
      </w:pPr>
    </w:p>
    <w:p w:rsidR="00742105" w:rsidRDefault="00742105" w:rsidP="00742105">
      <w:pPr>
        <w:pStyle w:val="a0"/>
        <w:rPr>
          <w:rFonts w:eastAsiaTheme="minorEastAsia"/>
          <w:lang w:eastAsia="zh-CN"/>
        </w:rPr>
      </w:pPr>
    </w:p>
    <w:p w:rsidR="00742105" w:rsidRDefault="00742105" w:rsidP="00742105">
      <w:pPr>
        <w:pStyle w:val="a0"/>
        <w:rPr>
          <w:rFonts w:eastAsiaTheme="minorEastAsia"/>
          <w:lang w:eastAsia="zh-CN"/>
        </w:rPr>
      </w:pPr>
    </w:p>
    <w:p w:rsidR="00742105" w:rsidRPr="00742105" w:rsidRDefault="00742105" w:rsidP="00742105">
      <w:pPr>
        <w:pStyle w:val="a0"/>
        <w:ind w:firstLine="640"/>
        <w:rPr>
          <w:rFonts w:ascii="仿宋_GB2312" w:eastAsia="仿宋_GB2312" w:hAnsi="仿宋_GB2312" w:cs="仿宋_GB2312"/>
          <w:bCs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  <w:lang w:eastAsia="zh-CN"/>
        </w:rPr>
        <w:t xml:space="preserve">                       </w:t>
      </w:r>
      <w:r w:rsidRPr="00742105">
        <w:rPr>
          <w:rFonts w:ascii="仿宋_GB2312" w:eastAsia="仿宋_GB2312" w:hAnsi="仿宋_GB2312" w:cs="仿宋_GB2312" w:hint="eastAsia"/>
          <w:bCs/>
          <w:sz w:val="32"/>
          <w:szCs w:val="32"/>
          <w:lang w:eastAsia="zh-CN"/>
        </w:rPr>
        <w:t xml:space="preserve">           2025年7月19日</w:t>
      </w:r>
    </w:p>
    <w:p w:rsidR="00E17289" w:rsidRPr="00742105" w:rsidRDefault="00E17289">
      <w:pPr>
        <w:spacing w:before="50" w:line="323" w:lineRule="auto"/>
        <w:ind w:left="3" w:right="25" w:firstLine="655"/>
        <w:rPr>
          <w:rFonts w:ascii="仿宋_GB2312" w:eastAsia="仿宋_GB2312" w:hAnsi="仿宋_GB2312" w:cs="仿宋_GB2312"/>
          <w:bCs/>
          <w:sz w:val="32"/>
          <w:szCs w:val="32"/>
          <w:lang w:eastAsia="zh-CN"/>
        </w:rPr>
      </w:pPr>
    </w:p>
    <w:p w:rsidR="00E17289" w:rsidRDefault="00E17289">
      <w:pPr>
        <w:rPr>
          <w:lang w:eastAsia="zh-CN"/>
        </w:rPr>
      </w:pPr>
    </w:p>
    <w:sectPr w:rsidR="00E17289" w:rsidSect="00E17289">
      <w:footerReference w:type="default" r:id="rId7"/>
      <w:pgSz w:w="11906" w:h="16839"/>
      <w:pgMar w:top="1431" w:right="1437" w:bottom="1410" w:left="1592" w:header="0" w:footer="12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9FF" w:rsidRDefault="007549FF" w:rsidP="00E17289">
      <w:r>
        <w:separator/>
      </w:r>
    </w:p>
  </w:endnote>
  <w:endnote w:type="continuationSeparator" w:id="1">
    <w:p w:rsidR="007549FF" w:rsidRDefault="007549FF" w:rsidP="00E17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89" w:rsidRDefault="00B531C5">
    <w:pPr>
      <w:pStyle w:val="a4"/>
      <w:spacing w:line="189" w:lineRule="auto"/>
      <w:ind w:left="4371"/>
      <w:rPr>
        <w:rFonts w:eastAsia="宋体"/>
        <w:sz w:val="18"/>
        <w:szCs w:val="18"/>
        <w:lang w:eastAsia="zh-CN"/>
      </w:rPr>
    </w:pPr>
    <w:r>
      <w:rPr>
        <w:rFonts w:eastAsia="宋体" w:hint="eastAsia"/>
        <w:spacing w:val="1"/>
        <w:sz w:val="18"/>
        <w:szCs w:val="18"/>
        <w:lang w:eastAsia="zh-CN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9FF" w:rsidRDefault="007549FF" w:rsidP="00E17289">
      <w:r>
        <w:separator/>
      </w:r>
    </w:p>
  </w:footnote>
  <w:footnote w:type="continuationSeparator" w:id="1">
    <w:p w:rsidR="007549FF" w:rsidRDefault="007549FF" w:rsidP="00E172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gxOGEwZTliZWNiNzAzMTI1YzQ1YzQ1MDI1NjMxNGMifQ=="/>
  </w:docVars>
  <w:rsids>
    <w:rsidRoot w:val="59180305"/>
    <w:rsid w:val="00557FB0"/>
    <w:rsid w:val="00742105"/>
    <w:rsid w:val="007549FF"/>
    <w:rsid w:val="00B531C5"/>
    <w:rsid w:val="00CF2F22"/>
    <w:rsid w:val="00E17289"/>
    <w:rsid w:val="010C2FA4"/>
    <w:rsid w:val="08CB2D72"/>
    <w:rsid w:val="0E656991"/>
    <w:rsid w:val="121B4346"/>
    <w:rsid w:val="1B387263"/>
    <w:rsid w:val="1BA64922"/>
    <w:rsid w:val="23E90DFE"/>
    <w:rsid w:val="29FF03ED"/>
    <w:rsid w:val="33E17EDB"/>
    <w:rsid w:val="366E51C9"/>
    <w:rsid w:val="3E4D4B28"/>
    <w:rsid w:val="454E291B"/>
    <w:rsid w:val="4D030E31"/>
    <w:rsid w:val="52AA7447"/>
    <w:rsid w:val="564014BD"/>
    <w:rsid w:val="59180305"/>
    <w:rsid w:val="5C2F5158"/>
    <w:rsid w:val="68085719"/>
    <w:rsid w:val="6C04777A"/>
    <w:rsid w:val="6C41362E"/>
    <w:rsid w:val="739D0E5D"/>
    <w:rsid w:val="76CB7052"/>
    <w:rsid w:val="775C0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semiHidden/>
    <w:qFormat/>
    <w:rsid w:val="00E1728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E17289"/>
    <w:pPr>
      <w:ind w:firstLineChars="200" w:firstLine="420"/>
    </w:pPr>
  </w:style>
  <w:style w:type="paragraph" w:styleId="a4">
    <w:name w:val="Body Text"/>
    <w:basedOn w:val="a"/>
    <w:semiHidden/>
    <w:qFormat/>
    <w:rsid w:val="00E17289"/>
  </w:style>
  <w:style w:type="paragraph" w:styleId="a5">
    <w:name w:val="header"/>
    <w:basedOn w:val="a"/>
    <w:qFormat/>
    <w:rsid w:val="00E1728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a6">
    <w:name w:val="footer"/>
    <w:basedOn w:val="a"/>
    <w:link w:val="Char"/>
    <w:rsid w:val="0074210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1"/>
    <w:link w:val="a6"/>
    <w:rsid w:val="00742105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7">
    <w:name w:val="Body Text Indent"/>
    <w:basedOn w:val="a"/>
    <w:link w:val="Char0"/>
    <w:rsid w:val="00742105"/>
    <w:pPr>
      <w:spacing w:after="120"/>
      <w:ind w:leftChars="200" w:left="420"/>
    </w:pPr>
  </w:style>
  <w:style w:type="character" w:customStyle="1" w:styleId="Char0">
    <w:name w:val="正文文本缩进 Char"/>
    <w:basedOn w:val="a1"/>
    <w:link w:val="a7"/>
    <w:rsid w:val="00742105"/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customStyle="1" w:styleId="CharCharCharCharCharCharCharCharCharCharCharCharCharCharCharChar">
    <w:name w:val="Char Char Char Char Char Char Char Char Char Char Char Char Char Char Char Char"/>
    <w:basedOn w:val="a1"/>
    <w:link w:val="CharCharCharCharCharCharCharCharCharCharCharCharCharCharChar"/>
    <w:rsid w:val="00742105"/>
    <w:rPr>
      <w:kern w:val="2"/>
      <w:sz w:val="21"/>
      <w:szCs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link w:val="CharCharCharCharCharCharCharCharCharCharCharCharCharCharCharChar"/>
    <w:rsid w:val="00742105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libri" w:eastAsia="宋体" w:hAnsi="Calibri" w:cs="Times New Roman"/>
      <w:snapToGrid/>
      <w:color w:val="auto"/>
      <w:kern w:val="2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160</Words>
  <Characters>915</Characters>
  <Application>Microsoft Office Word</Application>
  <DocSecurity>0</DocSecurity>
  <Lines>7</Lines>
  <Paragraphs>2</Paragraphs>
  <ScaleCrop>false</ScaleCrop>
  <Company>MS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USER-</cp:lastModifiedBy>
  <cp:revision>3</cp:revision>
  <dcterms:created xsi:type="dcterms:W3CDTF">2024-07-12T03:45:00Z</dcterms:created>
  <dcterms:modified xsi:type="dcterms:W3CDTF">2025-08-04T02:09:00Z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8264B36ABAE2440BA9A69233F5FDF514_12</vt:lpwstr>
  </property>
  <property fmtid="{D5CDD505-2E9C-101B-9397-08002B2CF9AE}" pid="4" name="KSOTemplateDocerSaveRecord">
    <vt:lpwstr>eyJoZGlkIjoiYjExMjExMjU4ODU0ZTYwOThiMGQ0ODczZDRlZWI2ZjciLCJ1c2VySWQiOiIxMDU2ODAyMzcxIn0=</vt:lpwstr>
  </property>
</Properties>
</file>