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eastAsia="黑体"/>
          <w:sz w:val="72"/>
          <w:szCs w:val="72"/>
        </w:rPr>
      </w:pPr>
    </w:p>
    <w:p>
      <w:pPr>
        <w:rPr>
          <w:rFonts w:ascii="黑体" w:eastAsia="黑体"/>
          <w:sz w:val="72"/>
          <w:szCs w:val="72"/>
        </w:rPr>
      </w:pPr>
    </w:p>
    <w:p>
      <w:pPr>
        <w:rPr>
          <w:rFonts w:ascii="黑体" w:eastAsia="黑体"/>
          <w:sz w:val="72"/>
          <w:szCs w:val="72"/>
        </w:rPr>
      </w:pPr>
    </w:p>
    <w:p>
      <w:pPr>
        <w:jc w:val="center"/>
        <w:rPr>
          <w:rFonts w:ascii="黑体" w:eastAsia="黑体"/>
          <w:sz w:val="72"/>
          <w:szCs w:val="72"/>
        </w:rPr>
      </w:pPr>
      <w:r>
        <w:rPr>
          <w:rFonts w:hint="eastAsia" w:ascii="黑体" w:eastAsia="黑体"/>
          <w:sz w:val="72"/>
          <w:szCs w:val="72"/>
        </w:rPr>
        <w:t>北京市大兴区瀛海镇社区卫生服务中心</w:t>
      </w:r>
    </w:p>
    <w:p>
      <w:pPr>
        <w:jc w:val="center"/>
        <w:rPr>
          <w:rFonts w:ascii="黑体" w:eastAsia="黑体"/>
          <w:sz w:val="52"/>
          <w:szCs w:val="52"/>
        </w:rPr>
      </w:pPr>
      <w:r>
        <w:rPr>
          <w:rFonts w:hint="eastAsia" w:ascii="黑体" w:eastAsia="黑体"/>
          <w:sz w:val="72"/>
          <w:szCs w:val="72"/>
        </w:rPr>
        <w:t xml:space="preserve"> 2024年度部门决算报表及说明</w:t>
      </w:r>
    </w:p>
    <w:p>
      <w:pPr>
        <w:jc w:val="center"/>
        <w:rPr>
          <w:rFonts w:ascii="黑体" w:eastAsia="黑体"/>
          <w:sz w:val="52"/>
          <w:szCs w:val="52"/>
        </w:rPr>
      </w:pPr>
    </w:p>
    <w:p>
      <w:pPr>
        <w:rPr>
          <w:rFonts w:ascii="黑体" w:eastAsia="黑体"/>
          <w:sz w:val="52"/>
          <w:szCs w:val="52"/>
        </w:rPr>
        <w:sectPr>
          <w:footerReference r:id="rId3" w:type="default"/>
          <w:pgSz w:w="16838" w:h="11906" w:orient="landscape"/>
          <w:pgMar w:top="1134" w:right="1134" w:bottom="1134" w:left="1134" w:header="851" w:footer="992" w:gutter="0"/>
          <w:cols w:space="720" w:num="1"/>
          <w:docGrid w:type="linesAndChars" w:linePitch="312" w:charSpace="0"/>
        </w:sectPr>
      </w:pPr>
    </w:p>
    <w:p>
      <w:pPr>
        <w:spacing w:line="500" w:lineRule="exact"/>
        <w:jc w:val="center"/>
        <w:rPr>
          <w:rFonts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ascii="宋体" w:hAnsi="宋体" w:cs="宋体"/>
          <w:b/>
          <w:bCs/>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pPr>
        <w:tabs>
          <w:tab w:val="center" w:pos="6979"/>
        </w:tabs>
        <w:spacing w:before="156" w:beforeLines="50" w:after="156" w:afterLines="50"/>
        <w:rPr>
          <w:rFonts w:ascii="宋体" w:hAnsi="宋体" w:cs="宋体"/>
          <w:b/>
          <w:bCs/>
          <w:spacing w:val="40"/>
          <w:kern w:val="0"/>
          <w:sz w:val="32"/>
          <w:szCs w:val="32"/>
        </w:rPr>
      </w:pPr>
    </w:p>
    <w:p>
      <w:pPr>
        <w:tabs>
          <w:tab w:val="center" w:pos="6979"/>
        </w:tabs>
        <w:spacing w:before="156" w:beforeLines="50" w:after="156" w:afterLines="50"/>
        <w:ind w:firstLine="1120" w:firstLineChars="400"/>
        <w:jc w:val="left"/>
        <w:rPr>
          <w:rFonts w:ascii="宋体" w:hAnsi="宋体" w:eastAsia="仿宋_GB2312" w:cs="宋体"/>
          <w:b/>
          <w:bCs/>
          <w:spacing w:val="40"/>
          <w:kern w:val="0"/>
          <w:sz w:val="32"/>
          <w:szCs w:val="32"/>
        </w:rPr>
        <w:sectPr>
          <w:footerReference r:id="rId4"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报表详见附件。</w:t>
      </w:r>
    </w:p>
    <w:p>
      <w:pPr>
        <w:tabs>
          <w:tab w:val="center" w:pos="6979"/>
        </w:tabs>
        <w:spacing w:before="156" w:beforeLines="50" w:after="156" w:afterLines="50"/>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sz w:val="28"/>
          <w:szCs w:val="28"/>
        </w:rPr>
        <w:t>一、单位基本情况</w:t>
      </w:r>
    </w:p>
    <w:p>
      <w:pPr>
        <w:snapToGrid w:val="0"/>
        <w:spacing w:line="520" w:lineRule="exact"/>
        <w:ind w:firstLine="560" w:firstLineChars="200"/>
        <w:rPr>
          <w:rFonts w:ascii="仿宋_GB2312" w:eastAsia="仿宋_GB2312"/>
          <w:kern w:val="0"/>
          <w:sz w:val="28"/>
          <w:szCs w:val="28"/>
        </w:rPr>
      </w:pPr>
      <w:r>
        <w:rPr>
          <w:rFonts w:hint="eastAsia" w:ascii="仿宋_GB2312" w:hAnsi="微软雅黑" w:eastAsia="仿宋_GB2312"/>
          <w:sz w:val="28"/>
          <w:szCs w:val="28"/>
        </w:rPr>
        <w:t>我单位建于2000年6月,2008年5月与太和卫生院资源重组，设有内科、外科、妇科、中医科、检验科、B超室、心电图室、X光室、药房、药库、防保科、五官科、体检科和职能科室等,2020年1月经批准更名为北京市大兴区瀛海镇社区卫生服务中心。经审核评定为一级合格卫生院。</w:t>
      </w:r>
      <w:r>
        <w:rPr>
          <w:rFonts w:hint="eastAsia" w:ascii="仿宋" w:hAnsi="仿宋" w:eastAsia="仿宋" w:cs="仿宋"/>
          <w:sz w:val="28"/>
          <w:szCs w:val="28"/>
          <w:lang w:val="zh-CN"/>
        </w:rPr>
        <w:t>我院职工总数</w:t>
      </w:r>
      <w:r>
        <w:rPr>
          <w:rFonts w:hint="eastAsia" w:ascii="仿宋" w:hAnsi="仿宋" w:eastAsia="仿宋" w:cs="仿宋"/>
          <w:sz w:val="28"/>
          <w:szCs w:val="28"/>
        </w:rPr>
        <w:t>137</w:t>
      </w:r>
      <w:r>
        <w:rPr>
          <w:rFonts w:hint="eastAsia" w:ascii="仿宋" w:hAnsi="仿宋" w:eastAsia="仿宋" w:cs="仿宋"/>
          <w:sz w:val="28"/>
          <w:szCs w:val="28"/>
          <w:lang w:val="zh-CN"/>
        </w:rPr>
        <w:t>人，退休人员3</w:t>
      </w:r>
      <w:r>
        <w:rPr>
          <w:rFonts w:hint="eastAsia" w:ascii="仿宋" w:hAnsi="仿宋" w:eastAsia="仿宋" w:cs="仿宋"/>
          <w:sz w:val="28"/>
          <w:szCs w:val="28"/>
        </w:rPr>
        <w:t>3</w:t>
      </w:r>
      <w:r>
        <w:rPr>
          <w:rFonts w:hint="eastAsia" w:ascii="仿宋" w:hAnsi="仿宋" w:eastAsia="仿宋" w:cs="仿宋"/>
          <w:sz w:val="28"/>
          <w:szCs w:val="28"/>
          <w:lang w:val="zh-CN"/>
        </w:rPr>
        <w:t>人，其中正式职工</w:t>
      </w:r>
      <w:r>
        <w:rPr>
          <w:rFonts w:hint="eastAsia" w:ascii="仿宋" w:hAnsi="仿宋" w:eastAsia="仿宋" w:cs="仿宋"/>
          <w:sz w:val="28"/>
          <w:szCs w:val="28"/>
        </w:rPr>
        <w:t>95</w:t>
      </w:r>
      <w:r>
        <w:rPr>
          <w:rFonts w:hint="eastAsia" w:ascii="仿宋" w:hAnsi="仿宋" w:eastAsia="仿宋" w:cs="仿宋"/>
          <w:sz w:val="28"/>
          <w:szCs w:val="28"/>
          <w:lang w:val="zh-CN"/>
        </w:rPr>
        <w:t>人，临时</w:t>
      </w:r>
      <w:r>
        <w:rPr>
          <w:rFonts w:hint="eastAsia" w:ascii="仿宋" w:hAnsi="仿宋" w:eastAsia="仿宋" w:cs="仿宋"/>
          <w:sz w:val="28"/>
          <w:szCs w:val="28"/>
        </w:rPr>
        <w:t>工42人。</w:t>
      </w:r>
      <w:r>
        <w:rPr>
          <w:rFonts w:hint="eastAsia" w:ascii="仿宋" w:hAnsi="仿宋" w:eastAsia="仿宋" w:cs="仿宋"/>
          <w:sz w:val="28"/>
          <w:szCs w:val="28"/>
          <w:lang w:val="zh-CN"/>
        </w:rPr>
        <w:t>卫生技术人员</w:t>
      </w:r>
      <w:r>
        <w:rPr>
          <w:rFonts w:hint="eastAsia" w:ascii="仿宋" w:hAnsi="仿宋" w:eastAsia="仿宋" w:cs="仿宋"/>
          <w:sz w:val="28"/>
          <w:szCs w:val="28"/>
        </w:rPr>
        <w:t>128</w:t>
      </w:r>
      <w:r>
        <w:rPr>
          <w:rFonts w:hint="eastAsia" w:ascii="仿宋" w:hAnsi="仿宋" w:eastAsia="仿宋" w:cs="仿宋"/>
          <w:sz w:val="28"/>
          <w:szCs w:val="28"/>
          <w:lang w:val="zh-CN"/>
        </w:rPr>
        <w:t>人，其中主任医师</w:t>
      </w:r>
      <w:r>
        <w:rPr>
          <w:rFonts w:hint="eastAsia" w:ascii="仿宋" w:hAnsi="仿宋" w:eastAsia="仿宋" w:cs="仿宋"/>
          <w:sz w:val="28"/>
          <w:szCs w:val="28"/>
        </w:rPr>
        <w:t>1人</w:t>
      </w:r>
      <w:r>
        <w:rPr>
          <w:rFonts w:hint="eastAsia" w:ascii="仿宋" w:hAnsi="仿宋" w:eastAsia="仿宋" w:cs="仿宋"/>
          <w:sz w:val="28"/>
          <w:szCs w:val="28"/>
          <w:lang w:val="zh-CN"/>
        </w:rPr>
        <w:t>，副主任医师</w:t>
      </w:r>
      <w:r>
        <w:rPr>
          <w:rFonts w:hint="eastAsia" w:ascii="仿宋" w:hAnsi="仿宋" w:eastAsia="仿宋" w:cs="仿宋"/>
          <w:sz w:val="28"/>
          <w:szCs w:val="28"/>
        </w:rPr>
        <w:t>11</w:t>
      </w:r>
      <w:r>
        <w:rPr>
          <w:rFonts w:hint="eastAsia" w:ascii="仿宋" w:hAnsi="仿宋" w:eastAsia="仿宋" w:cs="仿宋"/>
          <w:sz w:val="28"/>
          <w:szCs w:val="28"/>
          <w:lang w:val="zh-CN"/>
        </w:rPr>
        <w:t>人，主治医师</w:t>
      </w:r>
      <w:r>
        <w:rPr>
          <w:rFonts w:hint="eastAsia" w:ascii="仿宋" w:hAnsi="仿宋" w:eastAsia="仿宋" w:cs="仿宋"/>
          <w:sz w:val="28"/>
          <w:szCs w:val="28"/>
        </w:rPr>
        <w:t>24人</w:t>
      </w:r>
      <w:r>
        <w:rPr>
          <w:rFonts w:hint="eastAsia" w:ascii="仿宋" w:hAnsi="仿宋" w:eastAsia="仿宋" w:cs="仿宋"/>
          <w:sz w:val="28"/>
          <w:szCs w:val="28"/>
          <w:lang w:val="zh-CN"/>
        </w:rPr>
        <w:t>，执业医师</w:t>
      </w:r>
      <w:r>
        <w:rPr>
          <w:rFonts w:hint="eastAsia" w:ascii="仿宋" w:hAnsi="仿宋" w:eastAsia="仿宋" w:cs="仿宋"/>
          <w:sz w:val="28"/>
          <w:szCs w:val="28"/>
        </w:rPr>
        <w:t>16人</w:t>
      </w:r>
      <w:r>
        <w:rPr>
          <w:rFonts w:hint="eastAsia" w:ascii="仿宋" w:hAnsi="仿宋" w:eastAsia="仿宋" w:cs="仿宋"/>
          <w:sz w:val="28"/>
          <w:szCs w:val="28"/>
          <w:lang w:val="zh-CN"/>
        </w:rPr>
        <w:t>，助理医师</w:t>
      </w:r>
      <w:r>
        <w:rPr>
          <w:rFonts w:hint="eastAsia" w:ascii="仿宋" w:hAnsi="仿宋" w:eastAsia="仿宋" w:cs="仿宋"/>
          <w:sz w:val="28"/>
          <w:szCs w:val="28"/>
        </w:rPr>
        <w:t>10人；副主任护师1人，</w:t>
      </w:r>
      <w:r>
        <w:rPr>
          <w:rFonts w:hint="eastAsia" w:ascii="仿宋" w:hAnsi="仿宋" w:eastAsia="仿宋" w:cs="仿宋"/>
          <w:sz w:val="28"/>
          <w:szCs w:val="28"/>
          <w:lang w:val="zh-CN"/>
        </w:rPr>
        <w:t>主管护师</w:t>
      </w:r>
      <w:r>
        <w:rPr>
          <w:rFonts w:hint="eastAsia" w:ascii="仿宋" w:hAnsi="仿宋" w:eastAsia="仿宋" w:cs="仿宋"/>
          <w:sz w:val="28"/>
          <w:szCs w:val="28"/>
        </w:rPr>
        <w:t>24</w:t>
      </w:r>
      <w:r>
        <w:rPr>
          <w:rFonts w:hint="eastAsia" w:ascii="仿宋" w:hAnsi="仿宋" w:eastAsia="仿宋" w:cs="仿宋"/>
          <w:sz w:val="28"/>
          <w:szCs w:val="28"/>
          <w:lang w:val="zh-CN"/>
        </w:rPr>
        <w:t>人，护师</w:t>
      </w:r>
      <w:r>
        <w:rPr>
          <w:rFonts w:hint="eastAsia" w:ascii="仿宋" w:hAnsi="仿宋" w:eastAsia="仿宋" w:cs="仿宋"/>
          <w:sz w:val="28"/>
          <w:szCs w:val="28"/>
        </w:rPr>
        <w:t>9人，护士4人；主管药师7人，药师3人，药士3人；副主任检验师2人，检验师2人，检验士4人；主管放射技师2人，放射技师1人</w:t>
      </w:r>
      <w:r>
        <w:rPr>
          <w:rFonts w:hint="eastAsia" w:ascii="仿宋_GB2312" w:hAnsi="微软雅黑" w:eastAsia="仿宋_GB2312"/>
          <w:sz w:val="28"/>
          <w:szCs w:val="28"/>
        </w:rPr>
        <w:t>。</w:t>
      </w:r>
      <w:r>
        <w:rPr>
          <w:rFonts w:hint="eastAsia" w:ascii="仿宋_GB2312" w:hAnsi="仿宋_GB2312" w:eastAsia="仿宋_GB2312"/>
          <w:sz w:val="28"/>
          <w:szCs w:val="28"/>
        </w:rPr>
        <w:t>我单位为一级医疗机构，属于差额拨款事业单位,我单位的主要职责为瀛海地区的医疗卫生工作。</w:t>
      </w:r>
    </w:p>
    <w:p>
      <w:pPr>
        <w:tabs>
          <w:tab w:val="center" w:pos="6979"/>
        </w:tabs>
        <w:spacing w:line="580" w:lineRule="exact"/>
        <w:ind w:firstLine="565" w:firstLineChars="202"/>
        <w:rPr>
          <w:rFonts w:ascii="黑体" w:eastAsia="黑体"/>
          <w:sz w:val="28"/>
          <w:szCs w:val="28"/>
        </w:rPr>
      </w:pPr>
      <w:r>
        <w:rPr>
          <w:rFonts w:hint="eastAsia" w:ascii="黑体" w:eastAsia="黑体"/>
          <w:sz w:val="28"/>
          <w:szCs w:val="28"/>
        </w:rPr>
        <w:t>二、部门决算单位构成</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从预算单位构成看，</w:t>
      </w:r>
      <w:r>
        <w:rPr>
          <w:rFonts w:hint="eastAsia" w:ascii="仿宋_GB2312" w:eastAsia="仿宋_GB2312"/>
          <w:kern w:val="0"/>
          <w:sz w:val="28"/>
          <w:szCs w:val="28"/>
        </w:rPr>
        <w:t>本单位</w:t>
      </w:r>
      <w:r>
        <w:rPr>
          <w:rFonts w:hint="eastAsia" w:ascii="仿宋_GB2312" w:eastAsia="仿宋_GB2312"/>
          <w:sz w:val="28"/>
          <w:szCs w:val="28"/>
        </w:rPr>
        <w:t>部门决算包括：本单位本级决算</w:t>
      </w:r>
    </w:p>
    <w:p>
      <w:pPr>
        <w:tabs>
          <w:tab w:val="center" w:pos="6979"/>
        </w:tabs>
        <w:spacing w:line="580" w:lineRule="exact"/>
        <w:ind w:firstLine="565" w:firstLineChars="202"/>
        <w:rPr>
          <w:rFonts w:ascii="仿宋_GB2312" w:eastAsia="仿宋_GB2312"/>
          <w:kern w:val="0"/>
          <w:sz w:val="28"/>
          <w:szCs w:val="28"/>
        </w:rPr>
      </w:pPr>
      <w:r>
        <w:rPr>
          <w:rFonts w:hint="eastAsia" w:ascii="黑体" w:eastAsia="黑体"/>
          <w:sz w:val="28"/>
          <w:szCs w:val="28"/>
        </w:rPr>
        <w:t>三、收入支出决算总体情况说明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2024年度收入总计19917.63万元，</w:t>
      </w:r>
      <w:r>
        <w:rPr>
          <w:rFonts w:ascii="仿宋_GB2312" w:eastAsia="仿宋_GB2312"/>
          <w:sz w:val="28"/>
          <w:szCs w:val="28"/>
        </w:rPr>
        <w:t>比上年增加</w:t>
      </w:r>
      <w:r>
        <w:rPr>
          <w:rFonts w:hint="eastAsia" w:ascii="仿宋_GB2312" w:eastAsia="仿宋_GB2312"/>
          <w:sz w:val="28"/>
          <w:szCs w:val="28"/>
        </w:rPr>
        <w:t>2962.46万元，增长17.47%。主要原因是门诊量增加医疗收入大幅增加：。2024年度支出总计19917.63万元，</w:t>
      </w:r>
      <w:r>
        <w:rPr>
          <w:rFonts w:ascii="仿宋_GB2312" w:eastAsia="仿宋_GB2312"/>
          <w:sz w:val="28"/>
          <w:szCs w:val="28"/>
        </w:rPr>
        <w:t>比上年增加</w:t>
      </w:r>
      <w:r>
        <w:rPr>
          <w:rFonts w:hint="eastAsia" w:ascii="仿宋_GB2312" w:eastAsia="仿宋_GB2312"/>
          <w:sz w:val="28"/>
          <w:szCs w:val="28"/>
        </w:rPr>
        <w:t>2962.46万元，增长17.47%。主要原因为医疗收入大幅增加导致药品等专用材料费大幅增加。</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2024年度本年收入合计</w:t>
      </w:r>
      <w:r>
        <w:rPr>
          <w:rFonts w:hint="eastAsia" w:ascii="仿宋" w:hAnsi="仿宋" w:eastAsia="仿宋" w:cs="仿宋"/>
          <w:sz w:val="30"/>
          <w:szCs w:val="30"/>
        </w:rPr>
        <w:t>16270.7</w:t>
      </w:r>
      <w:r>
        <w:rPr>
          <w:rFonts w:hint="eastAsia" w:ascii="仿宋_GB2312" w:eastAsia="仿宋_GB2312"/>
          <w:sz w:val="28"/>
          <w:szCs w:val="28"/>
        </w:rPr>
        <w:t>万元，</w:t>
      </w:r>
      <w:r>
        <w:rPr>
          <w:rFonts w:ascii="仿宋_GB2312" w:eastAsia="仿宋_GB2312"/>
          <w:sz w:val="28"/>
          <w:szCs w:val="28"/>
        </w:rPr>
        <w:t>比上年增加</w:t>
      </w:r>
      <w:r>
        <w:rPr>
          <w:rFonts w:hint="eastAsia" w:ascii="仿宋" w:hAnsi="仿宋" w:eastAsia="仿宋" w:cs="仿宋"/>
          <w:sz w:val="30"/>
          <w:szCs w:val="30"/>
        </w:rPr>
        <w:t>1653.14</w:t>
      </w:r>
      <w:r>
        <w:rPr>
          <w:rFonts w:hint="eastAsia" w:ascii="仿宋_GB2312" w:eastAsia="仿宋_GB2312"/>
          <w:sz w:val="28"/>
          <w:szCs w:val="28"/>
        </w:rPr>
        <w:t>万元，增长</w:t>
      </w:r>
      <w:r>
        <w:rPr>
          <w:rFonts w:hint="eastAsia" w:ascii="仿宋" w:hAnsi="仿宋" w:eastAsia="仿宋" w:cs="仿宋"/>
          <w:sz w:val="30"/>
          <w:szCs w:val="30"/>
        </w:rPr>
        <w:t>11.31</w:t>
      </w:r>
      <w:r>
        <w:rPr>
          <w:rFonts w:hint="eastAsia" w:ascii="仿宋_GB2312" w:eastAsia="仿宋_GB2312"/>
          <w:sz w:val="28"/>
          <w:szCs w:val="28"/>
        </w:rPr>
        <w:t>%。主要原因：</w:t>
      </w:r>
      <w:r>
        <w:rPr>
          <w:rFonts w:hint="eastAsia" w:ascii="仿宋" w:hAnsi="仿宋" w:eastAsia="仿宋" w:cs="仿宋"/>
          <w:sz w:val="30"/>
          <w:szCs w:val="30"/>
        </w:rPr>
        <w:t>门诊人次大幅增加导致医疗收入大幅增加</w:t>
      </w:r>
      <w:r>
        <w:rPr>
          <w:rFonts w:hint="eastAsia" w:ascii="仿宋_GB2312" w:eastAsia="仿宋_GB2312"/>
          <w:sz w:val="28"/>
          <w:szCs w:val="28"/>
        </w:rPr>
        <w:t>。其中：</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1.财政拨款收入4683.26万元，占收入合计的28.78%。其中：一般公共预算财政拨款收入4683.26万元，占收入合计的28.75%；政府性基金预算财政拨款收入0万元；国有资本经营预算财政拨款收入0万元。</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2.上级补助收入0万元，占收入合计的0%。</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3.事业收入10083.63万元，占收入合计的61.97%。</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4.经营收入0万元，占收入合计的0%。</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5.附属单位上缴收入0万元，占收入合计的0%。</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6.其他收入1503.81万元，占收入合计的9.24%。</w:t>
      </w:r>
    </w:p>
    <w:p>
      <w:pPr>
        <w:spacing w:line="560" w:lineRule="exact"/>
        <w:ind w:firstLine="640"/>
        <w:rPr>
          <w:rFonts w:ascii="仿宋_GB2312" w:eastAsia="仿宋_GB2312" w:cs="Droid Sans"/>
          <w:color w:val="000000"/>
          <w:sz w:val="32"/>
          <w:szCs w:val="32"/>
        </w:rPr>
      </w:pPr>
      <w:r>
        <w:rPr>
          <w:rFonts w:hint="eastAsia" w:ascii="仿宋_GB2312" w:eastAsia="仿宋_GB2312" w:cs="Droid Sans"/>
          <w:color w:val="000000"/>
          <w:sz w:val="32"/>
          <w:szCs w:val="32"/>
        </w:rPr>
        <w:t>（此处插入图表，用上述收入金额制作饼状图，示例如下，无金额类型不必制图）</w:t>
      </w:r>
    </w:p>
    <w:p>
      <w:pPr>
        <w:pStyle w:val="2"/>
        <w:jc w:val="center"/>
      </w:pPr>
      <w:r>
        <w:rPr>
          <w:rFonts w:hint="eastAsia" w:ascii="仿宋_GB2312" w:eastAsia="仿宋_GB2312"/>
          <w:color w:val="000000"/>
          <w:sz w:val="32"/>
        </w:rPr>
        <w:t>图1：收入决算</w:t>
      </w:r>
    </w:p>
    <w:p>
      <w:pPr>
        <w:pStyle w:val="2"/>
        <w:jc w:val="center"/>
        <w:rPr>
          <w:rFonts w:hint="eastAsia" w:ascii="仿宋_GB2312" w:eastAsia="仿宋_GB2312"/>
          <w:color w:val="000000"/>
          <w:sz w:val="32"/>
        </w:rPr>
      </w:pPr>
    </w:p>
    <w:p>
      <w:pPr>
        <w:jc w:val="center"/>
      </w:pPr>
      <w:r>
        <w:drawing>
          <wp:inline distT="0" distB="0" distL="0" distR="0">
            <wp:extent cx="4572000" cy="2743200"/>
            <wp:effectExtent l="0" t="0" r="19050" b="1905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70"/>
        <w:rPr>
          <w:rFonts w:ascii="仿宋_GB2312" w:eastAsia="仿宋_GB2312"/>
          <w:sz w:val="28"/>
          <w:szCs w:val="28"/>
        </w:rPr>
      </w:pP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2024年度本年支出合13865.56万元，</w:t>
      </w:r>
      <w:r>
        <w:rPr>
          <w:rFonts w:ascii="仿宋_GB2312" w:eastAsia="仿宋_GB2312"/>
          <w:sz w:val="28"/>
          <w:szCs w:val="28"/>
        </w:rPr>
        <w:t>比上年增加</w:t>
      </w:r>
      <w:r>
        <w:rPr>
          <w:rFonts w:hint="eastAsia" w:ascii="仿宋_GB2312" w:eastAsia="仿宋_GB2312"/>
          <w:sz w:val="28"/>
          <w:szCs w:val="28"/>
        </w:rPr>
        <w:t>241.92万元，增长1.78%。主要原因</w:t>
      </w:r>
      <w:r>
        <w:rPr>
          <w:rFonts w:hint="eastAsia" w:ascii="仿宋" w:hAnsi="仿宋" w:eastAsia="仿宋" w:cs="仿宋"/>
          <w:sz w:val="30"/>
          <w:szCs w:val="30"/>
        </w:rPr>
        <w:t>医疗收入增加导致相应医疗成本支出随之增加</w:t>
      </w:r>
      <w:r>
        <w:rPr>
          <w:rFonts w:hint="eastAsia" w:ascii="仿宋_GB2312" w:eastAsia="仿宋_GB2312"/>
          <w:sz w:val="28"/>
          <w:szCs w:val="28"/>
        </w:rPr>
        <w:t>。其中：</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1.基本支出11133.75万元，占支出合计的80.3%。</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2.项目支出2731.81万元，占支出合计的19.7%。</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3.上缴上级支出0万元，占支出合计的0%。</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4.经营支出0万元，占支出合计的0%。</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5.对附属单位补助支出0万元，占支出合计的0%。</w:t>
      </w:r>
    </w:p>
    <w:p>
      <w:pPr>
        <w:spacing w:line="560" w:lineRule="exact"/>
        <w:ind w:firstLine="640"/>
        <w:rPr>
          <w:rFonts w:ascii="仿宋_GB2312" w:eastAsia="仿宋_GB2312" w:cs="Droid Sans"/>
          <w:color w:val="000000"/>
          <w:sz w:val="32"/>
          <w:szCs w:val="32"/>
        </w:rPr>
      </w:pPr>
      <w:r>
        <w:rPr>
          <w:rFonts w:hint="eastAsia" w:ascii="仿宋_GB2312" w:eastAsia="仿宋_GB2312" w:cs="Droid Sans"/>
          <w:color w:val="000000"/>
          <w:sz w:val="32"/>
          <w:szCs w:val="32"/>
        </w:rPr>
        <w:t>（此处插入图表，用上述支出金额制作饼状图，示例如下，无金额类型不必制图）</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hint="eastAsia" w:ascii="黑体" w:eastAsia="黑体"/>
          <w:b/>
          <w:sz w:val="28"/>
          <w:szCs w:val="28"/>
        </w:rPr>
      </w:pPr>
    </w:p>
    <w:p>
      <w:pPr>
        <w:jc w:val="center"/>
        <w:rPr>
          <w:rFonts w:ascii="黑体" w:eastAsia="黑体"/>
          <w:b/>
          <w:sz w:val="28"/>
          <w:szCs w:val="28"/>
        </w:rPr>
      </w:pPr>
      <w:r>
        <w:drawing>
          <wp:inline distT="0" distB="0" distL="0" distR="0">
            <wp:extent cx="4572000" cy="2743200"/>
            <wp:effectExtent l="0" t="0" r="19050" b="190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tabs>
          <w:tab w:val="center" w:pos="6979"/>
        </w:tabs>
        <w:spacing w:line="580" w:lineRule="exact"/>
        <w:ind w:firstLine="570"/>
        <w:rPr>
          <w:rFonts w:ascii="仿宋_GB2312" w:eastAsia="仿宋_GB2312"/>
          <w:sz w:val="28"/>
          <w:szCs w:val="28"/>
        </w:rPr>
      </w:pPr>
    </w:p>
    <w:p>
      <w:pPr>
        <w:tabs>
          <w:tab w:val="center" w:pos="6979"/>
        </w:tabs>
        <w:spacing w:line="580" w:lineRule="exact"/>
        <w:ind w:firstLine="548" w:firstLineChars="196"/>
        <w:rPr>
          <w:rFonts w:ascii="黑体" w:eastAsia="黑体"/>
          <w:sz w:val="28"/>
          <w:szCs w:val="28"/>
        </w:rPr>
      </w:pPr>
      <w:r>
        <w:rPr>
          <w:rFonts w:hint="eastAsia" w:ascii="黑体" w:eastAsia="黑体"/>
          <w:sz w:val="28"/>
          <w:szCs w:val="28"/>
        </w:rPr>
        <w:t>四</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2024年度财政拨款收入总计4998.65万元，比上年</w:t>
      </w:r>
      <w:r>
        <w:rPr>
          <w:rFonts w:ascii="仿宋_GB2312" w:eastAsia="仿宋_GB2312"/>
          <w:sz w:val="28"/>
          <w:szCs w:val="28"/>
        </w:rPr>
        <w:t>增加</w:t>
      </w:r>
      <w:r>
        <w:rPr>
          <w:rFonts w:hint="eastAsia" w:ascii="仿宋_GB2312" w:eastAsia="仿宋_GB2312"/>
          <w:sz w:val="28"/>
          <w:szCs w:val="28"/>
        </w:rPr>
        <w:t>215.85万元，增长4.51%。主要原因政府加大了财政拨款的投入。2024年度财政拨款支出总计4998.65万元，比上年</w:t>
      </w:r>
      <w:r>
        <w:rPr>
          <w:rFonts w:ascii="仿宋_GB2312" w:eastAsia="仿宋_GB2312"/>
          <w:sz w:val="28"/>
          <w:szCs w:val="28"/>
        </w:rPr>
        <w:t>增加</w:t>
      </w:r>
      <w:r>
        <w:rPr>
          <w:rFonts w:hint="eastAsia" w:ascii="仿宋_GB2312" w:eastAsia="仿宋_GB2312"/>
          <w:sz w:val="28"/>
          <w:szCs w:val="28"/>
        </w:rPr>
        <w:t xml:space="preserve">215.85万元，增长4.51%。主要原因医疗和公共卫生支出增加。 </w:t>
      </w:r>
    </w:p>
    <w:p>
      <w:pPr>
        <w:tabs>
          <w:tab w:val="center" w:pos="6979"/>
        </w:tabs>
        <w:spacing w:line="580" w:lineRule="exact"/>
        <w:ind w:firstLine="548" w:firstLineChars="196"/>
        <w:rPr>
          <w:rFonts w:ascii="黑体" w:eastAsia="黑体"/>
          <w:sz w:val="28"/>
          <w:szCs w:val="28"/>
        </w:rPr>
      </w:pPr>
      <w:r>
        <w:rPr>
          <w:rFonts w:hint="eastAsia" w:ascii="黑体" w:eastAsia="黑体"/>
          <w:sz w:val="28"/>
          <w:szCs w:val="28"/>
        </w:rPr>
        <w:t>五、一般公共预算财政拨款支出决算情况说明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2024年度一般公共预算财政拨款支出4998.65万元，主要用于以下方面（按大类）：社会保障和就业支出439.77万元，占本年财政拨款支出8.8%； 卫生健康支出4243.49万元，占本年财政拨款支出84.89%；住房保障支出315.39万元，占本年财政拨款支出6.31%</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1、“社会保障和就业支出”（类）2024年度决算439.77万元，比2024年年初预算增加8.66万元，增长2%。其中：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“行政事业单位养老支出”（款）2024年度决算439.77万元，比2024年年初预算增加8.66万元，增长2%。主要原因：养老保险缴费基数的调整和退休人员增加。</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2、“卫生健康支出”(类)2024年度决算4243.49万元，比2024年年初预算增加350.36万元，增长9%。其中：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“基层医疗卫生机构”（款）2024年度决算2169.64万元，比2024年年初预算增加266.26万元，增长12.27%。主要原因：人员工资增加和各项补贴增加导致相应费用增长。</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“公共卫生”（款）2024年度决算1687.15万元，比2024年年初预算增加79.57万元，增长4.94%。主要原因：由于各项公共卫生经费投入增加。</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“中医药”（款）2024年度决算4.9万元，比2024年年初预算减少5.1万元，下降51%。主要原因：此款项按名中医进社区实际出诊次数支付。</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“行政事业单位医疗”（款）2024年度决算347.08万元，比2024年年初预算增加9.63万元，增长2.85%。主要原因：医疗保险基数调整。</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“其他卫生健康支出”（款）2024年度决算34.72万元，与2024年年初预算持平。</w:t>
      </w:r>
    </w:p>
    <w:p>
      <w:pPr>
        <w:numPr>
          <w:ilvl w:val="0"/>
          <w:numId w:val="1"/>
        </w:numPr>
        <w:spacing w:line="580" w:lineRule="exact"/>
        <w:ind w:firstLine="560" w:firstLineChars="200"/>
        <w:rPr>
          <w:rFonts w:ascii="仿宋_GB2312" w:eastAsia="仿宋_GB2312"/>
          <w:sz w:val="28"/>
          <w:szCs w:val="28"/>
        </w:rPr>
      </w:pPr>
      <w:r>
        <w:rPr>
          <w:rFonts w:hint="eastAsia" w:ascii="仿宋_GB2312" w:eastAsia="仿宋_GB2312"/>
          <w:sz w:val="28"/>
          <w:szCs w:val="28"/>
        </w:rPr>
        <w:t>“住房保障支出”(类)2024年度决算315.4万元。其中：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“住房改革支出”（款）2024年度决算315.4万元，此部分经费为补发职工购房补贴金，未纳入我单位一般公共预算财政拨款年初预算。</w:t>
      </w:r>
    </w:p>
    <w:p>
      <w:pPr>
        <w:spacing w:line="560" w:lineRule="exact"/>
        <w:ind w:firstLine="420" w:firstLineChars="150"/>
        <w:rPr>
          <w:rFonts w:ascii="仿宋_GB2312" w:eastAsia="仿宋_GB2312"/>
          <w:sz w:val="28"/>
          <w:szCs w:val="28"/>
        </w:rPr>
      </w:pPr>
      <w:r>
        <w:rPr>
          <w:rFonts w:hint="eastAsia" w:ascii="黑体" w:eastAsia="黑体"/>
          <w:sz w:val="28"/>
          <w:szCs w:val="28"/>
        </w:rPr>
        <w:t>六、政府性基金预算财政拨款支出决算情况说明</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本单位2024年度无政府性基金预算财政拨款安排的支出</w:t>
      </w:r>
    </w:p>
    <w:p>
      <w:pPr>
        <w:tabs>
          <w:tab w:val="center" w:pos="6979"/>
        </w:tabs>
        <w:spacing w:line="580" w:lineRule="exact"/>
        <w:ind w:firstLine="548" w:firstLineChars="196"/>
        <w:rPr>
          <w:rFonts w:ascii="黑体" w:eastAsia="黑体"/>
          <w:sz w:val="28"/>
          <w:szCs w:val="28"/>
        </w:rPr>
      </w:pPr>
      <w:r>
        <w:rPr>
          <w:rFonts w:hint="eastAsia" w:ascii="黑体" w:eastAsia="黑体"/>
          <w:sz w:val="28"/>
          <w:szCs w:val="28"/>
        </w:rPr>
        <w:t>七、国有资本经营预算财政拨款收支情况说明</w:t>
      </w:r>
    </w:p>
    <w:p>
      <w:pPr>
        <w:ind w:firstLine="537" w:firstLineChars="192"/>
        <w:rPr>
          <w:rFonts w:ascii="仿宋_GB2312" w:eastAsia="仿宋_GB2312"/>
          <w:sz w:val="28"/>
          <w:szCs w:val="28"/>
        </w:rPr>
      </w:pPr>
      <w:r>
        <w:rPr>
          <w:rFonts w:hint="eastAsia" w:ascii="仿宋_GB2312" w:eastAsia="仿宋_GB2312"/>
          <w:sz w:val="28"/>
          <w:szCs w:val="28"/>
        </w:rPr>
        <w:t>本单位2024年度无国有资本经营预算财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ind w:firstLine="537" w:firstLineChars="192"/>
        <w:rPr>
          <w:rFonts w:ascii="仿宋_GB2312" w:eastAsia="仿宋_GB2312"/>
          <w:sz w:val="28"/>
          <w:szCs w:val="28"/>
        </w:rPr>
      </w:pPr>
      <w:r>
        <w:rPr>
          <w:rFonts w:hint="eastAsia" w:ascii="黑体" w:eastAsia="黑体"/>
          <w:sz w:val="28"/>
          <w:szCs w:val="28"/>
        </w:rPr>
        <w:t>八、财政拨款基本支出决算情况说明</w:t>
      </w:r>
      <w:r>
        <w:rPr>
          <w:rFonts w:hint="eastAsia" w:ascii="仿宋_GB2312" w:eastAsia="仿宋_GB2312"/>
          <w:sz w:val="28"/>
          <w:szCs w:val="28"/>
        </w:rPr>
        <w:t>（按实际支出项目列示，无支出的项目可删除）</w:t>
      </w:r>
    </w:p>
    <w:p>
      <w:pPr>
        <w:ind w:firstLine="537" w:firstLineChars="192"/>
        <w:rPr>
          <w:rFonts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24年度使用一般公共预算财政拨款安排基本支出2861.56万元，使用政府性基金财政拨款安排基本支出0万元，使用国有资本经营预算财政</w:t>
      </w:r>
      <w:r>
        <w:rPr>
          <w:rFonts w:ascii="仿宋_GB2312" w:eastAsia="仿宋_GB2312"/>
          <w:sz w:val="28"/>
          <w:szCs w:val="28"/>
        </w:rPr>
        <w:t>拨款</w:t>
      </w:r>
      <w:r>
        <w:rPr>
          <w:rFonts w:hint="eastAsia" w:ascii="仿宋_GB2312" w:eastAsia="仿宋_GB2312"/>
          <w:sz w:val="28"/>
          <w:szCs w:val="28"/>
        </w:rPr>
        <w:t>安排基本支出0万元，其中：（1）工资福利支出包括基本工资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tabs>
          <w:tab w:val="center" w:pos="6979"/>
        </w:tabs>
        <w:jc w:val="center"/>
        <w:rPr>
          <w:rFonts w:ascii="宋体" w:hAnsi="宋体" w:cs="宋体"/>
          <w:b/>
          <w:bCs/>
          <w:spacing w:val="40"/>
          <w:kern w:val="0"/>
          <w:sz w:val="32"/>
          <w:szCs w:val="32"/>
        </w:rPr>
      </w:pPr>
    </w:p>
    <w:p>
      <w:pPr>
        <w:tabs>
          <w:tab w:val="center" w:pos="6979"/>
        </w:tabs>
        <w:rPr>
          <w:rFonts w:ascii="宋体" w:hAnsi="宋体" w:cs="宋体"/>
          <w:b/>
          <w:bCs/>
          <w:spacing w:val="40"/>
          <w:kern w:val="0"/>
          <w:sz w:val="32"/>
          <w:szCs w:val="32"/>
        </w:rPr>
      </w:pPr>
    </w:p>
    <w:p>
      <w:pPr>
        <w:tabs>
          <w:tab w:val="center" w:pos="6979"/>
        </w:tabs>
        <w:rPr>
          <w:rFonts w:ascii="宋体" w:hAnsi="宋体" w:cs="宋体"/>
          <w:b/>
          <w:bCs/>
          <w:spacing w:val="40"/>
          <w:kern w:val="0"/>
          <w:sz w:val="32"/>
          <w:szCs w:val="32"/>
        </w:rPr>
      </w:pPr>
    </w:p>
    <w:p>
      <w:pPr>
        <w:tabs>
          <w:tab w:val="center" w:pos="6979"/>
        </w:tabs>
        <w:ind w:firstLine="3200" w:firstLineChars="800"/>
        <w:rPr>
          <w:rFonts w:ascii="宋体" w:hAnsi="宋体" w:cs="宋体"/>
          <w:b/>
          <w:spacing w:val="40"/>
          <w:kern w:val="0"/>
          <w:sz w:val="32"/>
          <w:szCs w:val="32"/>
        </w:rPr>
      </w:pPr>
      <w:r>
        <w:rPr>
          <w:rFonts w:hint="eastAsia" w:ascii="宋体" w:hAnsi="宋体" w:cs="宋体"/>
          <w:b/>
          <w:bCs/>
          <w:spacing w:val="40"/>
          <w:kern w:val="0"/>
          <w:sz w:val="32"/>
          <w:szCs w:val="32"/>
        </w:rPr>
        <w:t xml:space="preserve">第三部分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tabs>
          <w:tab w:val="center" w:pos="6979"/>
        </w:tabs>
        <w:ind w:firstLine="560" w:firstLineChars="200"/>
        <w:jc w:val="left"/>
        <w:rPr>
          <w:rFonts w:ascii="宋体" w:hAnsi="宋体" w:cs="宋体"/>
          <w:b/>
          <w:color w:val="FF0000"/>
          <w:spacing w:val="40"/>
          <w:kern w:val="0"/>
          <w:sz w:val="32"/>
          <w:szCs w:val="32"/>
        </w:rPr>
      </w:pPr>
      <w:r>
        <w:rPr>
          <w:rFonts w:hint="eastAsia" w:ascii="黑体" w:eastAsia="黑体"/>
          <w:sz w:val="28"/>
          <w:szCs w:val="28"/>
        </w:rPr>
        <w:t>一、“三公”经费财政拨款决算情况</w:t>
      </w:r>
    </w:p>
    <w:p>
      <w:pPr>
        <w:tabs>
          <w:tab w:val="center" w:pos="6979"/>
        </w:tabs>
        <w:ind w:firstLine="560" w:firstLineChars="200"/>
        <w:jc w:val="left"/>
        <w:rPr>
          <w:rFonts w:ascii="宋体" w:hAnsi="宋体" w:cs="宋体"/>
          <w:b/>
          <w:color w:val="FF0000"/>
          <w:spacing w:val="40"/>
          <w:kern w:val="0"/>
          <w:sz w:val="32"/>
          <w:szCs w:val="32"/>
        </w:rPr>
      </w:pPr>
      <w:r>
        <w:rPr>
          <w:rFonts w:hint="eastAsia" w:ascii="仿宋_GB2312" w:eastAsia="仿宋_GB2312"/>
          <w:sz w:val="28"/>
          <w:szCs w:val="28"/>
        </w:rPr>
        <w:t>本单位2024年度无“三公”经费财政拨款支出</w:t>
      </w:r>
    </w:p>
    <w:p>
      <w:pPr>
        <w:spacing w:line="560" w:lineRule="exact"/>
        <w:ind w:firstLine="560" w:firstLineChars="200"/>
        <w:rPr>
          <w:rFonts w:ascii="仿宋_GB2312" w:eastAsia="仿宋_GB2312"/>
          <w:sz w:val="28"/>
          <w:szCs w:val="28"/>
        </w:rPr>
      </w:pPr>
      <w:r>
        <w:rPr>
          <w:rFonts w:hint="eastAsia" w:ascii="黑体" w:eastAsia="黑体"/>
          <w:sz w:val="28"/>
          <w:szCs w:val="28"/>
        </w:rPr>
        <w:t>二、机关运行经费支出情况</w:t>
      </w:r>
    </w:p>
    <w:p>
      <w:pPr>
        <w:ind w:left="540"/>
        <w:rPr>
          <w:rFonts w:ascii="仿宋_GB2312" w:eastAsia="仿宋_GB2312"/>
          <w:sz w:val="28"/>
          <w:szCs w:val="28"/>
        </w:rPr>
      </w:pPr>
      <w:r>
        <w:rPr>
          <w:rFonts w:hint="eastAsia" w:ascii="仿宋_GB2312" w:eastAsia="仿宋_GB2312"/>
          <w:sz w:val="28"/>
          <w:szCs w:val="28"/>
        </w:rPr>
        <w:t>本部门/单位不在机关运行经费统计范围之内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301.98万元，其中：政府采购货物支出301.98万元，政府采购工程支出0万元，政府采购服务支出0万元。授予中小企业合同金额8万元，占政府采购支出总额2.65%，其中：授予小微企业合同金额8万元，占政府采购支出总额的2.65%。</w:t>
      </w:r>
    </w:p>
    <w:p>
      <w:pPr>
        <w:ind w:firstLine="560" w:firstLineChars="200"/>
        <w:rPr>
          <w:rFonts w:ascii="黑体" w:eastAsia="黑体"/>
          <w:sz w:val="28"/>
          <w:szCs w:val="28"/>
        </w:rPr>
      </w:pPr>
      <w:r>
        <w:rPr>
          <w:rFonts w:hint="eastAsia" w:ascii="黑体" w:eastAsia="黑体"/>
          <w:sz w:val="28"/>
          <w:szCs w:val="28"/>
        </w:rPr>
        <w:t>四、国有资产占用情况</w:t>
      </w:r>
    </w:p>
    <w:p>
      <w:pPr>
        <w:ind w:firstLine="560" w:firstLineChars="200"/>
        <w:rPr>
          <w:rFonts w:ascii="仿宋_GB2312" w:eastAsia="仿宋_GB2312"/>
          <w:sz w:val="28"/>
          <w:szCs w:val="28"/>
        </w:rPr>
      </w:pPr>
      <w:r>
        <w:rPr>
          <w:rFonts w:hint="eastAsia" w:ascii="仿宋_GB2312" w:eastAsia="仿宋_GB2312"/>
          <w:sz w:val="28"/>
          <w:szCs w:val="28"/>
        </w:rPr>
        <w:t>2024年度新购置车辆1台，共计17.98万元；新购置单位价值100万元以上的设备0台（套），共计0万元。截至2024年底，本单位固定资产总额3760.39万元，其中车辆8台，共计248.5万元；单位价值100万元以上的设备5台（套），共计1136.2万元。</w:t>
      </w:r>
    </w:p>
    <w:p>
      <w:pPr>
        <w:ind w:firstLine="560" w:firstLineChars="200"/>
        <w:rPr>
          <w:rFonts w:ascii="仿宋_GB2312" w:eastAsia="仿宋_GB2312"/>
          <w:sz w:val="28"/>
          <w:szCs w:val="28"/>
        </w:rPr>
      </w:pPr>
      <w:r>
        <w:rPr>
          <w:rFonts w:hint="eastAsia" w:ascii="黑体" w:eastAsia="黑体"/>
          <w:sz w:val="28"/>
          <w:szCs w:val="28"/>
        </w:rPr>
        <w:t>五</w:t>
      </w:r>
      <w:r>
        <w:rPr>
          <w:rFonts w:ascii="黑体" w:eastAsia="黑体"/>
          <w:sz w:val="28"/>
          <w:szCs w:val="28"/>
        </w:rPr>
        <w:t>、</w:t>
      </w:r>
      <w:r>
        <w:rPr>
          <w:rFonts w:hint="eastAsia" w:ascii="黑体" w:eastAsia="黑体"/>
          <w:sz w:val="28"/>
          <w:szCs w:val="28"/>
        </w:rPr>
        <w:t>绩效评价结果情况</w:t>
      </w:r>
    </w:p>
    <w:p>
      <w:pPr>
        <w:spacing w:line="560" w:lineRule="exact"/>
        <w:ind w:firstLine="560" w:firstLineChars="200"/>
        <w:rPr>
          <w:rFonts w:ascii="仿宋_GB2312" w:eastAsia="仿宋_GB2312"/>
          <w:sz w:val="28"/>
          <w:szCs w:val="28"/>
        </w:rPr>
      </w:pPr>
      <w:r>
        <w:rPr>
          <w:rFonts w:ascii="仿宋_GB2312" w:eastAsia="仿宋_GB2312"/>
          <w:sz w:val="28"/>
          <w:szCs w:val="28"/>
        </w:rPr>
        <w:t>202</w:t>
      </w:r>
      <w:r>
        <w:rPr>
          <w:rFonts w:hint="eastAsia" w:ascii="仿宋_GB2312" w:eastAsia="仿宋_GB2312"/>
          <w:sz w:val="28"/>
          <w:szCs w:val="28"/>
        </w:rPr>
        <w:t>5</w:t>
      </w:r>
      <w:r>
        <w:rPr>
          <w:rFonts w:ascii="仿宋_GB2312" w:eastAsia="仿宋_GB2312"/>
          <w:sz w:val="28"/>
          <w:szCs w:val="28"/>
        </w:rPr>
        <w:t>年</w:t>
      </w:r>
      <w:r>
        <w:rPr>
          <w:rFonts w:hint="eastAsia" w:ascii="仿宋_GB2312" w:eastAsia="仿宋_GB2312"/>
          <w:sz w:val="28"/>
          <w:szCs w:val="28"/>
        </w:rPr>
        <w:t>，</w:t>
      </w:r>
      <w:r>
        <w:rPr>
          <w:rFonts w:ascii="仿宋_GB2312" w:eastAsia="仿宋_GB2312"/>
          <w:sz w:val="28"/>
          <w:szCs w:val="28"/>
        </w:rPr>
        <w:t>本单位对202</w:t>
      </w:r>
      <w:r>
        <w:rPr>
          <w:rFonts w:hint="eastAsia" w:ascii="仿宋_GB2312" w:eastAsia="仿宋_GB2312"/>
          <w:sz w:val="28"/>
          <w:szCs w:val="28"/>
        </w:rPr>
        <w:t>4</w:t>
      </w:r>
      <w:r>
        <w:rPr>
          <w:rFonts w:ascii="仿宋_GB2312" w:eastAsia="仿宋_GB2312"/>
          <w:sz w:val="28"/>
          <w:szCs w:val="28"/>
        </w:rPr>
        <w:t>年度单位项目支出实施了绩效评价，</w:t>
      </w:r>
      <w:r>
        <w:rPr>
          <w:rFonts w:hint="eastAsia" w:ascii="仿宋_GB2312" w:eastAsia="仿宋_GB2312"/>
          <w:sz w:val="28"/>
          <w:szCs w:val="28"/>
        </w:rPr>
        <w:t>单位自评2</w:t>
      </w:r>
      <w:r>
        <w:rPr>
          <w:rFonts w:hint="eastAsia" w:ascii="仿宋_GB2312" w:eastAsia="仿宋_GB2312"/>
          <w:sz w:val="28"/>
          <w:szCs w:val="28"/>
          <w:lang w:val="en-US" w:eastAsia="zh-CN"/>
        </w:rPr>
        <w:t>2</w:t>
      </w:r>
      <w:r>
        <w:rPr>
          <w:rFonts w:ascii="仿宋_GB2312" w:eastAsia="仿宋_GB2312"/>
          <w:sz w:val="28"/>
          <w:szCs w:val="28"/>
        </w:rPr>
        <w:t>个，占单位项目总数的</w:t>
      </w:r>
      <w:r>
        <w:rPr>
          <w:rFonts w:hint="eastAsia" w:ascii="仿宋_GB2312" w:eastAsia="仿宋_GB2312"/>
          <w:sz w:val="28"/>
          <w:szCs w:val="28"/>
        </w:rPr>
        <w:t>100</w:t>
      </w:r>
      <w:r>
        <w:rPr>
          <w:rFonts w:ascii="仿宋_GB2312" w:eastAsia="仿宋_GB2312"/>
          <w:sz w:val="28"/>
          <w:szCs w:val="28"/>
        </w:rPr>
        <w:t xml:space="preserve"> %，涉及金额</w:t>
      </w:r>
      <w:r>
        <w:rPr>
          <w:rFonts w:hint="eastAsia" w:ascii="仿宋_GB2312" w:eastAsia="仿宋_GB2312"/>
          <w:sz w:val="28"/>
          <w:szCs w:val="28"/>
        </w:rPr>
        <w:t>2137.09</w:t>
      </w:r>
      <w:r>
        <w:rPr>
          <w:rFonts w:ascii="仿宋_GB2312" w:eastAsia="仿宋_GB2312"/>
          <w:sz w:val="28"/>
          <w:szCs w:val="28"/>
        </w:rPr>
        <w:t>万元。评价得分在90分（含90分）以上的</w:t>
      </w:r>
      <w:r>
        <w:rPr>
          <w:rFonts w:hint="eastAsia" w:ascii="仿宋_GB2312" w:eastAsia="仿宋_GB2312"/>
          <w:sz w:val="28"/>
          <w:szCs w:val="28"/>
        </w:rPr>
        <w:t>2</w:t>
      </w:r>
      <w:r>
        <w:rPr>
          <w:rFonts w:hint="eastAsia" w:ascii="仿宋_GB2312" w:eastAsia="仿宋_GB2312"/>
          <w:sz w:val="28"/>
          <w:szCs w:val="28"/>
          <w:lang w:val="en-US" w:eastAsia="zh-CN"/>
        </w:rPr>
        <w:t>1</w:t>
      </w:r>
      <w:r>
        <w:rPr>
          <w:rFonts w:ascii="仿宋_GB2312" w:eastAsia="仿宋_GB2312"/>
          <w:sz w:val="28"/>
          <w:szCs w:val="28"/>
        </w:rPr>
        <w:t>个、评价得分在80-90分（含80分）的</w:t>
      </w:r>
      <w:r>
        <w:rPr>
          <w:rFonts w:hint="eastAsia" w:ascii="仿宋_GB2312" w:eastAsia="仿宋_GB2312"/>
          <w:sz w:val="28"/>
          <w:szCs w:val="28"/>
          <w:lang w:val="en-US" w:eastAsia="zh-CN"/>
        </w:rPr>
        <w:t>1</w:t>
      </w:r>
      <w:r>
        <w:rPr>
          <w:rFonts w:ascii="仿宋_GB2312" w:eastAsia="仿宋_GB2312"/>
          <w:sz w:val="28"/>
          <w:szCs w:val="28"/>
        </w:rPr>
        <w:t>个、评价得分在60-80分（含60分）的</w:t>
      </w:r>
      <w:r>
        <w:rPr>
          <w:rFonts w:hint="eastAsia" w:ascii="仿宋_GB2312" w:eastAsia="仿宋_GB2312"/>
          <w:sz w:val="28"/>
          <w:szCs w:val="28"/>
        </w:rPr>
        <w:t>0</w:t>
      </w:r>
      <w:r>
        <w:rPr>
          <w:rFonts w:ascii="仿宋_GB2312" w:eastAsia="仿宋_GB2312"/>
          <w:sz w:val="28"/>
          <w:szCs w:val="28"/>
        </w:rPr>
        <w:t>个、评价得分在60分以下的</w:t>
      </w:r>
      <w:r>
        <w:rPr>
          <w:rFonts w:hint="eastAsia" w:ascii="仿宋_GB2312" w:eastAsia="仿宋_GB2312"/>
          <w:sz w:val="28"/>
          <w:szCs w:val="28"/>
        </w:rPr>
        <w:t>0</w:t>
      </w:r>
      <w:r>
        <w:rPr>
          <w:rFonts w:ascii="仿宋_GB2312" w:eastAsia="仿宋_GB2312"/>
          <w:sz w:val="28"/>
          <w:szCs w:val="28"/>
        </w:rPr>
        <w:t>个。</w:t>
      </w:r>
    </w:p>
    <w:p>
      <w:pPr>
        <w:spacing w:line="560" w:lineRule="exact"/>
        <w:ind w:firstLine="560" w:firstLineChars="200"/>
        <w:rPr>
          <w:rFonts w:ascii="仿宋_GB2312" w:eastAsia="仿宋_GB2312"/>
          <w:sz w:val="28"/>
          <w:szCs w:val="28"/>
        </w:rPr>
      </w:pPr>
      <w:r>
        <w:rPr>
          <w:rFonts w:hint="eastAsia" w:ascii="黑体" w:eastAsia="黑体"/>
          <w:sz w:val="28"/>
          <w:szCs w:val="28"/>
        </w:rPr>
        <w:t>六</w:t>
      </w:r>
      <w:r>
        <w:rPr>
          <w:rFonts w:ascii="黑体" w:eastAsia="黑体"/>
          <w:sz w:val="28"/>
          <w:szCs w:val="28"/>
        </w:rPr>
        <w:t>、</w:t>
      </w:r>
      <w:r>
        <w:rPr>
          <w:rFonts w:hint="eastAsia" w:ascii="黑体" w:eastAsia="黑体"/>
          <w:sz w:val="28"/>
          <w:szCs w:val="28"/>
        </w:rPr>
        <w:t>重点行政事业性收费情况</w:t>
      </w:r>
      <w:bookmarkStart w:id="0" w:name="_GoBack"/>
      <w:bookmarkEnd w:id="0"/>
    </w:p>
    <w:p>
      <w:pPr>
        <w:ind w:firstLine="537" w:firstLineChars="192"/>
        <w:rPr>
          <w:rFonts w:ascii="仿宋_GB2312" w:eastAsia="仿宋_GB2312"/>
          <w:sz w:val="28"/>
          <w:szCs w:val="28"/>
        </w:rPr>
      </w:pPr>
      <w:r>
        <w:rPr>
          <w:rFonts w:hint="eastAsia" w:ascii="仿宋_GB2312" w:eastAsia="仿宋_GB2312"/>
          <w:sz w:val="28"/>
          <w:szCs w:val="28"/>
        </w:rPr>
        <w:t>本年度无重点行政事业性收费</w:t>
      </w:r>
    </w:p>
    <w:p>
      <w:pPr>
        <w:spacing w:line="560" w:lineRule="exact"/>
        <w:ind w:firstLine="560" w:firstLineChars="200"/>
        <w:rPr>
          <w:rFonts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本年度无此项支出</w:t>
      </w:r>
    </w:p>
    <w:p>
      <w:pPr>
        <w:ind w:firstLine="560" w:firstLineChars="200"/>
        <w:rPr>
          <w:rFonts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 各单位需根据自身业务职能，补充当年使用的所有支出功能分类</w:t>
      </w:r>
      <w:r>
        <w:rPr>
          <w:rFonts w:hint="eastAsia" w:ascii="仿宋_GB2312" w:eastAsia="仿宋_GB2312"/>
          <w:bCs/>
          <w:sz w:val="28"/>
          <w:szCs w:val="28"/>
        </w:rPr>
        <w:t>项级</w:t>
      </w:r>
      <w:r>
        <w:rPr>
          <w:rFonts w:hint="eastAsia" w:ascii="仿宋_GB2312" w:eastAsia="仿宋_GB2312"/>
          <w:sz w:val="28"/>
          <w:szCs w:val="28"/>
        </w:rPr>
        <w:t>科目名词解释，例如：</w:t>
      </w:r>
    </w:p>
    <w:p>
      <w:pPr>
        <w:ind w:firstLine="420" w:firstLineChars="150"/>
        <w:rPr>
          <w:rFonts w:ascii="仿宋_GB2312" w:eastAsia="仿宋_GB2312"/>
          <w:sz w:val="28"/>
          <w:szCs w:val="28"/>
        </w:rPr>
      </w:pPr>
      <w:r>
        <w:rPr>
          <w:rFonts w:hint="eastAsia" w:ascii="仿宋_GB2312" w:eastAsia="仿宋_GB2312"/>
          <w:sz w:val="28"/>
          <w:szCs w:val="28"/>
        </w:rPr>
        <w:t>社会保障和就业支出（类）行政事业单位养老支出（款）行政单位离退休（项）：反映用于行政单位（包括实行公务员管理的事业单位）开支的离退休经费。</w:t>
      </w:r>
    </w:p>
    <w:p>
      <w:pPr>
        <w:ind w:firstLine="420" w:firstLineChars="150"/>
        <w:rPr>
          <w:rFonts w:ascii="仿宋_GB2312" w:eastAsia="仿宋_GB2312"/>
          <w:sz w:val="28"/>
          <w:szCs w:val="28"/>
        </w:rPr>
      </w:pPr>
      <w:r>
        <w:rPr>
          <w:rFonts w:hint="eastAsia" w:ascii="仿宋_GB2312" w:eastAsia="仿宋_GB2312"/>
          <w:sz w:val="28"/>
          <w:szCs w:val="28"/>
        </w:rPr>
        <w:t>8.公共卫生经费：反映医疗机构为完成国家的公共卫生工作所安排的专项资金。</w:t>
      </w:r>
    </w:p>
    <w:p>
      <w:pPr>
        <w:ind w:firstLine="420" w:firstLineChars="150"/>
        <w:rPr>
          <w:rFonts w:ascii="仿宋_GB2312" w:eastAsia="仿宋_GB2312"/>
          <w:sz w:val="28"/>
          <w:szCs w:val="28"/>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jc w:val="center"/>
        <w:rPr>
          <w:rFonts w:ascii="宋体" w:hAnsi="宋体" w:cs="宋体"/>
          <w:b/>
          <w:bCs/>
          <w:spacing w:val="40"/>
          <w:kern w:val="0"/>
          <w:sz w:val="32"/>
          <w:szCs w:val="32"/>
        </w:rPr>
      </w:pPr>
      <w:r>
        <w:rPr>
          <w:rFonts w:hint="eastAsia" w:ascii="宋体" w:hAnsi="宋体" w:cs="宋体"/>
          <w:b/>
          <w:bCs/>
          <w:spacing w:val="40"/>
          <w:kern w:val="0"/>
          <w:sz w:val="32"/>
          <w:szCs w:val="32"/>
        </w:rPr>
        <w:t>第四部分 2024年度部门绩效评价情况</w:t>
      </w:r>
    </w:p>
    <w:p>
      <w:pPr>
        <w:spacing w:line="580" w:lineRule="exact"/>
        <w:ind w:firstLine="560" w:firstLineChars="200"/>
        <w:jc w:val="center"/>
        <w:rPr>
          <w:rFonts w:ascii="黑体" w:eastAsia="黑体"/>
          <w:sz w:val="28"/>
          <w:szCs w:val="28"/>
        </w:rPr>
      </w:pPr>
    </w:p>
    <w:p>
      <w:r>
        <w:rPr>
          <w:rFonts w:hint="eastAsia" w:ascii="黑体" w:eastAsia="黑体"/>
          <w:sz w:val="28"/>
          <w:szCs w:val="28"/>
        </w:rPr>
        <w:t>一</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Droid Sans">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1FEEsEBAACN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MnINCLfHhIVLPxl1hJqK4ZQKo2mj8hr8eS9Zj3/R9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R1FEEsEBAACNAwAADgAAAAAAAAABACAAAAAeAQAAZHJzL2Uyb0RvYy54bWxQSwUG&#10;AAAAAAYABgBZAQAAUQ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p>
    <w:pPr>
      <w:pStyle w:val="7"/>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Style w:val="13"/>
                            </w:rPr>
                          </w:pPr>
                          <w:r>
                            <w:fldChar w:fldCharType="begin"/>
                          </w:r>
                          <w:r>
                            <w:rPr>
                              <w:rStyle w:val="13"/>
                            </w:rPr>
                            <w:instrText xml:space="preserve">PAGE  </w:instrText>
                          </w:r>
                          <w:r>
                            <w:fldChar w:fldCharType="separate"/>
                          </w:r>
                          <w:r>
                            <w:rPr>
                              <w:rStyle w:val="13"/>
                            </w:rPr>
                            <w:t>3</w:t>
                          </w:r>
                          <w: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mDyXsIBAACN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1DieMWB37++eP86/H88J0s&#10;sz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D5g8l7CAQAAjQMAAA4AAAAAAAAAAQAgAAAAHgEAAGRycy9lMm9Eb2MueG1sUEsF&#10;BgAAAAAGAAYAWQEAAFIFAAAAAA==&#10;">
              <v:fill on="f" focussize="0,0"/>
              <v:stroke on="f"/>
              <v:imagedata o:title=""/>
              <o:lock v:ext="edit" aspectratio="f"/>
              <v:textbox inset="0mm,0mm,0mm,0mm" style="mso-fit-shape-to-text:t;">
                <w:txbxContent>
                  <w:p>
                    <w:pPr>
                      <w:pStyle w:val="7"/>
                      <w:rPr>
                        <w:rStyle w:val="13"/>
                      </w:rPr>
                    </w:pPr>
                    <w:r>
                      <w:fldChar w:fldCharType="begin"/>
                    </w:r>
                    <w:r>
                      <w:rPr>
                        <w:rStyle w:val="13"/>
                      </w:rPr>
                      <w:instrText xml:space="preserve">PAGE  </w:instrText>
                    </w:r>
                    <w:r>
                      <w:fldChar w:fldCharType="separate"/>
                    </w:r>
                    <w:r>
                      <w:rPr>
                        <w:rStyle w:val="13"/>
                      </w:rP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8</w:t>
    </w:r>
    <w:r>
      <w:fldChar w:fldCharType="end"/>
    </w:r>
  </w:p>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12602A"/>
    <w:multiLevelType w:val="singleLevel"/>
    <w:tmpl w:val="0112602A"/>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B6C61"/>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05FA"/>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4E6"/>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7B20"/>
    <w:rsid w:val="027A4645"/>
    <w:rsid w:val="038E6E7A"/>
    <w:rsid w:val="04592C5D"/>
    <w:rsid w:val="079004AC"/>
    <w:rsid w:val="0AFD09DD"/>
    <w:rsid w:val="0C0C18D2"/>
    <w:rsid w:val="0C7B7F86"/>
    <w:rsid w:val="0DB17A04"/>
    <w:rsid w:val="0F8E2C57"/>
    <w:rsid w:val="1059665E"/>
    <w:rsid w:val="10AC13BA"/>
    <w:rsid w:val="11316F27"/>
    <w:rsid w:val="124610E1"/>
    <w:rsid w:val="1307364B"/>
    <w:rsid w:val="135572DF"/>
    <w:rsid w:val="163F4A7E"/>
    <w:rsid w:val="18A22B4C"/>
    <w:rsid w:val="1AEC0734"/>
    <w:rsid w:val="1B323594"/>
    <w:rsid w:val="1B43291B"/>
    <w:rsid w:val="1C7254ED"/>
    <w:rsid w:val="1DEF20B0"/>
    <w:rsid w:val="1F401DDF"/>
    <w:rsid w:val="1F664E2A"/>
    <w:rsid w:val="21422A39"/>
    <w:rsid w:val="214243FA"/>
    <w:rsid w:val="21826987"/>
    <w:rsid w:val="232235C5"/>
    <w:rsid w:val="257A14F5"/>
    <w:rsid w:val="27196C26"/>
    <w:rsid w:val="29EF086F"/>
    <w:rsid w:val="2A8415D0"/>
    <w:rsid w:val="2BF13CCD"/>
    <w:rsid w:val="2DBB1BDF"/>
    <w:rsid w:val="2EFFE297"/>
    <w:rsid w:val="301437CA"/>
    <w:rsid w:val="319E22E2"/>
    <w:rsid w:val="32785148"/>
    <w:rsid w:val="32C459DB"/>
    <w:rsid w:val="353C75FB"/>
    <w:rsid w:val="3727191B"/>
    <w:rsid w:val="386D6DD1"/>
    <w:rsid w:val="3DE04810"/>
    <w:rsid w:val="3DFD6097"/>
    <w:rsid w:val="3E8F30B2"/>
    <w:rsid w:val="3F143319"/>
    <w:rsid w:val="3F3B19D7"/>
    <w:rsid w:val="4208288A"/>
    <w:rsid w:val="42F27DD4"/>
    <w:rsid w:val="433E495C"/>
    <w:rsid w:val="44617DEC"/>
    <w:rsid w:val="45210077"/>
    <w:rsid w:val="45A90126"/>
    <w:rsid w:val="4616442F"/>
    <w:rsid w:val="46B753D0"/>
    <w:rsid w:val="48804E0D"/>
    <w:rsid w:val="49090450"/>
    <w:rsid w:val="4AC27CB3"/>
    <w:rsid w:val="4B6D146C"/>
    <w:rsid w:val="4BF72BEF"/>
    <w:rsid w:val="4CD80866"/>
    <w:rsid w:val="4DEB2135"/>
    <w:rsid w:val="4E150194"/>
    <w:rsid w:val="50502C65"/>
    <w:rsid w:val="51DB3C59"/>
    <w:rsid w:val="550A17D8"/>
    <w:rsid w:val="55762E42"/>
    <w:rsid w:val="568B6949"/>
    <w:rsid w:val="57295110"/>
    <w:rsid w:val="57A7B272"/>
    <w:rsid w:val="57AD564D"/>
    <w:rsid w:val="58470068"/>
    <w:rsid w:val="58886F75"/>
    <w:rsid w:val="58C146D8"/>
    <w:rsid w:val="5A1720F9"/>
    <w:rsid w:val="5B9C37C2"/>
    <w:rsid w:val="5BA7C654"/>
    <w:rsid w:val="5CF74D38"/>
    <w:rsid w:val="5D2A17E9"/>
    <w:rsid w:val="5F2D3D9B"/>
    <w:rsid w:val="5F8A0474"/>
    <w:rsid w:val="5FAA79AB"/>
    <w:rsid w:val="60FF240D"/>
    <w:rsid w:val="638A7560"/>
    <w:rsid w:val="641F04E5"/>
    <w:rsid w:val="64C0607C"/>
    <w:rsid w:val="6591014C"/>
    <w:rsid w:val="65AC6CC3"/>
    <w:rsid w:val="672D1356"/>
    <w:rsid w:val="676F09E1"/>
    <w:rsid w:val="68440D9C"/>
    <w:rsid w:val="696173A6"/>
    <w:rsid w:val="6A9B1DCA"/>
    <w:rsid w:val="6C2C6080"/>
    <w:rsid w:val="6F375468"/>
    <w:rsid w:val="6FE55BEA"/>
    <w:rsid w:val="721821DB"/>
    <w:rsid w:val="72801583"/>
    <w:rsid w:val="72D36F4F"/>
    <w:rsid w:val="7351733F"/>
    <w:rsid w:val="756172B0"/>
    <w:rsid w:val="75920B73"/>
    <w:rsid w:val="75A44ED9"/>
    <w:rsid w:val="75E74A0A"/>
    <w:rsid w:val="768F7680"/>
    <w:rsid w:val="77512F0B"/>
    <w:rsid w:val="77A26354"/>
    <w:rsid w:val="77F80C6B"/>
    <w:rsid w:val="7A7F1C49"/>
    <w:rsid w:val="7B5B7AE6"/>
    <w:rsid w:val="7B835FAF"/>
    <w:rsid w:val="7BA7071E"/>
    <w:rsid w:val="7BDF6DA8"/>
    <w:rsid w:val="7C7EDC1A"/>
    <w:rsid w:val="7C900F90"/>
    <w:rsid w:val="7CCED98D"/>
    <w:rsid w:val="7D08410F"/>
    <w:rsid w:val="7D941FE3"/>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istrator\Desktop\&#26032;&#24314;%20Microsoft%20Excel%20&#24037;&#20316;&#349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inistrator\Desktop\&#26032;&#24314;%20Microsoft%20Excel%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收入决算</a:t>
            </a:r>
            <a:endParaRPr lang="zh-CN" altLang="en-US"/>
          </a:p>
        </c:rich>
      </c:tx>
      <c:layout/>
      <c:overlay val="0"/>
    </c:title>
    <c:autoTitleDeleted val="0"/>
    <c:plotArea>
      <c:layout/>
      <c:pieChart>
        <c:varyColors val="1"/>
        <c:ser>
          <c:idx val="0"/>
          <c:order val="0"/>
          <c:tx>
            <c:strRef>
              <c:f>Sheet1!$D$6</c:f>
              <c:strCache>
                <c:ptCount val="1"/>
                <c:pt idx="0">
                  <c:v>金额（万元）</c:v>
                </c:pt>
              </c:strCache>
            </c:strRef>
          </c:tx>
          <c:explosion val="0"/>
          <c:dPt>
            <c:idx val="0"/>
            <c:bubble3D val="0"/>
          </c:dPt>
          <c:dPt>
            <c:idx val="1"/>
            <c:bubble3D val="0"/>
          </c:dPt>
          <c:dPt>
            <c:idx val="2"/>
            <c:bubble3D val="0"/>
          </c:dPt>
          <c:dPt>
            <c:idx val="3"/>
            <c:bubble3D val="0"/>
          </c:dPt>
          <c:dPt>
            <c:idx val="4"/>
            <c:bubble3D val="0"/>
          </c:dPt>
          <c:dPt>
            <c:idx val="5"/>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Sheet1!$C$7:$C$12</c:f>
              <c:strCache>
                <c:ptCount val="6"/>
                <c:pt idx="0">
                  <c:v>财政拨款收入</c:v>
                </c:pt>
                <c:pt idx="1">
                  <c:v>上级补助收入</c:v>
                </c:pt>
                <c:pt idx="2">
                  <c:v>事业收入</c:v>
                </c:pt>
                <c:pt idx="3">
                  <c:v>经营收入</c:v>
                </c:pt>
                <c:pt idx="4">
                  <c:v>附属单位上缴收入</c:v>
                </c:pt>
                <c:pt idx="5">
                  <c:v>其他收入</c:v>
                </c:pt>
              </c:strCache>
            </c:strRef>
          </c:cat>
          <c:val>
            <c:numRef>
              <c:f>Sheet1!$D$7:$D$12</c:f>
              <c:numCache>
                <c:formatCode>General</c:formatCode>
                <c:ptCount val="6"/>
                <c:pt idx="0">
                  <c:v>4683.26</c:v>
                </c:pt>
                <c:pt idx="1">
                  <c:v>0</c:v>
                </c:pt>
                <c:pt idx="2">
                  <c:v>10083.63</c:v>
                </c:pt>
                <c:pt idx="3">
                  <c:v>0</c:v>
                </c:pt>
                <c:pt idx="4">
                  <c:v>0</c:v>
                </c:pt>
                <c:pt idx="5">
                  <c:v>1503.81</c:v>
                </c:pt>
              </c:numCache>
            </c:numRef>
          </c:val>
        </c:ser>
        <c:dLbls>
          <c:showLegendKey val="0"/>
          <c:showVal val="0"/>
          <c:showCatName val="0"/>
          <c:showSerName val="0"/>
          <c:showPercent val="1"/>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支出决算</a:t>
            </a:r>
            <a:endParaRPr lang="zh-CN" altLang="en-US"/>
          </a:p>
        </c:rich>
      </c:tx>
      <c:layout/>
      <c:overlay val="0"/>
    </c:title>
    <c:autoTitleDeleted val="0"/>
    <c:plotArea>
      <c:layout/>
      <c:pieChart>
        <c:varyColors val="1"/>
        <c:ser>
          <c:idx val="0"/>
          <c:order val="0"/>
          <c:explosion val="0"/>
          <c:dPt>
            <c:idx val="0"/>
            <c:bubble3D val="0"/>
          </c:dPt>
          <c:dPt>
            <c:idx val="1"/>
            <c:bubble3D val="0"/>
          </c:dPt>
          <c:dPt>
            <c:idx val="2"/>
            <c:bubble3D val="0"/>
          </c:dPt>
          <c:dPt>
            <c:idx val="3"/>
            <c:bubble3D val="0"/>
          </c:dPt>
          <c:dPt>
            <c:idx val="4"/>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Sheet1!$C$23:$C$27</c:f>
              <c:strCache>
                <c:ptCount val="5"/>
                <c:pt idx="0">
                  <c:v>基本支出</c:v>
                </c:pt>
                <c:pt idx="1">
                  <c:v>项目支出</c:v>
                </c:pt>
                <c:pt idx="2">
                  <c:v>上缴上级支出</c:v>
                </c:pt>
                <c:pt idx="3">
                  <c:v>经营支出</c:v>
                </c:pt>
                <c:pt idx="4">
                  <c:v>对附属单位补助支出</c:v>
                </c:pt>
              </c:strCache>
            </c:strRef>
          </c:cat>
          <c:val>
            <c:numRef>
              <c:f>Sheet1!$D$23:$D$27</c:f>
              <c:numCache>
                <c:formatCode>General</c:formatCode>
                <c:ptCount val="5"/>
                <c:pt idx="0">
                  <c:v>11133.75</c:v>
                </c:pt>
                <c:pt idx="1">
                  <c:v>2731.81</c:v>
                </c:pt>
                <c:pt idx="2">
                  <c:v>0</c:v>
                </c:pt>
                <c:pt idx="3">
                  <c:v>0</c:v>
                </c:pt>
                <c:pt idx="4">
                  <c:v>0</c:v>
                </c:pt>
              </c:numCache>
            </c:numRef>
          </c:val>
        </c:ser>
        <c:dLbls>
          <c:showLegendKey val="0"/>
          <c:showVal val="0"/>
          <c:showCatName val="0"/>
          <c:showSerName val="0"/>
          <c:showPercent val="1"/>
          <c:showBubbleSize val="0"/>
          <c:showLeaderLines val="1"/>
        </c:dLbls>
        <c:firstSliceAng val="0"/>
      </c:pieChart>
    </c:plotArea>
    <c:legend>
      <c:legendPos val="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13</Pages>
  <Words>637</Words>
  <Characters>3637</Characters>
  <Lines>30</Lines>
  <Paragraphs>8</Paragraphs>
  <TotalTime>9</TotalTime>
  <ScaleCrop>false</ScaleCrop>
  <LinksUpToDate>false</LinksUpToDate>
  <CharactersWithSpaces>4266</CharactersWithSpaces>
  <Application>WPS Office_11.8.2.11707_F1E327BC-269C-435d-A152-05C5408002CA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2025-06-19T02:06:00Z</dcterms:created>
  <dc:creator>常程</dc:creator>
  <cp:lastModifiedBy>Administrator</cp:lastModifiedBy>
  <cp:lastPrinted>2020-08-07T19:39:00Z</cp:lastPrinted>
  <dcterms:modified xsi:type="dcterms:W3CDTF">2025-06-19T07:42:59Z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2052-11.8.2.11707</vt:lpwstr>
  </property>
  <property fmtid="{D5CDD505-2E9C-101B-9397-08002B2CF9AE}" pid="3" name="ICV">
    <vt:lpwstr>625954C342D54626A53AEEF769F805AE_13</vt:lpwstr>
  </property>
  <property fmtid="{D5CDD505-2E9C-101B-9397-08002B2CF9AE}" pid="4" name="KSOTemplateDocerSaveRecord">
    <vt:lpwstr>eyJoZGlkIjoiMjQwNjQzNTg4ZDE0ZTBiOGFjNjE4NDNkMzM5NWRjMzIiLCJ1c2VySWQiOiI4OTI4ODkxNzIifQ==</vt:lpwstr>
  </property>
</Properties>
</file>