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eastAsia="黑体"/>
          <w:sz w:val="72"/>
          <w:szCs w:val="72"/>
        </w:rPr>
      </w:pPr>
    </w:p>
    <w:p>
      <w:pPr>
        <w:jc w:val="both"/>
        <w:rPr>
          <w:rFonts w:hint="eastAsia" w:ascii="黑体" w:eastAsia="黑体"/>
          <w:sz w:val="72"/>
          <w:szCs w:val="72"/>
        </w:rPr>
      </w:pPr>
    </w:p>
    <w:p>
      <w:pPr>
        <w:jc w:val="both"/>
        <w:rPr>
          <w:rFonts w:hint="eastAsia" w:ascii="黑体" w:eastAsia="黑体"/>
          <w:sz w:val="72"/>
          <w:szCs w:val="72"/>
        </w:rPr>
      </w:pPr>
    </w:p>
    <w:p>
      <w:pPr>
        <w:jc w:val="center"/>
        <w:rPr>
          <w:rFonts w:hint="eastAsia" w:ascii="黑体" w:eastAsia="黑体"/>
          <w:sz w:val="72"/>
          <w:szCs w:val="72"/>
        </w:rPr>
      </w:pPr>
      <w:r>
        <w:rPr>
          <w:rFonts w:hint="eastAsia" w:ascii="黑体" w:eastAsia="黑体"/>
          <w:sz w:val="72"/>
          <w:szCs w:val="72"/>
        </w:rPr>
        <w:t>北京市大兴区</w:t>
      </w:r>
      <w:r>
        <w:rPr>
          <w:rFonts w:hint="eastAsia" w:ascii="黑体" w:eastAsia="黑体"/>
          <w:color w:val="auto"/>
          <w:sz w:val="72"/>
          <w:szCs w:val="72"/>
          <w:lang w:val="en-US" w:eastAsia="zh-CN"/>
        </w:rPr>
        <w:t>瀛海镇人民政府</w:t>
      </w:r>
    </w:p>
    <w:p>
      <w:pPr>
        <w:jc w:val="center"/>
        <w:rPr>
          <w:rFonts w:hint="eastAsia" w:ascii="黑体" w:eastAsia="黑体"/>
          <w:sz w:val="52"/>
          <w:szCs w:val="52"/>
        </w:rPr>
      </w:pPr>
      <w:r>
        <w:rPr>
          <w:rFonts w:hint="eastAsia" w:ascii="黑体" w:eastAsia="黑体"/>
          <w:sz w:val="72"/>
          <w:szCs w:val="72"/>
        </w:rPr>
        <w:t xml:space="preserve"> 202</w:t>
      </w:r>
      <w:r>
        <w:rPr>
          <w:rFonts w:hint="eastAsia" w:ascii="黑体" w:eastAsia="黑体"/>
          <w:sz w:val="72"/>
          <w:szCs w:val="72"/>
          <w:lang w:val="en-US" w:eastAsia="zh-CN"/>
        </w:rPr>
        <w:t>4</w:t>
      </w:r>
      <w:r>
        <w:rPr>
          <w:rFonts w:hint="eastAsia" w:ascii="黑体" w:eastAsia="黑体"/>
          <w:sz w:val="72"/>
          <w:szCs w:val="72"/>
        </w:rPr>
        <w:t>年度部门决算报表及说明</w:t>
      </w:r>
    </w:p>
    <w:p>
      <w:pPr>
        <w:jc w:val="center"/>
        <w:rPr>
          <w:rFonts w:ascii="黑体" w:eastAsia="黑体"/>
          <w:sz w:val="52"/>
          <w:szCs w:val="52"/>
        </w:rPr>
      </w:pPr>
    </w:p>
    <w:p>
      <w:pPr>
        <w:rPr>
          <w:rFonts w:ascii="黑体" w:eastAsia="黑体"/>
          <w:sz w:val="52"/>
          <w:szCs w:val="52"/>
        </w:rPr>
        <w:sectPr>
          <w:footerReference r:id="rId3" w:type="default"/>
          <w:pgSz w:w="16838" w:h="11906" w:orient="landscape"/>
          <w:pgMar w:top="1134" w:right="1134" w:bottom="1134" w:left="1134" w:header="851" w:footer="992" w:gutter="0"/>
          <w:pgNumType w:fmt="decimal"/>
          <w:cols w:space="720" w:num="1"/>
          <w:docGrid w:type="linesAndChars" w:linePitch="312" w:charSpace="0"/>
        </w:sectPr>
      </w:pPr>
    </w:p>
    <w:p>
      <w:pPr>
        <w:spacing w:line="500" w:lineRule="exact"/>
        <w:jc w:val="center"/>
        <w:rPr>
          <w:rFonts w:hint="eastAsia" w:ascii="宋体" w:hAnsi="宋体" w:cs="宋体"/>
          <w:b/>
          <w:bCs/>
          <w:kern w:val="0"/>
          <w:sz w:val="44"/>
          <w:szCs w:val="44"/>
        </w:rPr>
      </w:pPr>
      <w:r>
        <w:rPr>
          <w:rFonts w:hint="eastAsia" w:ascii="宋体" w:hAnsi="宋体" w:cs="宋体"/>
          <w:b/>
          <w:bCs/>
          <w:kern w:val="0"/>
          <w:sz w:val="44"/>
          <w:szCs w:val="44"/>
        </w:rPr>
        <w:t>目    录</w:t>
      </w:r>
    </w:p>
    <w:p>
      <w:pPr>
        <w:spacing w:line="500" w:lineRule="exact"/>
        <w:ind w:firstLine="1512" w:firstLineChars="378"/>
        <w:rPr>
          <w:rFonts w:hint="eastAsia" w:ascii="宋体" w:hAnsi="宋体" w:cs="宋体"/>
          <w:b/>
          <w:bCs/>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w:t>
      </w:r>
      <w:r>
        <w:rPr>
          <w:rFonts w:ascii="仿宋_GB2312" w:hAnsi="仿宋" w:eastAsia="仿宋_GB2312" w:cs="宋体"/>
          <w:bCs/>
          <w:spacing w:val="40"/>
          <w:kern w:val="0"/>
          <w:sz w:val="32"/>
          <w:szCs w:val="32"/>
        </w:rPr>
        <w:t>购买服务</w:t>
      </w:r>
      <w:r>
        <w:rPr>
          <w:rFonts w:hint="eastAsia" w:ascii="仿宋_GB2312" w:hAnsi="仿宋" w:eastAsia="仿宋_GB2312" w:cs="宋体"/>
          <w:bCs/>
          <w:spacing w:val="40"/>
          <w:kern w:val="0"/>
          <w:sz w:val="32"/>
          <w:szCs w:val="32"/>
        </w:rPr>
        <w:t>决算情况</w:t>
      </w:r>
      <w:r>
        <w:rPr>
          <w:rFonts w:ascii="仿宋_GB2312" w:hAnsi="仿宋" w:eastAsia="仿宋_GB2312" w:cs="宋体"/>
          <w:bCs/>
          <w:spacing w:val="40"/>
          <w:kern w:val="0"/>
          <w:sz w:val="32"/>
          <w:szCs w:val="32"/>
        </w:rPr>
        <w:t>表</w:t>
      </w:r>
    </w:p>
    <w:p>
      <w:pPr>
        <w:tabs>
          <w:tab w:val="center" w:pos="6979"/>
        </w:tabs>
        <w:spacing w:before="156" w:beforeLines="50" w:after="156" w:afterLines="50"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spacing w:val="40"/>
          <w:sz w:val="32"/>
          <w:szCs w:val="32"/>
        </w:rPr>
        <w:t>部门决算说明</w:t>
      </w:r>
    </w:p>
    <w:p>
      <w:pPr>
        <w:tabs>
          <w:tab w:val="center" w:pos="6979"/>
        </w:tabs>
        <w:spacing w:before="156" w:beforeLines="50" w:after="156" w:afterLines="50"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cs="宋体"/>
          <w:spacing w:val="40"/>
          <w:kern w:val="0"/>
          <w:sz w:val="32"/>
          <w:szCs w:val="32"/>
        </w:rPr>
        <w:t>其他重要事项的情况说明</w:t>
      </w:r>
    </w:p>
    <w:p>
      <w:pPr>
        <w:tabs>
          <w:tab w:val="center" w:pos="6979"/>
        </w:tabs>
        <w:spacing w:before="156" w:beforeLines="50" w:after="156" w:afterLines="50" w:line="500" w:lineRule="exact"/>
        <w:ind w:firstLine="1600" w:firstLineChars="400"/>
        <w:jc w:val="left"/>
        <w:rPr>
          <w:rFonts w:ascii="宋体" w:hAnsi="宋体" w:cs="宋体"/>
          <w:spacing w:val="40"/>
          <w:kern w:val="0"/>
          <w:sz w:val="32"/>
          <w:szCs w:val="32"/>
        </w:rPr>
      </w:pPr>
      <w:r>
        <w:rPr>
          <w:rFonts w:hint="eastAsia" w:ascii="宋体" w:hAnsi="宋体" w:cs="宋体"/>
          <w:spacing w:val="40"/>
          <w:kern w:val="0"/>
          <w:sz w:val="32"/>
          <w:szCs w:val="32"/>
        </w:rPr>
        <w:t>第四部分 2024</w:t>
      </w:r>
      <w:r>
        <w:rPr>
          <w:rFonts w:hint="eastAsia" w:ascii="宋体" w:hAnsi="宋体" w:cs="宋体"/>
          <w:bCs/>
          <w:spacing w:val="40"/>
          <w:kern w:val="0"/>
          <w:sz w:val="32"/>
          <w:szCs w:val="32"/>
        </w:rPr>
        <w:t>年度</w:t>
      </w:r>
      <w:r>
        <w:rPr>
          <w:rFonts w:hint="eastAsia" w:ascii="宋体" w:hAnsi="宋体" w:cs="宋体"/>
          <w:spacing w:val="40"/>
          <w:kern w:val="0"/>
          <w:sz w:val="32"/>
          <w:szCs w:val="32"/>
        </w:rPr>
        <w:t>部门绩效评价情况</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2024年度部门决算报表</w:t>
      </w: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ind w:firstLine="1120" w:firstLineChars="400"/>
        <w:jc w:val="left"/>
        <w:rPr>
          <w:rFonts w:hint="eastAsia" w:ascii="宋体" w:hAnsi="宋体" w:eastAsia="仿宋_GB2312" w:cs="宋体"/>
          <w:b/>
          <w:bCs/>
          <w:spacing w:val="40"/>
          <w:kern w:val="0"/>
          <w:sz w:val="32"/>
          <w:szCs w:val="32"/>
          <w:lang w:eastAsia="zh-CN"/>
        </w:rPr>
        <w:sectPr>
          <w:footerReference r:id="rId4" w:type="default"/>
          <w:pgSz w:w="16838" w:h="11906" w:orient="landscape"/>
          <w:pgMar w:top="1134" w:right="1134" w:bottom="1134" w:left="1134" w:header="851" w:footer="992" w:gutter="0"/>
          <w:pgNumType w:fmt="decimal"/>
          <w:cols w:space="720" w:num="1"/>
          <w:docGrid w:type="linesAndChars" w:linePitch="312" w:charSpace="0"/>
        </w:sectPr>
      </w:pPr>
      <w:r>
        <w:rPr>
          <w:rFonts w:hint="eastAsia" w:ascii="仿宋_GB2312" w:eastAsia="仿宋_GB2312"/>
          <w:sz w:val="28"/>
          <w:szCs w:val="28"/>
        </w:rPr>
        <w:t>报表详见附</w:t>
      </w:r>
      <w:r>
        <w:rPr>
          <w:rFonts w:hint="eastAsia" w:ascii="仿宋_GB2312" w:eastAsia="仿宋_GB2312"/>
          <w:sz w:val="28"/>
          <w:szCs w:val="28"/>
          <w:lang w:eastAsia="zh-CN"/>
        </w:rPr>
        <w:t>件。</w:t>
      </w:r>
    </w:p>
    <w:p>
      <w:pPr>
        <w:tabs>
          <w:tab w:val="center" w:pos="6979"/>
        </w:tabs>
        <w:spacing w:before="156" w:beforeLines="50" w:after="156" w:afterLines="50"/>
        <w:jc w:val="center"/>
        <w:rPr>
          <w:rFonts w:ascii="宋体" w:hAnsi="宋体"/>
          <w:b/>
          <w:spacing w:val="40"/>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sz w:val="28"/>
          <w:szCs w:val="28"/>
        </w:rPr>
        <w:t>一、部门基本情况</w:t>
      </w:r>
    </w:p>
    <w:p>
      <w:pPr>
        <w:spacing w:line="560" w:lineRule="exact"/>
        <w:ind w:firstLine="560" w:firstLineChars="200"/>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lang w:val="en-US" w:eastAsia="zh-CN"/>
        </w:rPr>
        <w:t>（一）北京市大兴区瀛海镇人民政府的</w:t>
      </w:r>
      <w:r>
        <w:rPr>
          <w:rFonts w:hint="eastAsia" w:ascii="仿宋_GB2312" w:hAnsi="宋体" w:eastAsia="仿宋_GB2312" w:cs="Times New Roman"/>
          <w:color w:val="auto"/>
          <w:sz w:val="28"/>
          <w:szCs w:val="28"/>
        </w:rPr>
        <w:t>主要职责为：</w:t>
      </w:r>
    </w:p>
    <w:p>
      <w:pPr>
        <w:tabs>
          <w:tab w:val="center" w:pos="6979"/>
        </w:tabs>
        <w:spacing w:line="580" w:lineRule="exact"/>
        <w:ind w:firstLine="565" w:firstLineChars="202"/>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1.贯彻执行法律、法规、规章和市、区政府的决定、命令，执行本级人民代表大会的决议，发布决定和命令。</w:t>
      </w:r>
    </w:p>
    <w:p>
      <w:pPr>
        <w:tabs>
          <w:tab w:val="center" w:pos="6979"/>
        </w:tabs>
        <w:spacing w:line="580" w:lineRule="exact"/>
        <w:ind w:firstLine="565" w:firstLineChars="202"/>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2.执行本行政区域内的经济和社会发展计划、预算，管理本行政区域内的经济、教育、科学、文化、卫生、体育事业和财政、民政、司法行政、计划生育等行政工作。</w:t>
      </w:r>
    </w:p>
    <w:p>
      <w:pPr>
        <w:tabs>
          <w:tab w:val="center" w:pos="6979"/>
        </w:tabs>
        <w:spacing w:line="580" w:lineRule="exact"/>
        <w:ind w:firstLine="565" w:firstLineChars="202"/>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3.保护社会主义的全民所有的财产和劳动群众集体所有的财产，保护公民私人所有的合法财产，维护社会秩序，保障公民的人身权利、民主权利和其他权利。</w:t>
      </w:r>
    </w:p>
    <w:p>
      <w:pPr>
        <w:tabs>
          <w:tab w:val="center" w:pos="6979"/>
        </w:tabs>
        <w:spacing w:line="580" w:lineRule="exact"/>
        <w:ind w:firstLine="565" w:firstLineChars="202"/>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4.保护各种经济组织的合法权益。</w:t>
      </w:r>
    </w:p>
    <w:p>
      <w:pPr>
        <w:tabs>
          <w:tab w:val="center" w:pos="6979"/>
        </w:tabs>
        <w:spacing w:line="580" w:lineRule="exact"/>
        <w:ind w:firstLine="565" w:firstLineChars="202"/>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5.保障少数民族的权利和尊重少数民族的风俗习惯。</w:t>
      </w:r>
    </w:p>
    <w:p>
      <w:pPr>
        <w:tabs>
          <w:tab w:val="center" w:pos="6979"/>
        </w:tabs>
        <w:spacing w:line="580" w:lineRule="exact"/>
        <w:ind w:firstLine="565" w:firstLineChars="202"/>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6.保障宪法和法律赋予妇女的男女平等、同工同酬和婚姻自由等各项权利。</w:t>
      </w:r>
    </w:p>
    <w:p>
      <w:pPr>
        <w:tabs>
          <w:tab w:val="center" w:pos="6979"/>
        </w:tabs>
        <w:spacing w:line="580" w:lineRule="exact"/>
        <w:ind w:firstLine="565" w:firstLineChars="202"/>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7.承办区政府交办的其他事项。</w:t>
      </w:r>
    </w:p>
    <w:p>
      <w:pPr>
        <w:tabs>
          <w:tab w:val="center" w:pos="6979"/>
        </w:tabs>
        <w:spacing w:line="580" w:lineRule="exact"/>
        <w:ind w:firstLine="565" w:firstLineChars="202"/>
        <w:rPr>
          <w:rFonts w:hint="eastAsia" w:ascii="仿宋_GB2312" w:hAnsi="宋体" w:eastAsia="仿宋_GB2312" w:cs="Times New Roman"/>
          <w:color w:val="auto"/>
          <w:sz w:val="28"/>
          <w:szCs w:val="28"/>
          <w:lang w:eastAsia="zh-CN"/>
        </w:rPr>
      </w:pPr>
      <w:r>
        <w:rPr>
          <w:rFonts w:hint="eastAsia" w:ascii="仿宋_GB2312" w:hAnsi="宋体" w:eastAsia="仿宋_GB2312" w:cs="Times New Roman"/>
          <w:color w:val="auto"/>
          <w:sz w:val="28"/>
          <w:szCs w:val="28"/>
        </w:rPr>
        <w:t>(二）机构设置情况、单位性质、人员等情况</w:t>
      </w:r>
      <w:r>
        <w:rPr>
          <w:rFonts w:hint="eastAsia" w:ascii="仿宋_GB2312" w:hAnsi="宋体" w:eastAsia="仿宋_GB2312" w:cs="Times New Roman"/>
          <w:color w:val="auto"/>
          <w:sz w:val="28"/>
          <w:szCs w:val="28"/>
          <w:lang w:eastAsia="zh-CN"/>
        </w:rPr>
        <w:t>：</w:t>
      </w:r>
    </w:p>
    <w:p>
      <w:pPr>
        <w:spacing w:line="560" w:lineRule="exact"/>
        <w:ind w:firstLine="560" w:firstLineChars="200"/>
        <w:rPr>
          <w:rFonts w:hint="eastAsia" w:ascii="仿宋_GB2312" w:hAnsi="宋体" w:eastAsia="仿宋_GB2312"/>
          <w:color w:val="auto"/>
          <w:sz w:val="28"/>
          <w:szCs w:val="28"/>
          <w:lang w:val="en-US" w:eastAsia="zh-CN"/>
        </w:rPr>
      </w:pPr>
      <w:r>
        <w:rPr>
          <w:rFonts w:hint="eastAsia" w:ascii="仿宋_GB2312" w:hAnsi="宋体" w:eastAsia="仿宋_GB2312"/>
          <w:color w:val="auto"/>
          <w:sz w:val="28"/>
          <w:szCs w:val="28"/>
          <w:lang w:val="en-US" w:eastAsia="zh-CN"/>
        </w:rPr>
        <w:t>1.本部门所属行政单位1个，为：北京市大兴区瀛海镇人民政府（本级）。</w:t>
      </w:r>
    </w:p>
    <w:p>
      <w:pPr>
        <w:spacing w:line="560" w:lineRule="exact"/>
        <w:ind w:firstLine="560" w:firstLineChars="200"/>
        <w:rPr>
          <w:rFonts w:hint="eastAsia" w:ascii="仿宋_GB2312" w:hAnsi="宋体" w:eastAsia="仿宋_GB2312"/>
          <w:color w:val="auto"/>
          <w:sz w:val="28"/>
          <w:szCs w:val="28"/>
          <w:lang w:val="en-US" w:eastAsia="zh-CN"/>
        </w:rPr>
      </w:pPr>
      <w:r>
        <w:rPr>
          <w:rFonts w:hint="eastAsia" w:ascii="仿宋_GB2312" w:hAnsi="宋体" w:eastAsia="仿宋_GB2312"/>
          <w:color w:val="auto"/>
          <w:sz w:val="28"/>
          <w:szCs w:val="28"/>
          <w:lang w:val="en-US" w:eastAsia="zh-CN"/>
        </w:rPr>
        <w:t>内设机构包括8个办公室，分别是：党群工作办公室、平安建设办公室、城乡建设办公室、农业农村办公室、经济发展办公室、社区建设办公室、民生保障办公室及综合保障办公室；5个事业单位，分别是：北京市大兴区瀛海镇市民活动中心、北京市大兴区瀛海镇市民诉求处置中心、北京市大兴区瀛海镇便民服务中心、北京市大兴区瀛海镇城镇建设服务中心、北京市大兴区瀛海镇产业发展服务中心；镇纪检监察机构按有关规定设置，不占机构数。</w:t>
      </w:r>
    </w:p>
    <w:p>
      <w:pPr>
        <w:spacing w:line="560" w:lineRule="exact"/>
        <w:ind w:firstLine="560" w:firstLineChars="200"/>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单位人员情况：编制人数151人，2024年年末实有人数145人。</w:t>
      </w:r>
    </w:p>
    <w:p>
      <w:pPr>
        <w:spacing w:line="560" w:lineRule="exact"/>
        <w:ind w:firstLine="560" w:firstLineChars="200"/>
        <w:rPr>
          <w:rFonts w:hint="eastAsia" w:ascii="仿宋_GB2312" w:hAnsi="宋体" w:eastAsia="仿宋_GB2312"/>
          <w:color w:val="auto"/>
          <w:sz w:val="28"/>
          <w:szCs w:val="28"/>
          <w:lang w:val="en-US" w:eastAsia="zh-CN"/>
        </w:rPr>
      </w:pPr>
      <w:r>
        <w:rPr>
          <w:rFonts w:hint="eastAsia" w:ascii="仿宋_GB2312" w:hAnsi="宋体" w:eastAsia="仿宋_GB2312"/>
          <w:color w:val="auto"/>
          <w:sz w:val="28"/>
          <w:szCs w:val="28"/>
          <w:lang w:val="en-US" w:eastAsia="zh-CN"/>
        </w:rPr>
        <w:t>2.本部门所属事业单位1个，为：北京市大兴区瀛海镇社区卫生服务中心。</w:t>
      </w:r>
    </w:p>
    <w:p>
      <w:pPr>
        <w:spacing w:line="560" w:lineRule="exact"/>
        <w:ind w:firstLine="560" w:firstLineChars="200"/>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单位人员情况：编制人数100人，2024年年末实有人数95人。</w:t>
      </w:r>
    </w:p>
    <w:p>
      <w:pPr>
        <w:tabs>
          <w:tab w:val="center" w:pos="6979"/>
        </w:tabs>
        <w:spacing w:line="580" w:lineRule="exact"/>
        <w:ind w:firstLine="565" w:firstLineChars="202"/>
        <w:rPr>
          <w:rFonts w:hint="eastAsia" w:ascii="黑体" w:eastAsia="黑体"/>
          <w:color w:val="auto"/>
          <w:sz w:val="28"/>
          <w:szCs w:val="28"/>
        </w:rPr>
      </w:pPr>
      <w:r>
        <w:rPr>
          <w:rFonts w:hint="eastAsia" w:ascii="黑体" w:eastAsia="黑体"/>
          <w:color w:val="auto"/>
          <w:sz w:val="28"/>
          <w:szCs w:val="28"/>
        </w:rPr>
        <w:t>二、部门决算单位构成</w:t>
      </w:r>
    </w:p>
    <w:p>
      <w:pPr>
        <w:tabs>
          <w:tab w:val="center" w:pos="6979"/>
        </w:tabs>
        <w:spacing w:line="580" w:lineRule="exact"/>
        <w:ind w:firstLine="560" w:firstLineChars="200"/>
        <w:rPr>
          <w:rFonts w:hint="default" w:ascii="仿宋_GB2312" w:hAnsi="Times New Roman" w:eastAsia="仿宋_GB2312" w:cs="Times New Roman"/>
          <w:color w:val="auto"/>
          <w:kern w:val="0"/>
          <w:sz w:val="28"/>
          <w:szCs w:val="28"/>
          <w:lang w:val="en-US" w:eastAsia="zh-CN"/>
        </w:rPr>
      </w:pPr>
      <w:r>
        <w:rPr>
          <w:rFonts w:hint="eastAsia" w:ascii="仿宋_GB2312" w:hAnsi="Times New Roman" w:eastAsia="仿宋_GB2312" w:cs="Times New Roman"/>
          <w:color w:val="auto"/>
          <w:kern w:val="0"/>
          <w:sz w:val="28"/>
          <w:szCs w:val="28"/>
        </w:rPr>
        <w:t>从预算单位构成看，</w:t>
      </w:r>
      <w:r>
        <w:rPr>
          <w:rFonts w:hint="eastAsia" w:ascii="仿宋_GB2312" w:hAnsi="Times New Roman" w:eastAsia="仿宋_GB2312" w:cs="Times New Roman"/>
          <w:color w:val="auto"/>
          <w:kern w:val="0"/>
          <w:sz w:val="28"/>
          <w:szCs w:val="28"/>
          <w:lang w:val="en-US" w:eastAsia="zh-CN"/>
        </w:rPr>
        <w:t>瀛海</w:t>
      </w:r>
      <w:r>
        <w:rPr>
          <w:rFonts w:hint="eastAsia" w:ascii="仿宋_GB2312" w:hAnsi="Times New Roman" w:eastAsia="仿宋_GB2312" w:cs="Times New Roman"/>
          <w:color w:val="auto"/>
          <w:kern w:val="0"/>
          <w:sz w:val="28"/>
          <w:szCs w:val="28"/>
        </w:rPr>
        <w:t>镇部门决算包括：北京市大兴区</w:t>
      </w:r>
      <w:r>
        <w:rPr>
          <w:rFonts w:hint="eastAsia" w:ascii="仿宋_GB2312" w:hAnsi="Times New Roman" w:eastAsia="仿宋_GB2312" w:cs="Times New Roman"/>
          <w:color w:val="auto"/>
          <w:kern w:val="0"/>
          <w:sz w:val="28"/>
          <w:szCs w:val="28"/>
          <w:lang w:val="en-US" w:eastAsia="zh-CN"/>
        </w:rPr>
        <w:t>瀛海</w:t>
      </w:r>
      <w:r>
        <w:rPr>
          <w:rFonts w:hint="eastAsia" w:ascii="仿宋_GB2312" w:hAnsi="Times New Roman" w:eastAsia="仿宋_GB2312" w:cs="Times New Roman"/>
          <w:color w:val="auto"/>
          <w:kern w:val="0"/>
          <w:sz w:val="28"/>
          <w:szCs w:val="28"/>
        </w:rPr>
        <w:t>镇人民政府</w:t>
      </w:r>
      <w:r>
        <w:rPr>
          <w:rFonts w:hint="eastAsia" w:ascii="仿宋_GB2312" w:hAnsi="Times New Roman" w:eastAsia="仿宋_GB2312" w:cs="Times New Roman"/>
          <w:color w:val="auto"/>
          <w:kern w:val="0"/>
          <w:sz w:val="28"/>
          <w:szCs w:val="28"/>
          <w:lang w:eastAsia="zh-CN"/>
        </w:rPr>
        <w:t>（</w:t>
      </w:r>
      <w:r>
        <w:rPr>
          <w:rFonts w:hint="eastAsia" w:ascii="仿宋_GB2312" w:hAnsi="Times New Roman" w:eastAsia="仿宋_GB2312" w:cs="Times New Roman"/>
          <w:color w:val="auto"/>
          <w:kern w:val="0"/>
          <w:sz w:val="28"/>
          <w:szCs w:val="28"/>
          <w:lang w:val="en-US" w:eastAsia="zh-CN"/>
        </w:rPr>
        <w:t>本级）决算</w:t>
      </w:r>
      <w:r>
        <w:rPr>
          <w:rFonts w:hint="eastAsia" w:ascii="仿宋_GB2312" w:hAnsi="Times New Roman" w:eastAsia="仿宋_GB2312" w:cs="Times New Roman"/>
          <w:color w:val="auto"/>
          <w:kern w:val="0"/>
          <w:sz w:val="28"/>
          <w:szCs w:val="28"/>
        </w:rPr>
        <w:t>及北京市大兴区</w:t>
      </w:r>
      <w:r>
        <w:rPr>
          <w:rFonts w:hint="eastAsia" w:ascii="仿宋_GB2312" w:hAnsi="Times New Roman" w:eastAsia="仿宋_GB2312" w:cs="Times New Roman"/>
          <w:color w:val="auto"/>
          <w:kern w:val="0"/>
          <w:sz w:val="28"/>
          <w:szCs w:val="28"/>
          <w:lang w:val="en-US" w:eastAsia="zh-CN"/>
        </w:rPr>
        <w:t>瀛海</w:t>
      </w:r>
      <w:r>
        <w:rPr>
          <w:rFonts w:hint="eastAsia" w:ascii="仿宋_GB2312" w:hAnsi="Times New Roman" w:eastAsia="仿宋_GB2312" w:cs="Times New Roman"/>
          <w:color w:val="auto"/>
          <w:kern w:val="0"/>
          <w:sz w:val="28"/>
          <w:szCs w:val="28"/>
        </w:rPr>
        <w:t>镇</w:t>
      </w:r>
      <w:r>
        <w:rPr>
          <w:rFonts w:hint="eastAsia" w:ascii="仿宋_GB2312" w:hAnsi="Times New Roman" w:eastAsia="仿宋_GB2312" w:cs="Times New Roman"/>
          <w:color w:val="auto"/>
          <w:kern w:val="0"/>
          <w:sz w:val="28"/>
          <w:szCs w:val="28"/>
          <w:lang w:val="en-US" w:eastAsia="zh-CN"/>
        </w:rPr>
        <w:t>社区卫生服务中心决算。</w:t>
      </w:r>
    </w:p>
    <w:p>
      <w:pPr>
        <w:tabs>
          <w:tab w:val="center" w:pos="6979"/>
        </w:tabs>
        <w:spacing w:line="580" w:lineRule="exact"/>
        <w:ind w:firstLine="565" w:firstLineChars="202"/>
        <w:rPr>
          <w:rFonts w:hint="eastAsia" w:ascii="仿宋_GB2312" w:eastAsia="仿宋_GB2312"/>
          <w:color w:val="auto"/>
          <w:kern w:val="0"/>
          <w:sz w:val="28"/>
          <w:szCs w:val="28"/>
        </w:rPr>
      </w:pPr>
      <w:r>
        <w:rPr>
          <w:rFonts w:hint="eastAsia" w:ascii="黑体" w:eastAsia="黑体"/>
          <w:color w:val="auto"/>
          <w:sz w:val="28"/>
          <w:szCs w:val="28"/>
        </w:rPr>
        <w:t>三、</w:t>
      </w:r>
      <w:bookmarkStart w:id="0" w:name="OLE_LINK2"/>
      <w:r>
        <w:rPr>
          <w:rFonts w:hint="eastAsia" w:ascii="黑体" w:eastAsia="黑体"/>
          <w:color w:val="auto"/>
          <w:sz w:val="28"/>
          <w:szCs w:val="28"/>
        </w:rPr>
        <w:t>收入支出决算总体情况说明</w:t>
      </w:r>
    </w:p>
    <w:bookmarkEnd w:id="0"/>
    <w:p>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color w:val="auto"/>
          <w:sz w:val="28"/>
          <w:szCs w:val="28"/>
        </w:rPr>
        <w:t>2024年度收入总计57544.25万元，</w:t>
      </w:r>
      <w:r>
        <w:rPr>
          <w:rFonts w:ascii="仿宋_GB2312" w:eastAsia="仿宋_GB2312"/>
          <w:color w:val="auto"/>
          <w:sz w:val="28"/>
          <w:szCs w:val="28"/>
        </w:rPr>
        <w:t>比上年增加</w:t>
      </w:r>
      <w:r>
        <w:rPr>
          <w:rFonts w:hint="eastAsia" w:ascii="仿宋_GB2312" w:eastAsia="仿宋_GB2312"/>
          <w:color w:val="auto"/>
          <w:sz w:val="28"/>
          <w:szCs w:val="28"/>
          <w:lang w:val="en-US" w:eastAsia="zh-CN"/>
        </w:rPr>
        <w:t>7412.14</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14.79</w:t>
      </w:r>
      <w:r>
        <w:rPr>
          <w:rFonts w:hint="eastAsia" w:ascii="仿宋_GB2312" w:eastAsia="仿宋_GB2312"/>
          <w:color w:val="auto"/>
          <w:sz w:val="28"/>
          <w:szCs w:val="28"/>
        </w:rPr>
        <w:t>%。主要原因：政府性基金</w:t>
      </w:r>
      <w:r>
        <w:rPr>
          <w:rFonts w:hint="eastAsia" w:ascii="仿宋_GB2312" w:eastAsia="仿宋_GB2312"/>
          <w:color w:val="auto"/>
          <w:sz w:val="28"/>
          <w:szCs w:val="28"/>
          <w:lang w:val="en-US" w:eastAsia="zh-CN"/>
        </w:rPr>
        <w:t>专项转移支付增加</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年度支出总计57544.25万元，</w:t>
      </w:r>
      <w:r>
        <w:rPr>
          <w:rFonts w:ascii="仿宋_GB2312" w:eastAsia="仿宋_GB2312"/>
          <w:color w:val="auto"/>
          <w:sz w:val="28"/>
          <w:szCs w:val="28"/>
        </w:rPr>
        <w:t>比上年增加</w:t>
      </w:r>
      <w:r>
        <w:rPr>
          <w:rFonts w:hint="eastAsia" w:ascii="仿宋_GB2312" w:eastAsia="仿宋_GB2312"/>
          <w:color w:val="auto"/>
          <w:sz w:val="28"/>
          <w:szCs w:val="28"/>
          <w:lang w:val="en-US" w:eastAsia="zh-CN"/>
        </w:rPr>
        <w:t>7412.14</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14.79</w:t>
      </w:r>
      <w:r>
        <w:rPr>
          <w:rFonts w:hint="eastAsia" w:ascii="仿宋_GB2312" w:eastAsia="仿宋_GB2312"/>
          <w:color w:val="auto"/>
          <w:sz w:val="28"/>
          <w:szCs w:val="28"/>
        </w:rPr>
        <w:t>%。主要原因：政府性基金</w:t>
      </w:r>
      <w:r>
        <w:rPr>
          <w:rFonts w:hint="eastAsia" w:ascii="仿宋_GB2312" w:eastAsia="仿宋_GB2312"/>
          <w:color w:val="auto"/>
          <w:sz w:val="28"/>
          <w:szCs w:val="28"/>
          <w:lang w:val="en-US" w:eastAsia="zh-CN"/>
        </w:rPr>
        <w:t>专项转移支付增加</w:t>
      </w:r>
      <w:r>
        <w:rPr>
          <w:rFonts w:hint="eastAsia" w:ascii="仿宋_GB2312" w:eastAsia="仿宋_GB2312"/>
          <w:color w:val="auto"/>
          <w:sz w:val="28"/>
          <w:szCs w:val="28"/>
        </w:rPr>
        <w:t>。</w:t>
      </w:r>
    </w:p>
    <w:p>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color w:val="auto"/>
          <w:sz w:val="28"/>
          <w:szCs w:val="28"/>
        </w:rPr>
        <w:t>（一</w:t>
      </w:r>
      <w:r>
        <w:rPr>
          <w:rFonts w:ascii="仿宋_GB2312" w:eastAsia="仿宋_GB2312"/>
          <w:color w:val="auto"/>
          <w:sz w:val="28"/>
          <w:szCs w:val="28"/>
        </w:rPr>
        <w:t>）</w:t>
      </w:r>
      <w:r>
        <w:rPr>
          <w:rFonts w:hint="eastAsia" w:ascii="仿宋_GB2312" w:eastAsia="仿宋_GB2312"/>
          <w:color w:val="auto"/>
          <w:sz w:val="28"/>
          <w:szCs w:val="28"/>
        </w:rPr>
        <w:t>收入决算</w:t>
      </w:r>
      <w:r>
        <w:rPr>
          <w:rFonts w:ascii="仿宋_GB2312" w:eastAsia="仿宋_GB2312"/>
          <w:color w:val="auto"/>
          <w:sz w:val="28"/>
          <w:szCs w:val="28"/>
        </w:rPr>
        <w:t>说明</w:t>
      </w:r>
    </w:p>
    <w:p>
      <w:pPr>
        <w:tabs>
          <w:tab w:val="center" w:pos="6979"/>
        </w:tabs>
        <w:spacing w:line="580" w:lineRule="exact"/>
        <w:ind w:firstLine="570"/>
        <w:rPr>
          <w:rFonts w:hint="eastAsia" w:ascii="仿宋_GB2312" w:eastAsia="仿宋_GB2312"/>
          <w:color w:val="0000FF"/>
          <w:sz w:val="28"/>
          <w:szCs w:val="28"/>
        </w:rPr>
      </w:pPr>
      <w:r>
        <w:rPr>
          <w:rFonts w:hint="eastAsia" w:ascii="仿宋_GB2312" w:eastAsia="仿宋_GB2312"/>
          <w:color w:val="auto"/>
          <w:sz w:val="28"/>
          <w:szCs w:val="28"/>
        </w:rPr>
        <w:t>2024年度本年收入合计</w:t>
      </w:r>
      <w:r>
        <w:rPr>
          <w:rFonts w:hint="eastAsia" w:ascii="仿宋_GB2312" w:eastAsia="仿宋_GB2312"/>
          <w:color w:val="auto"/>
          <w:sz w:val="28"/>
          <w:szCs w:val="28"/>
          <w:lang w:val="en-US" w:eastAsia="zh-CN"/>
        </w:rPr>
        <w:t>53305.66</w:t>
      </w:r>
      <w:r>
        <w:rPr>
          <w:rFonts w:hint="eastAsia" w:ascii="仿宋_GB2312" w:eastAsia="仿宋_GB2312"/>
          <w:color w:val="auto"/>
          <w:sz w:val="28"/>
          <w:szCs w:val="28"/>
        </w:rPr>
        <w:t>万元，</w:t>
      </w:r>
      <w:r>
        <w:rPr>
          <w:rFonts w:ascii="仿宋_GB2312" w:eastAsia="仿宋_GB2312"/>
          <w:color w:val="auto"/>
          <w:sz w:val="28"/>
          <w:szCs w:val="28"/>
        </w:rPr>
        <w:t>比上年增加</w:t>
      </w:r>
      <w:r>
        <w:rPr>
          <w:rFonts w:hint="eastAsia" w:ascii="仿宋_GB2312" w:eastAsia="仿宋_GB2312"/>
          <w:color w:val="auto"/>
          <w:sz w:val="28"/>
          <w:szCs w:val="28"/>
          <w:lang w:val="en-US" w:eastAsia="zh-CN"/>
        </w:rPr>
        <w:t>5511.16</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11.53</w:t>
      </w:r>
      <w:r>
        <w:rPr>
          <w:rFonts w:hint="eastAsia" w:ascii="仿宋_GB2312" w:eastAsia="仿宋_GB2312"/>
          <w:color w:val="auto"/>
          <w:sz w:val="28"/>
          <w:szCs w:val="28"/>
        </w:rPr>
        <w:t>%。主要原因：政府性基金专项转移支付增加。其中：</w:t>
      </w:r>
    </w:p>
    <w:p>
      <w:pPr>
        <w:tabs>
          <w:tab w:val="center" w:pos="6979"/>
        </w:tabs>
        <w:spacing w:line="580" w:lineRule="exact"/>
        <w:ind w:firstLine="57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1.财政拨款收入</w:t>
      </w:r>
      <w:r>
        <w:rPr>
          <w:rFonts w:hint="eastAsia" w:ascii="仿宋_GB2312" w:eastAsia="仿宋_GB2312"/>
          <w:color w:val="000000" w:themeColor="text1"/>
          <w:sz w:val="28"/>
          <w:szCs w:val="28"/>
          <w:lang w:val="en-US" w:eastAsia="zh-CN"/>
          <w14:textFill>
            <w14:solidFill>
              <w14:schemeClr w14:val="tx1"/>
            </w14:solidFill>
          </w14:textFill>
        </w:rPr>
        <w:t>41718.22</w:t>
      </w:r>
      <w:r>
        <w:rPr>
          <w:rFonts w:hint="eastAsia" w:ascii="仿宋_GB2312" w:eastAsia="仿宋_GB2312"/>
          <w:color w:val="000000" w:themeColor="text1"/>
          <w:sz w:val="28"/>
          <w:szCs w:val="28"/>
          <w14:textFill>
            <w14:solidFill>
              <w14:schemeClr w14:val="tx1"/>
            </w14:solidFill>
          </w14:textFill>
        </w:rPr>
        <w:t>万元，</w:t>
      </w:r>
      <w:bookmarkStart w:id="1" w:name="OLE_LINK1"/>
      <w:r>
        <w:rPr>
          <w:rFonts w:hint="eastAsia" w:ascii="仿宋_GB2312" w:eastAsia="仿宋_GB2312"/>
          <w:color w:val="000000" w:themeColor="text1"/>
          <w:sz w:val="28"/>
          <w:szCs w:val="28"/>
          <w14:textFill>
            <w14:solidFill>
              <w14:schemeClr w14:val="tx1"/>
            </w14:solidFill>
          </w14:textFill>
        </w:rPr>
        <w:t>占收入合计的</w:t>
      </w:r>
      <w:r>
        <w:rPr>
          <w:rFonts w:hint="eastAsia" w:ascii="仿宋_GB2312" w:eastAsia="仿宋_GB2312"/>
          <w:color w:val="000000" w:themeColor="text1"/>
          <w:sz w:val="28"/>
          <w:szCs w:val="28"/>
          <w:lang w:val="en-US" w:eastAsia="zh-CN"/>
          <w14:textFill>
            <w14:solidFill>
              <w14:schemeClr w14:val="tx1"/>
            </w14:solidFill>
          </w14:textFill>
        </w:rPr>
        <w:t>78.26</w:t>
      </w:r>
      <w:r>
        <w:rPr>
          <w:rFonts w:hint="eastAsia" w:ascii="仿宋_GB2312" w:eastAsia="仿宋_GB2312"/>
          <w:color w:val="000000" w:themeColor="text1"/>
          <w:sz w:val="28"/>
          <w:szCs w:val="28"/>
          <w14:textFill>
            <w14:solidFill>
              <w14:schemeClr w14:val="tx1"/>
            </w14:solidFill>
          </w14:textFill>
        </w:rPr>
        <w:t>%</w:t>
      </w:r>
      <w:bookmarkEnd w:id="1"/>
      <w:r>
        <w:rPr>
          <w:rFonts w:hint="eastAsia" w:ascii="仿宋_GB2312" w:eastAsia="仿宋_GB2312"/>
          <w:color w:val="000000" w:themeColor="text1"/>
          <w:sz w:val="28"/>
          <w:szCs w:val="28"/>
          <w14:textFill>
            <w14:solidFill>
              <w14:schemeClr w14:val="tx1"/>
            </w14:solidFill>
          </w14:textFill>
        </w:rPr>
        <w:t>。其中：一般公共预算财政拨款收入</w:t>
      </w:r>
      <w:r>
        <w:rPr>
          <w:rFonts w:hint="eastAsia" w:ascii="仿宋_GB2312" w:eastAsia="仿宋_GB2312"/>
          <w:color w:val="000000" w:themeColor="text1"/>
          <w:sz w:val="28"/>
          <w:szCs w:val="28"/>
          <w:lang w:val="en-US" w:eastAsia="zh-CN"/>
          <w14:textFill>
            <w14:solidFill>
              <w14:schemeClr w14:val="tx1"/>
            </w14:solidFill>
          </w14:textFill>
        </w:rPr>
        <w:t>30544.51</w:t>
      </w:r>
      <w:r>
        <w:rPr>
          <w:rFonts w:hint="eastAsia" w:ascii="仿宋_GB2312" w:eastAsia="仿宋_GB2312"/>
          <w:color w:val="000000" w:themeColor="text1"/>
          <w:sz w:val="28"/>
          <w:szCs w:val="28"/>
          <w14:textFill>
            <w14:solidFill>
              <w14:schemeClr w14:val="tx1"/>
            </w14:solidFill>
          </w14:textFill>
        </w:rPr>
        <w:t>万元，占收入合计的</w:t>
      </w:r>
      <w:r>
        <w:rPr>
          <w:rFonts w:hint="eastAsia" w:ascii="仿宋_GB2312" w:eastAsia="仿宋_GB2312"/>
          <w:color w:val="000000" w:themeColor="text1"/>
          <w:sz w:val="28"/>
          <w:szCs w:val="28"/>
          <w:lang w:val="en-US" w:eastAsia="zh-CN"/>
          <w14:textFill>
            <w14:solidFill>
              <w14:schemeClr w14:val="tx1"/>
            </w14:solidFill>
          </w14:textFill>
        </w:rPr>
        <w:t>57.3</w:t>
      </w:r>
      <w:r>
        <w:rPr>
          <w:rFonts w:hint="eastAsia" w:ascii="仿宋_GB2312" w:eastAsia="仿宋_GB2312"/>
          <w:color w:val="000000" w:themeColor="text1"/>
          <w:sz w:val="28"/>
          <w:szCs w:val="28"/>
          <w14:textFill>
            <w14:solidFill>
              <w14:schemeClr w14:val="tx1"/>
            </w14:solidFill>
          </w14:textFill>
        </w:rPr>
        <w:t>%；政府性基金预算财政拨款收入</w:t>
      </w:r>
      <w:r>
        <w:rPr>
          <w:rFonts w:hint="eastAsia" w:ascii="仿宋_GB2312" w:eastAsia="仿宋_GB2312"/>
          <w:color w:val="000000" w:themeColor="text1"/>
          <w:sz w:val="28"/>
          <w:szCs w:val="28"/>
          <w:lang w:val="en-US" w:eastAsia="zh-CN"/>
          <w14:textFill>
            <w14:solidFill>
              <w14:schemeClr w14:val="tx1"/>
            </w14:solidFill>
          </w14:textFill>
        </w:rPr>
        <w:t>11173.71</w:t>
      </w:r>
      <w:r>
        <w:rPr>
          <w:rFonts w:hint="eastAsia" w:ascii="仿宋_GB2312" w:eastAsia="仿宋_GB2312"/>
          <w:color w:val="000000" w:themeColor="text1"/>
          <w:sz w:val="28"/>
          <w:szCs w:val="28"/>
          <w14:textFill>
            <w14:solidFill>
              <w14:schemeClr w14:val="tx1"/>
            </w14:solidFill>
          </w14:textFill>
        </w:rPr>
        <w:t>万元，占收入合计的</w:t>
      </w:r>
      <w:r>
        <w:rPr>
          <w:rFonts w:hint="eastAsia" w:ascii="仿宋_GB2312" w:eastAsia="仿宋_GB2312"/>
          <w:color w:val="000000" w:themeColor="text1"/>
          <w:sz w:val="28"/>
          <w:szCs w:val="28"/>
          <w:lang w:val="en-US" w:eastAsia="zh-CN"/>
          <w14:textFill>
            <w14:solidFill>
              <w14:schemeClr w14:val="tx1"/>
            </w14:solidFill>
          </w14:textFill>
        </w:rPr>
        <w:t>20.96</w:t>
      </w:r>
      <w:r>
        <w:rPr>
          <w:rFonts w:hint="eastAsia" w:ascii="仿宋_GB2312" w:eastAsia="仿宋_GB2312"/>
          <w:color w:val="000000" w:themeColor="text1"/>
          <w:sz w:val="28"/>
          <w:szCs w:val="28"/>
          <w14:textFill>
            <w14:solidFill>
              <w14:schemeClr w14:val="tx1"/>
            </w14:solidFill>
          </w14:textFill>
        </w:rPr>
        <w:t>%；国有资本经营预算财政拨款收入</w:t>
      </w:r>
      <w:r>
        <w:rPr>
          <w:rFonts w:hint="eastAsia" w:ascii="仿宋_GB2312" w:eastAsia="仿宋_GB2312"/>
          <w:color w:val="000000" w:themeColor="text1"/>
          <w:sz w:val="28"/>
          <w:szCs w:val="28"/>
          <w:lang w:val="en-US" w:eastAsia="zh-CN"/>
          <w14:textFill>
            <w14:solidFill>
              <w14:schemeClr w14:val="tx1"/>
            </w14:solidFill>
          </w14:textFill>
        </w:rPr>
        <w:t>0</w:t>
      </w:r>
      <w:r>
        <w:rPr>
          <w:rFonts w:hint="eastAsia" w:ascii="仿宋_GB2312" w:eastAsia="仿宋_GB2312"/>
          <w:color w:val="000000" w:themeColor="text1"/>
          <w:sz w:val="28"/>
          <w:szCs w:val="28"/>
          <w14:textFill>
            <w14:solidFill>
              <w14:schemeClr w14:val="tx1"/>
            </w14:solidFill>
          </w14:textFill>
        </w:rPr>
        <w:t>万元，占收入合计的</w:t>
      </w:r>
      <w:r>
        <w:rPr>
          <w:rFonts w:hint="eastAsia" w:ascii="仿宋_GB2312" w:eastAsia="仿宋_GB2312"/>
          <w:color w:val="000000" w:themeColor="text1"/>
          <w:sz w:val="28"/>
          <w:szCs w:val="28"/>
          <w:lang w:val="en-US" w:eastAsia="zh-CN"/>
          <w14:textFill>
            <w14:solidFill>
              <w14:schemeClr w14:val="tx1"/>
            </w14:solidFill>
          </w14:textFill>
        </w:rPr>
        <w:t>0</w:t>
      </w:r>
      <w:r>
        <w:rPr>
          <w:rFonts w:ascii="仿宋_GB2312" w:eastAsia="仿宋_GB2312"/>
          <w:color w:val="000000" w:themeColor="text1"/>
          <w:sz w:val="28"/>
          <w:szCs w:val="28"/>
          <w14:textFill>
            <w14:solidFill>
              <w14:schemeClr w14:val="tx1"/>
            </w14:solidFill>
          </w14:textFill>
        </w:rPr>
        <w:t>.</w:t>
      </w:r>
      <w:r>
        <w:rPr>
          <w:rFonts w:hint="eastAsia" w:ascii="仿宋_GB2312" w:eastAsia="仿宋_GB2312"/>
          <w:color w:val="000000" w:themeColor="text1"/>
          <w:sz w:val="28"/>
          <w:szCs w:val="28"/>
          <w:lang w:val="en-US" w:eastAsia="zh-CN"/>
          <w14:textFill>
            <w14:solidFill>
              <w14:schemeClr w14:val="tx1"/>
            </w14:solidFill>
          </w14:textFill>
        </w:rPr>
        <w:t>00</w:t>
      </w:r>
      <w:r>
        <w:rPr>
          <w:rFonts w:hint="eastAsia" w:ascii="仿宋_GB2312" w:eastAsia="仿宋_GB2312"/>
          <w:color w:val="000000" w:themeColor="text1"/>
          <w:sz w:val="28"/>
          <w:szCs w:val="28"/>
          <w14:textFill>
            <w14:solidFill>
              <w14:schemeClr w14:val="tx1"/>
            </w14:solidFill>
          </w14:textFill>
        </w:rPr>
        <w:t>%。</w:t>
      </w:r>
    </w:p>
    <w:p>
      <w:pPr>
        <w:tabs>
          <w:tab w:val="center" w:pos="6979"/>
        </w:tabs>
        <w:spacing w:line="580" w:lineRule="exact"/>
        <w:ind w:firstLine="570"/>
        <w:rPr>
          <w:rFonts w:hint="eastAsia" w:ascii="仿宋_GB2312" w:eastAsia="仿宋_GB2312"/>
          <w:color w:val="0000FF"/>
          <w:sz w:val="28"/>
          <w:szCs w:val="28"/>
        </w:rPr>
      </w:pPr>
      <w:r>
        <w:rPr>
          <w:rFonts w:hint="eastAsia" w:ascii="仿宋_GB2312" w:eastAsia="仿宋_GB2312"/>
          <w:color w:val="auto"/>
          <w:sz w:val="28"/>
          <w:szCs w:val="28"/>
          <w:lang w:val="en-US" w:eastAsia="zh-CN"/>
        </w:rPr>
        <w:t>2</w:t>
      </w:r>
      <w:r>
        <w:rPr>
          <w:rFonts w:hint="eastAsia" w:ascii="仿宋_GB2312" w:eastAsia="仿宋_GB2312"/>
          <w:color w:val="auto"/>
          <w:sz w:val="28"/>
          <w:szCs w:val="28"/>
        </w:rPr>
        <w:t>.事业收入</w:t>
      </w:r>
      <w:r>
        <w:rPr>
          <w:rFonts w:hint="eastAsia" w:ascii="仿宋_GB2312" w:eastAsia="仿宋_GB2312"/>
          <w:color w:val="auto"/>
          <w:sz w:val="28"/>
          <w:szCs w:val="28"/>
          <w:lang w:val="en-US" w:eastAsia="zh-CN"/>
        </w:rPr>
        <w:t>10083.63</w:t>
      </w:r>
      <w:r>
        <w:rPr>
          <w:rFonts w:hint="eastAsia" w:ascii="仿宋_GB2312" w:eastAsia="仿宋_GB2312"/>
          <w:color w:val="auto"/>
          <w:sz w:val="28"/>
          <w:szCs w:val="28"/>
        </w:rPr>
        <w:t>万元，占收入合计的</w:t>
      </w:r>
      <w:r>
        <w:rPr>
          <w:rFonts w:hint="eastAsia" w:ascii="仿宋_GB2312" w:eastAsia="仿宋_GB2312"/>
          <w:color w:val="auto"/>
          <w:sz w:val="28"/>
          <w:szCs w:val="28"/>
          <w:lang w:val="en-US" w:eastAsia="zh-CN"/>
        </w:rPr>
        <w:t>18.92</w:t>
      </w:r>
      <w:r>
        <w:rPr>
          <w:rFonts w:hint="eastAsia" w:ascii="仿宋_GB2312" w:eastAsia="仿宋_GB2312"/>
          <w:color w:val="auto"/>
          <w:sz w:val="28"/>
          <w:szCs w:val="28"/>
        </w:rPr>
        <w:t>%。</w:t>
      </w:r>
    </w:p>
    <w:p>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color w:val="auto"/>
          <w:sz w:val="28"/>
          <w:szCs w:val="28"/>
          <w:lang w:val="en-US" w:eastAsia="zh-CN"/>
        </w:rPr>
        <w:t>3</w:t>
      </w:r>
      <w:r>
        <w:rPr>
          <w:rFonts w:hint="eastAsia" w:ascii="仿宋_GB2312" w:eastAsia="仿宋_GB2312"/>
          <w:color w:val="auto"/>
          <w:sz w:val="28"/>
          <w:szCs w:val="28"/>
        </w:rPr>
        <w:t>.附属单位上缴收入</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万元，占收入合计的</w:t>
      </w:r>
      <w:r>
        <w:rPr>
          <w:rFonts w:hint="eastAsia" w:ascii="仿宋_GB2312" w:eastAsia="仿宋_GB2312"/>
          <w:color w:val="auto"/>
          <w:sz w:val="28"/>
          <w:szCs w:val="28"/>
          <w:lang w:val="en-US" w:eastAsia="zh-CN"/>
        </w:rPr>
        <w:t>0.00</w:t>
      </w:r>
      <w:r>
        <w:rPr>
          <w:rFonts w:hint="eastAsia" w:ascii="仿宋_GB2312" w:eastAsia="仿宋_GB2312"/>
          <w:color w:val="auto"/>
          <w:sz w:val="28"/>
          <w:szCs w:val="28"/>
        </w:rPr>
        <w:t>%。</w:t>
      </w:r>
    </w:p>
    <w:p>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color w:val="auto"/>
          <w:sz w:val="28"/>
          <w:szCs w:val="28"/>
          <w:lang w:val="en-US" w:eastAsia="zh-CN"/>
        </w:rPr>
        <w:t>4</w:t>
      </w:r>
      <w:r>
        <w:rPr>
          <w:rFonts w:hint="eastAsia" w:ascii="仿宋_GB2312" w:eastAsia="仿宋_GB2312"/>
          <w:color w:val="auto"/>
          <w:sz w:val="28"/>
          <w:szCs w:val="28"/>
        </w:rPr>
        <w:t>.其他收入</w:t>
      </w:r>
      <w:r>
        <w:rPr>
          <w:rFonts w:hint="eastAsia" w:ascii="仿宋_GB2312" w:eastAsia="仿宋_GB2312"/>
          <w:color w:val="auto"/>
          <w:sz w:val="28"/>
          <w:szCs w:val="28"/>
          <w:lang w:val="en-US" w:eastAsia="zh-CN"/>
        </w:rPr>
        <w:t>1503.81</w:t>
      </w:r>
      <w:r>
        <w:rPr>
          <w:rFonts w:hint="eastAsia" w:ascii="仿宋_GB2312" w:eastAsia="仿宋_GB2312"/>
          <w:color w:val="auto"/>
          <w:sz w:val="28"/>
          <w:szCs w:val="28"/>
        </w:rPr>
        <w:t>万元，占收入合计的</w:t>
      </w:r>
      <w:r>
        <w:rPr>
          <w:rFonts w:hint="eastAsia" w:ascii="仿宋_GB2312" w:eastAsia="仿宋_GB2312"/>
          <w:color w:val="auto"/>
          <w:sz w:val="28"/>
          <w:szCs w:val="28"/>
          <w:lang w:val="en-US" w:eastAsia="zh-CN"/>
        </w:rPr>
        <w:t>2.82</w:t>
      </w:r>
      <w:r>
        <w:rPr>
          <w:rFonts w:hint="eastAsia" w:ascii="仿宋_GB2312" w:eastAsia="仿宋_GB2312"/>
          <w:color w:val="auto"/>
          <w:sz w:val="28"/>
          <w:szCs w:val="28"/>
        </w:rPr>
        <w:t>%。</w:t>
      </w:r>
    </w:p>
    <w:p>
      <w:pPr>
        <w:pStyle w:val="2"/>
        <w:rPr>
          <w:rFonts w:hint="eastAsia" w:eastAsia="仿宋_GB2312"/>
          <w:lang w:eastAsia="zh-CN"/>
        </w:rPr>
      </w:pPr>
      <w:r>
        <w:rPr>
          <w:rFonts w:hint="eastAsia" w:eastAsia="仿宋_GB2312"/>
          <w:lang w:eastAsia="zh-CN"/>
        </w:rPr>
        <w:drawing>
          <wp:inline distT="0" distB="0" distL="114300" distR="114300">
            <wp:extent cx="4984750" cy="3484880"/>
            <wp:effectExtent l="4445" t="4445" r="20955" b="15875"/>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70"/>
        <w:rPr>
          <w:rFonts w:hint="eastAsia" w:ascii="仿宋_GB2312" w:eastAsia="仿宋_GB2312"/>
          <w:color w:val="0000FF"/>
          <w:sz w:val="28"/>
          <w:szCs w:val="28"/>
        </w:rPr>
      </w:pPr>
    </w:p>
    <w:p>
      <w:pPr>
        <w:tabs>
          <w:tab w:val="center" w:pos="6979"/>
        </w:tabs>
        <w:spacing w:line="580" w:lineRule="exact"/>
        <w:ind w:firstLine="570"/>
        <w:rPr>
          <w:rFonts w:hint="eastAsia" w:ascii="仿宋_GB2312" w:eastAsia="仿宋_GB2312"/>
          <w:color w:val="0000FF"/>
          <w:sz w:val="28"/>
          <w:szCs w:val="28"/>
        </w:rPr>
      </w:pPr>
    </w:p>
    <w:p>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color w:val="auto"/>
          <w:sz w:val="28"/>
          <w:szCs w:val="28"/>
        </w:rPr>
        <w:t>（二</w:t>
      </w:r>
      <w:r>
        <w:rPr>
          <w:rFonts w:ascii="仿宋_GB2312" w:eastAsia="仿宋_GB2312"/>
          <w:color w:val="auto"/>
          <w:sz w:val="28"/>
          <w:szCs w:val="28"/>
        </w:rPr>
        <w:t>）</w:t>
      </w:r>
      <w:r>
        <w:rPr>
          <w:rFonts w:hint="eastAsia" w:ascii="仿宋_GB2312" w:eastAsia="仿宋_GB2312"/>
          <w:color w:val="auto"/>
          <w:sz w:val="28"/>
          <w:szCs w:val="28"/>
        </w:rPr>
        <w:t>支出决算</w:t>
      </w:r>
      <w:r>
        <w:rPr>
          <w:rFonts w:ascii="仿宋_GB2312" w:eastAsia="仿宋_GB2312"/>
          <w:color w:val="auto"/>
          <w:sz w:val="28"/>
          <w:szCs w:val="28"/>
        </w:rPr>
        <w:t>说明</w:t>
      </w:r>
    </w:p>
    <w:p>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color w:val="auto"/>
          <w:sz w:val="28"/>
          <w:szCs w:val="28"/>
        </w:rPr>
        <w:t>2024年度本年支出合计51492.18万元，</w:t>
      </w:r>
      <w:r>
        <w:rPr>
          <w:rFonts w:ascii="仿宋_GB2312" w:eastAsia="仿宋_GB2312"/>
          <w:color w:val="auto"/>
          <w:sz w:val="28"/>
          <w:szCs w:val="28"/>
        </w:rPr>
        <w:t>比上年增加</w:t>
      </w:r>
      <w:r>
        <w:rPr>
          <w:rFonts w:hint="eastAsia" w:ascii="仿宋_GB2312" w:eastAsia="仿宋_GB2312"/>
          <w:color w:val="auto"/>
          <w:sz w:val="28"/>
          <w:szCs w:val="28"/>
          <w:lang w:val="en-US" w:eastAsia="zh-CN"/>
        </w:rPr>
        <w:t>4691.60</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10.02</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政府性基金</w:t>
      </w:r>
      <w:r>
        <w:rPr>
          <w:rFonts w:hint="eastAsia" w:ascii="仿宋_GB2312" w:eastAsia="仿宋_GB2312"/>
          <w:color w:val="auto"/>
          <w:sz w:val="28"/>
          <w:szCs w:val="28"/>
          <w:highlight w:val="none"/>
          <w:lang w:val="en-US" w:eastAsia="zh-CN"/>
        </w:rPr>
        <w:t>专项转移支付增加</w:t>
      </w:r>
      <w:r>
        <w:rPr>
          <w:rFonts w:hint="eastAsia" w:ascii="仿宋_GB2312" w:eastAsia="仿宋_GB2312"/>
          <w:color w:val="auto"/>
          <w:sz w:val="28"/>
          <w:szCs w:val="28"/>
        </w:rPr>
        <w:t>。其中：</w:t>
      </w:r>
    </w:p>
    <w:p>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color w:val="auto"/>
          <w:sz w:val="28"/>
          <w:szCs w:val="28"/>
        </w:rPr>
        <w:t>1.基本支出</w:t>
      </w:r>
      <w:r>
        <w:rPr>
          <w:rFonts w:hint="eastAsia" w:ascii="仿宋_GB2312" w:eastAsia="仿宋_GB2312"/>
          <w:color w:val="auto"/>
          <w:sz w:val="28"/>
          <w:szCs w:val="28"/>
          <w:lang w:val="en-US" w:eastAsia="zh-CN"/>
        </w:rPr>
        <w:t>17146.41</w:t>
      </w:r>
      <w:r>
        <w:rPr>
          <w:rFonts w:hint="eastAsia" w:ascii="仿宋_GB2312" w:eastAsia="仿宋_GB2312"/>
          <w:color w:val="auto"/>
          <w:sz w:val="28"/>
          <w:szCs w:val="28"/>
        </w:rPr>
        <w:t>万元，占支出合计的</w:t>
      </w:r>
      <w:r>
        <w:rPr>
          <w:rFonts w:hint="eastAsia" w:ascii="仿宋_GB2312" w:eastAsia="仿宋_GB2312"/>
          <w:color w:val="auto"/>
          <w:sz w:val="28"/>
          <w:szCs w:val="28"/>
          <w:lang w:val="en-US" w:eastAsia="zh-CN"/>
        </w:rPr>
        <w:t>33.3</w:t>
      </w:r>
      <w:r>
        <w:rPr>
          <w:rFonts w:hint="eastAsia" w:ascii="仿宋_GB2312" w:eastAsia="仿宋_GB2312"/>
          <w:color w:val="auto"/>
          <w:sz w:val="28"/>
          <w:szCs w:val="28"/>
        </w:rPr>
        <w:t>%。</w:t>
      </w:r>
    </w:p>
    <w:p>
      <w:pPr>
        <w:tabs>
          <w:tab w:val="center" w:pos="6979"/>
        </w:tabs>
        <w:spacing w:line="580" w:lineRule="exact"/>
        <w:ind w:firstLine="570"/>
        <w:rPr>
          <w:rFonts w:hint="eastAsia" w:ascii="仿宋_GB2312" w:eastAsia="仿宋_GB2312"/>
          <w:color w:val="0000FF"/>
          <w:sz w:val="28"/>
          <w:szCs w:val="28"/>
        </w:rPr>
      </w:pPr>
      <w:r>
        <w:rPr>
          <w:rFonts w:hint="eastAsia" w:ascii="仿宋_GB2312" w:eastAsia="仿宋_GB2312"/>
          <w:color w:val="auto"/>
          <w:sz w:val="28"/>
          <w:szCs w:val="28"/>
        </w:rPr>
        <w:t>2.项目支出</w:t>
      </w:r>
      <w:r>
        <w:rPr>
          <w:rFonts w:hint="eastAsia" w:ascii="仿宋_GB2312" w:eastAsia="仿宋_GB2312"/>
          <w:color w:val="auto"/>
          <w:sz w:val="28"/>
          <w:szCs w:val="28"/>
          <w:lang w:val="en-US" w:eastAsia="zh-CN"/>
        </w:rPr>
        <w:t>34345.77</w:t>
      </w:r>
      <w:r>
        <w:rPr>
          <w:rFonts w:hint="eastAsia" w:ascii="仿宋_GB2312" w:eastAsia="仿宋_GB2312"/>
          <w:color w:val="auto"/>
          <w:sz w:val="28"/>
          <w:szCs w:val="28"/>
        </w:rPr>
        <w:t>万元，占支出合计的</w:t>
      </w:r>
      <w:r>
        <w:rPr>
          <w:rFonts w:hint="eastAsia" w:ascii="仿宋_GB2312" w:eastAsia="仿宋_GB2312"/>
          <w:color w:val="auto"/>
          <w:sz w:val="28"/>
          <w:szCs w:val="28"/>
          <w:lang w:val="en-US" w:eastAsia="zh-CN"/>
        </w:rPr>
        <w:t>66.7</w:t>
      </w:r>
      <w:r>
        <w:rPr>
          <w:rFonts w:hint="eastAsia" w:ascii="仿宋_GB2312" w:eastAsia="仿宋_GB2312"/>
          <w:color w:val="auto"/>
          <w:sz w:val="28"/>
          <w:szCs w:val="28"/>
        </w:rPr>
        <w:t>%。</w:t>
      </w:r>
    </w:p>
    <w:p>
      <w:pPr>
        <w:pStyle w:val="2"/>
        <w:rPr>
          <w:rFonts w:hint="eastAsia" w:ascii="仿宋_GB2312" w:eastAsia="仿宋_GB2312"/>
          <w:color w:val="0000FF"/>
          <w:sz w:val="28"/>
          <w:szCs w:val="28"/>
          <w:lang w:eastAsia="zh-CN"/>
        </w:rPr>
      </w:pPr>
      <w:r>
        <w:rPr>
          <w:rFonts w:hint="eastAsia" w:ascii="仿宋_GB2312" w:eastAsia="仿宋_GB2312"/>
          <w:color w:val="0000FF"/>
          <w:sz w:val="28"/>
          <w:szCs w:val="28"/>
          <w:lang w:eastAsia="zh-CN"/>
        </w:rPr>
        <w:drawing>
          <wp:inline distT="0" distB="0" distL="114300" distR="114300">
            <wp:extent cx="4269105" cy="3305175"/>
            <wp:effectExtent l="4445" t="5080" r="12700" b="444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pStyle w:val="2"/>
        <w:rPr>
          <w:rFonts w:hint="eastAsia" w:ascii="仿宋_GB2312" w:eastAsia="仿宋_GB2312"/>
          <w:color w:val="0000FF"/>
          <w:sz w:val="28"/>
          <w:szCs w:val="28"/>
        </w:rPr>
      </w:pPr>
    </w:p>
    <w:p>
      <w:pPr>
        <w:tabs>
          <w:tab w:val="center" w:pos="6979"/>
        </w:tabs>
        <w:spacing w:line="580" w:lineRule="exact"/>
        <w:ind w:firstLine="548" w:firstLineChars="196"/>
        <w:rPr>
          <w:rFonts w:hint="eastAsia" w:ascii="黑体" w:eastAsia="黑体"/>
          <w:color w:val="auto"/>
          <w:sz w:val="28"/>
          <w:szCs w:val="28"/>
        </w:rPr>
      </w:pPr>
      <w:r>
        <w:rPr>
          <w:rFonts w:hint="eastAsia" w:ascii="黑体" w:eastAsia="黑体"/>
          <w:color w:val="auto"/>
          <w:sz w:val="28"/>
          <w:szCs w:val="28"/>
        </w:rPr>
        <w:t>四</w:t>
      </w:r>
      <w:r>
        <w:rPr>
          <w:rFonts w:ascii="黑体" w:eastAsia="黑体"/>
          <w:color w:val="auto"/>
          <w:sz w:val="28"/>
          <w:szCs w:val="28"/>
        </w:rPr>
        <w:t>、财政拨款</w:t>
      </w:r>
      <w:r>
        <w:rPr>
          <w:rFonts w:hint="eastAsia" w:ascii="黑体" w:eastAsia="黑体"/>
          <w:color w:val="auto"/>
          <w:sz w:val="28"/>
          <w:szCs w:val="28"/>
        </w:rPr>
        <w:t>收入支出决算</w:t>
      </w:r>
      <w:r>
        <w:rPr>
          <w:rFonts w:ascii="黑体" w:eastAsia="黑体"/>
          <w:color w:val="auto"/>
          <w:sz w:val="28"/>
          <w:szCs w:val="28"/>
        </w:rPr>
        <w:t>总体情况说明</w:t>
      </w:r>
    </w:p>
    <w:p>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color w:val="auto"/>
          <w:sz w:val="28"/>
          <w:szCs w:val="28"/>
        </w:rPr>
        <w:t>2024年度财政拨款收入总计42625.2</w:t>
      </w:r>
      <w:r>
        <w:rPr>
          <w:rFonts w:hint="eastAsia" w:ascii="仿宋_GB2312" w:eastAsia="仿宋_GB2312"/>
          <w:color w:val="auto"/>
          <w:sz w:val="28"/>
          <w:szCs w:val="28"/>
          <w:lang w:val="en-US" w:eastAsia="zh-CN"/>
        </w:rPr>
        <w:t>8</w:t>
      </w:r>
      <w:r>
        <w:rPr>
          <w:rFonts w:hint="eastAsia" w:ascii="仿宋_GB2312" w:eastAsia="仿宋_GB2312"/>
          <w:color w:val="auto"/>
          <w:sz w:val="28"/>
          <w:szCs w:val="28"/>
        </w:rPr>
        <w:t>万元，比上年</w:t>
      </w:r>
      <w:r>
        <w:rPr>
          <w:rFonts w:ascii="仿宋_GB2312" w:eastAsia="仿宋_GB2312"/>
          <w:color w:val="auto"/>
          <w:sz w:val="28"/>
          <w:szCs w:val="28"/>
        </w:rPr>
        <w:t>增加</w:t>
      </w:r>
      <w:r>
        <w:rPr>
          <w:rFonts w:hint="eastAsia" w:ascii="仿宋_GB2312" w:eastAsia="仿宋_GB2312"/>
          <w:color w:val="auto"/>
          <w:sz w:val="28"/>
          <w:szCs w:val="28"/>
          <w:lang w:val="en-US" w:eastAsia="zh-CN"/>
        </w:rPr>
        <w:t>4665.54</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12.29</w:t>
      </w:r>
      <w:r>
        <w:rPr>
          <w:rFonts w:hint="eastAsia" w:ascii="仿宋_GB2312" w:eastAsia="仿宋_GB2312"/>
          <w:color w:val="auto"/>
          <w:sz w:val="28"/>
          <w:szCs w:val="28"/>
        </w:rPr>
        <w:t>%。主要原因：政府性基金</w:t>
      </w:r>
      <w:r>
        <w:rPr>
          <w:rFonts w:hint="eastAsia" w:ascii="仿宋_GB2312" w:eastAsia="仿宋_GB2312"/>
          <w:color w:val="auto"/>
          <w:sz w:val="28"/>
          <w:szCs w:val="28"/>
          <w:lang w:val="en-US" w:eastAsia="zh-CN"/>
        </w:rPr>
        <w:t>专项转移支付增加</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年度财政拨款支出总计42625.2</w:t>
      </w:r>
      <w:r>
        <w:rPr>
          <w:rFonts w:hint="eastAsia" w:ascii="仿宋_GB2312" w:eastAsia="仿宋_GB2312"/>
          <w:color w:val="auto"/>
          <w:sz w:val="28"/>
          <w:szCs w:val="28"/>
          <w:lang w:val="en-US" w:eastAsia="zh-CN"/>
        </w:rPr>
        <w:t>8</w:t>
      </w:r>
      <w:r>
        <w:rPr>
          <w:rFonts w:hint="eastAsia" w:ascii="仿宋_GB2312" w:eastAsia="仿宋_GB2312"/>
          <w:color w:val="auto"/>
          <w:sz w:val="28"/>
          <w:szCs w:val="28"/>
        </w:rPr>
        <w:t>万元，比上年</w:t>
      </w:r>
      <w:r>
        <w:rPr>
          <w:rFonts w:ascii="仿宋_GB2312" w:eastAsia="仿宋_GB2312"/>
          <w:color w:val="auto"/>
          <w:sz w:val="28"/>
          <w:szCs w:val="28"/>
        </w:rPr>
        <w:t>增加</w:t>
      </w:r>
      <w:r>
        <w:rPr>
          <w:rFonts w:hint="eastAsia" w:ascii="仿宋_GB2312" w:eastAsia="仿宋_GB2312"/>
          <w:color w:val="auto"/>
          <w:sz w:val="28"/>
          <w:szCs w:val="28"/>
          <w:lang w:val="en-US" w:eastAsia="zh-CN"/>
        </w:rPr>
        <w:t>4665.54</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12.29</w:t>
      </w:r>
      <w:r>
        <w:rPr>
          <w:rFonts w:hint="eastAsia" w:ascii="仿宋_GB2312" w:eastAsia="仿宋_GB2312"/>
          <w:color w:val="auto"/>
          <w:sz w:val="28"/>
          <w:szCs w:val="28"/>
        </w:rPr>
        <w:t>%。主要原因：政府性基金</w:t>
      </w:r>
      <w:r>
        <w:rPr>
          <w:rFonts w:hint="eastAsia" w:ascii="仿宋_GB2312" w:eastAsia="仿宋_GB2312"/>
          <w:color w:val="auto"/>
          <w:sz w:val="28"/>
          <w:szCs w:val="28"/>
          <w:lang w:val="en-US" w:eastAsia="zh-CN"/>
        </w:rPr>
        <w:t>专项转移支付增加</w:t>
      </w:r>
      <w:r>
        <w:rPr>
          <w:rFonts w:hint="eastAsia" w:ascii="仿宋_GB2312" w:eastAsia="仿宋_GB2312"/>
          <w:color w:val="auto"/>
          <w:sz w:val="28"/>
          <w:szCs w:val="28"/>
        </w:rPr>
        <w:t xml:space="preserve">。 </w:t>
      </w:r>
    </w:p>
    <w:p>
      <w:pPr>
        <w:tabs>
          <w:tab w:val="center" w:pos="6979"/>
        </w:tabs>
        <w:spacing w:line="580" w:lineRule="exact"/>
        <w:ind w:firstLine="548" w:firstLineChars="196"/>
        <w:rPr>
          <w:rFonts w:hint="eastAsia" w:ascii="黑体" w:eastAsia="黑体"/>
          <w:color w:val="auto"/>
          <w:sz w:val="28"/>
          <w:szCs w:val="28"/>
        </w:rPr>
      </w:pPr>
      <w:r>
        <w:rPr>
          <w:rFonts w:hint="eastAsia" w:ascii="黑体" w:eastAsia="黑体"/>
          <w:color w:val="auto"/>
          <w:sz w:val="28"/>
          <w:szCs w:val="28"/>
        </w:rPr>
        <w:t>五、</w:t>
      </w:r>
      <w:bookmarkStart w:id="2" w:name="OLE_LINK3"/>
      <w:r>
        <w:rPr>
          <w:rFonts w:hint="eastAsia" w:ascii="黑体" w:eastAsia="黑体"/>
          <w:color w:val="auto"/>
          <w:sz w:val="28"/>
          <w:szCs w:val="28"/>
        </w:rPr>
        <w:t>一般公共预算财政拨款支出决算情况说明</w:t>
      </w:r>
    </w:p>
    <w:bookmarkEnd w:id="2"/>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color w:val="auto"/>
          <w:sz w:val="28"/>
          <w:szCs w:val="28"/>
        </w:rPr>
      </w:pPr>
      <w:bookmarkStart w:id="3" w:name="OLE_LINK4"/>
      <w:r>
        <w:rPr>
          <w:rFonts w:hint="eastAsia" w:ascii="仿宋_GB2312" w:eastAsia="仿宋_GB2312"/>
          <w:color w:val="auto"/>
          <w:sz w:val="28"/>
          <w:szCs w:val="28"/>
        </w:rPr>
        <w:t>2024年度一般公共预算财政拨款支出</w:t>
      </w:r>
      <w:r>
        <w:rPr>
          <w:rFonts w:hint="eastAsia" w:ascii="仿宋_GB2312" w:eastAsia="仿宋_GB2312"/>
          <w:color w:val="auto"/>
          <w:sz w:val="28"/>
          <w:szCs w:val="28"/>
          <w:lang w:val="en-US" w:eastAsia="zh-CN"/>
        </w:rPr>
        <w:t>31451.57</w:t>
      </w:r>
      <w:r>
        <w:rPr>
          <w:rFonts w:hint="eastAsia" w:ascii="仿宋_GB2312" w:eastAsia="仿宋_GB2312"/>
          <w:color w:val="auto"/>
          <w:sz w:val="28"/>
          <w:szCs w:val="28"/>
        </w:rPr>
        <w:t>万元，主要用于以下方面：一般公共服务支出6853.0</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21.79</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教育支出660.77万元，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2.1</w:t>
      </w:r>
      <w:r>
        <w:rPr>
          <w:rFonts w:hint="eastAsia" w:ascii="仿宋_GB2312" w:eastAsia="仿宋_GB2312"/>
          <w:color w:val="auto"/>
          <w:sz w:val="28"/>
          <w:szCs w:val="28"/>
        </w:rPr>
        <w:t>%；文化旅游体育与传媒支出</w:t>
      </w:r>
      <w:r>
        <w:rPr>
          <w:rFonts w:hint="eastAsia" w:ascii="仿宋_GB2312" w:eastAsia="仿宋_GB2312"/>
          <w:color w:val="auto"/>
          <w:sz w:val="28"/>
          <w:szCs w:val="28"/>
          <w:lang w:val="en-US" w:eastAsia="zh-CN"/>
        </w:rPr>
        <w:t>264.89</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0.84</w:t>
      </w:r>
      <w:r>
        <w:rPr>
          <w:rFonts w:hint="eastAsia" w:ascii="仿宋_GB2312" w:eastAsia="仿宋_GB2312"/>
          <w:color w:val="auto"/>
          <w:sz w:val="28"/>
          <w:szCs w:val="28"/>
        </w:rPr>
        <w:t>%；社会保障和就业支出4793.</w:t>
      </w:r>
      <w:r>
        <w:rPr>
          <w:rFonts w:hint="eastAsia" w:ascii="仿宋_GB2312" w:eastAsia="仿宋_GB2312"/>
          <w:color w:val="auto"/>
          <w:sz w:val="28"/>
          <w:szCs w:val="28"/>
          <w:lang w:val="en-US" w:eastAsia="zh-CN"/>
        </w:rPr>
        <w:t>22</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15.24</w:t>
      </w:r>
      <w:r>
        <w:rPr>
          <w:rFonts w:hint="eastAsia" w:ascii="仿宋_GB2312" w:eastAsia="仿宋_GB2312"/>
          <w:color w:val="auto"/>
          <w:sz w:val="28"/>
          <w:szCs w:val="28"/>
        </w:rPr>
        <w:t>%；卫生健康支出</w:t>
      </w:r>
      <w:r>
        <w:rPr>
          <w:rFonts w:hint="eastAsia" w:ascii="仿宋_GB2312" w:eastAsia="仿宋_GB2312"/>
          <w:color w:val="auto"/>
          <w:sz w:val="28"/>
          <w:szCs w:val="28"/>
          <w:lang w:val="en-US" w:eastAsia="zh-CN"/>
        </w:rPr>
        <w:t>5370.71</w:t>
      </w:r>
      <w:r>
        <w:rPr>
          <w:rFonts w:hint="eastAsia" w:ascii="仿宋_GB2312" w:eastAsia="仿宋_GB2312"/>
          <w:color w:val="auto"/>
          <w:sz w:val="28"/>
          <w:szCs w:val="28"/>
        </w:rPr>
        <w:t>万元，占本年财政拨款支出17.</w:t>
      </w:r>
      <w:r>
        <w:rPr>
          <w:rFonts w:hint="eastAsia" w:ascii="仿宋_GB2312" w:eastAsia="仿宋_GB2312"/>
          <w:color w:val="auto"/>
          <w:sz w:val="28"/>
          <w:szCs w:val="28"/>
          <w:lang w:val="en-US" w:eastAsia="zh-CN"/>
        </w:rPr>
        <w:t>08</w:t>
      </w:r>
      <w:r>
        <w:rPr>
          <w:rFonts w:hint="eastAsia" w:ascii="仿宋_GB2312" w:eastAsia="仿宋_GB2312"/>
          <w:color w:val="auto"/>
          <w:sz w:val="28"/>
          <w:szCs w:val="28"/>
        </w:rPr>
        <w:t>%；节能环保支出957.53万元，占本年财政拨款支出3.</w:t>
      </w:r>
      <w:r>
        <w:rPr>
          <w:rFonts w:hint="eastAsia" w:ascii="仿宋_GB2312" w:eastAsia="仿宋_GB2312"/>
          <w:color w:val="auto"/>
          <w:sz w:val="28"/>
          <w:szCs w:val="28"/>
          <w:lang w:val="en-US" w:eastAsia="zh-CN"/>
        </w:rPr>
        <w:t>04</w:t>
      </w:r>
      <w:r>
        <w:rPr>
          <w:rFonts w:hint="eastAsia" w:ascii="仿宋_GB2312" w:eastAsia="仿宋_GB2312"/>
          <w:color w:val="auto"/>
          <w:sz w:val="28"/>
          <w:szCs w:val="28"/>
        </w:rPr>
        <w:t>%；城乡社区支出8448.07万元，占本年财政拨款支出</w:t>
      </w:r>
      <w:r>
        <w:rPr>
          <w:rFonts w:hint="eastAsia" w:ascii="仿宋_GB2312" w:eastAsia="仿宋_GB2312"/>
          <w:color w:val="auto"/>
          <w:sz w:val="28"/>
          <w:szCs w:val="28"/>
          <w:lang w:val="en-US" w:eastAsia="zh-CN"/>
        </w:rPr>
        <w:t>26.86</w:t>
      </w:r>
      <w:r>
        <w:rPr>
          <w:rFonts w:hint="eastAsia" w:ascii="仿宋_GB2312" w:eastAsia="仿宋_GB2312"/>
          <w:color w:val="auto"/>
          <w:sz w:val="28"/>
          <w:szCs w:val="28"/>
        </w:rPr>
        <w:t>%；农林水支出</w:t>
      </w:r>
      <w:r>
        <w:rPr>
          <w:rFonts w:hint="eastAsia" w:ascii="仿宋_GB2312" w:eastAsia="仿宋_GB2312"/>
          <w:color w:val="auto"/>
          <w:sz w:val="28"/>
          <w:szCs w:val="28"/>
          <w:lang w:val="en-US" w:eastAsia="zh-CN"/>
        </w:rPr>
        <w:t>2902.17</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9.23</w:t>
      </w:r>
      <w:r>
        <w:rPr>
          <w:rFonts w:hint="eastAsia" w:ascii="仿宋_GB2312" w:eastAsia="仿宋_GB2312"/>
          <w:color w:val="auto"/>
          <w:sz w:val="28"/>
          <w:szCs w:val="28"/>
        </w:rPr>
        <w:t>%；住房保障支出</w:t>
      </w:r>
      <w:r>
        <w:rPr>
          <w:rFonts w:hint="eastAsia" w:ascii="仿宋_GB2312" w:eastAsia="仿宋_GB2312"/>
          <w:color w:val="auto"/>
          <w:sz w:val="28"/>
          <w:szCs w:val="28"/>
          <w:lang w:val="en-US" w:eastAsia="zh-CN"/>
        </w:rPr>
        <w:t>907.06万元，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2.88</w:t>
      </w:r>
      <w:r>
        <w:rPr>
          <w:rFonts w:hint="eastAsia" w:ascii="仿宋_GB2312" w:eastAsia="仿宋_GB2312"/>
          <w:color w:val="auto"/>
          <w:sz w:val="28"/>
          <w:szCs w:val="28"/>
        </w:rPr>
        <w:t>%；灾害防治及应急管理支出</w:t>
      </w:r>
      <w:r>
        <w:rPr>
          <w:rFonts w:hint="eastAsia" w:ascii="仿宋_GB2312" w:eastAsia="仿宋_GB2312"/>
          <w:color w:val="auto"/>
          <w:sz w:val="28"/>
          <w:szCs w:val="28"/>
          <w:lang w:val="en-US" w:eastAsia="zh-CN"/>
        </w:rPr>
        <w:t>289.56</w:t>
      </w:r>
      <w:r>
        <w:rPr>
          <w:rFonts w:hint="eastAsia" w:ascii="仿宋_GB2312" w:eastAsia="仿宋_GB2312"/>
          <w:color w:val="auto"/>
          <w:sz w:val="28"/>
          <w:szCs w:val="28"/>
        </w:rPr>
        <w:t>万元，占本年财政拨款支出0.</w:t>
      </w:r>
      <w:r>
        <w:rPr>
          <w:rFonts w:hint="eastAsia" w:ascii="仿宋_GB2312" w:eastAsia="仿宋_GB2312"/>
          <w:color w:val="auto"/>
          <w:sz w:val="28"/>
          <w:szCs w:val="28"/>
          <w:lang w:val="en-US" w:eastAsia="zh-CN"/>
        </w:rPr>
        <w:t>92</w:t>
      </w:r>
      <w:r>
        <w:rPr>
          <w:rFonts w:hint="eastAsia" w:ascii="仿宋_GB2312" w:eastAsia="仿宋_GB2312"/>
          <w:color w:val="auto"/>
          <w:sz w:val="28"/>
          <w:szCs w:val="28"/>
        </w:rPr>
        <w:t>%；其他支出</w:t>
      </w:r>
      <w:r>
        <w:rPr>
          <w:rFonts w:hint="eastAsia" w:ascii="仿宋_GB2312" w:eastAsia="仿宋_GB2312"/>
          <w:color w:val="auto"/>
          <w:sz w:val="28"/>
          <w:szCs w:val="28"/>
          <w:lang w:val="en-US" w:eastAsia="zh-CN"/>
        </w:rPr>
        <w:t>4.56</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0.02</w:t>
      </w:r>
      <w:r>
        <w:rPr>
          <w:rFonts w:hint="eastAsia" w:ascii="仿宋_GB2312" w:eastAsia="仿宋_GB2312"/>
          <w:color w:val="auto"/>
          <w:sz w:val="28"/>
          <w:szCs w:val="28"/>
        </w:rPr>
        <w:t>%。</w:t>
      </w:r>
    </w:p>
    <w:bookmarkEnd w:id="3"/>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1.“一般公共服务支出”2024年度决算6853.0</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万元，比2024年度年初预算减少</w:t>
      </w:r>
      <w:r>
        <w:rPr>
          <w:rFonts w:hint="eastAsia" w:ascii="仿宋_GB2312" w:eastAsia="仿宋_GB2312"/>
          <w:color w:val="auto"/>
          <w:sz w:val="28"/>
          <w:szCs w:val="28"/>
          <w:lang w:val="en-US" w:eastAsia="zh-CN"/>
        </w:rPr>
        <w:t>453.25</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6.20</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“人大事务”2024年度决算196.68万元，比2024年度年初预算增加</w:t>
      </w:r>
      <w:r>
        <w:rPr>
          <w:rFonts w:hint="eastAsia" w:ascii="仿宋_GB2312" w:eastAsia="仿宋_GB2312"/>
          <w:color w:val="auto"/>
          <w:sz w:val="28"/>
          <w:szCs w:val="28"/>
          <w:lang w:val="en-US" w:eastAsia="zh-CN"/>
        </w:rPr>
        <w:t>175.58</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832.15</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人大事务支出增加</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“政府办公厅（室）及相关机构事务”202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年度决算4342.45万元，比202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减少351.58</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降低7.49</w:t>
      </w:r>
      <w:r>
        <w:rPr>
          <w:rFonts w:hint="eastAsia" w:ascii="仿宋_GB2312" w:eastAsia="仿宋_GB2312"/>
          <w:color w:val="auto"/>
          <w:sz w:val="28"/>
          <w:szCs w:val="28"/>
        </w:rPr>
        <w:t>%。主要原因：行政运行、事业运行支出</w:t>
      </w:r>
      <w:r>
        <w:rPr>
          <w:rFonts w:hint="eastAsia" w:ascii="仿宋_GB2312" w:eastAsia="仿宋_GB2312"/>
          <w:color w:val="auto"/>
          <w:sz w:val="28"/>
          <w:szCs w:val="28"/>
          <w:lang w:val="en-US" w:eastAsia="zh-CN"/>
        </w:rPr>
        <w:t>有所减少</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“统计信息事务”202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年度决算11.2</w:t>
      </w:r>
      <w:r>
        <w:rPr>
          <w:rFonts w:hint="eastAsia" w:ascii="仿宋_GB2312" w:eastAsia="仿宋_GB2312"/>
          <w:color w:val="auto"/>
          <w:sz w:val="28"/>
          <w:szCs w:val="28"/>
          <w:lang w:val="en-US" w:eastAsia="zh-CN"/>
        </w:rPr>
        <w:t>1</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年度年初预算增加</w:t>
      </w:r>
      <w:r>
        <w:rPr>
          <w:rFonts w:hint="eastAsia" w:ascii="仿宋_GB2312" w:eastAsia="仿宋_GB2312"/>
          <w:color w:val="auto"/>
          <w:sz w:val="28"/>
          <w:szCs w:val="28"/>
          <w:lang w:val="en-US" w:eastAsia="zh-CN"/>
        </w:rPr>
        <w:t>6.85</w:t>
      </w:r>
      <w:r>
        <w:rPr>
          <w:rFonts w:hint="eastAsia" w:ascii="仿宋_GB2312" w:eastAsia="仿宋_GB2312"/>
          <w:color w:val="auto"/>
          <w:sz w:val="28"/>
          <w:szCs w:val="28"/>
        </w:rPr>
        <w:t>万元</w:t>
      </w:r>
      <w:r>
        <w:rPr>
          <w:rFonts w:hint="eastAsia" w:ascii="仿宋_GB2312" w:eastAsia="仿宋_GB2312"/>
          <w:color w:val="auto"/>
          <w:sz w:val="28"/>
          <w:szCs w:val="28"/>
          <w:lang w:eastAsia="zh-CN"/>
        </w:rPr>
        <w:t>，</w:t>
      </w:r>
      <w:r>
        <w:rPr>
          <w:rFonts w:hint="eastAsia" w:ascii="仿宋_GB2312" w:eastAsia="仿宋_GB2312"/>
          <w:color w:val="auto"/>
          <w:sz w:val="28"/>
          <w:szCs w:val="28"/>
        </w:rPr>
        <w:t>增长</w:t>
      </w:r>
      <w:r>
        <w:rPr>
          <w:rFonts w:hint="eastAsia" w:ascii="仿宋_GB2312" w:eastAsia="仿宋_GB2312"/>
          <w:color w:val="auto"/>
          <w:sz w:val="28"/>
          <w:szCs w:val="28"/>
          <w:lang w:val="en-US" w:eastAsia="zh-CN"/>
        </w:rPr>
        <w:t>157.06</w:t>
      </w:r>
      <w:r>
        <w:rPr>
          <w:rFonts w:hint="eastAsia" w:ascii="仿宋_GB2312" w:eastAsia="仿宋_GB2312"/>
          <w:color w:val="auto"/>
          <w:sz w:val="28"/>
          <w:szCs w:val="28"/>
        </w:rPr>
        <w:t>%。。主要原因：统计抽样调查支出增加。</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“组织事务”202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年度决算1085.8</w:t>
      </w:r>
      <w:r>
        <w:rPr>
          <w:rFonts w:hint="eastAsia" w:ascii="仿宋_GB2312" w:eastAsia="仿宋_GB2312"/>
          <w:color w:val="auto"/>
          <w:sz w:val="28"/>
          <w:szCs w:val="28"/>
          <w:lang w:val="en-US" w:eastAsia="zh-CN"/>
        </w:rPr>
        <w:t>7</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减少314.11</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降低22.44</w:t>
      </w:r>
      <w:r>
        <w:rPr>
          <w:rFonts w:hint="eastAsia" w:ascii="仿宋_GB2312" w:eastAsia="仿宋_GB2312"/>
          <w:color w:val="auto"/>
          <w:sz w:val="28"/>
          <w:szCs w:val="28"/>
        </w:rPr>
        <w:t>%。主要原因：党群、党建等经费支出</w:t>
      </w:r>
      <w:r>
        <w:rPr>
          <w:rFonts w:hint="eastAsia" w:ascii="仿宋_GB2312" w:eastAsia="仿宋_GB2312"/>
          <w:color w:val="auto"/>
          <w:sz w:val="28"/>
          <w:szCs w:val="28"/>
          <w:lang w:val="en-US" w:eastAsia="zh-CN"/>
        </w:rPr>
        <w:t>减少</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color w:val="auto"/>
          <w:sz w:val="28"/>
          <w:szCs w:val="28"/>
          <w:highlight w:val="none"/>
          <w:u w:val="none"/>
        </w:rPr>
      </w:pPr>
      <w:r>
        <w:rPr>
          <w:rFonts w:hint="eastAsia" w:ascii="仿宋_GB2312" w:eastAsia="仿宋_GB2312"/>
          <w:color w:val="auto"/>
          <w:sz w:val="28"/>
          <w:szCs w:val="28"/>
          <w:highlight w:val="none"/>
          <w:u w:val="none"/>
          <w:lang w:eastAsia="zh-CN"/>
        </w:rPr>
        <w:t>“</w:t>
      </w:r>
      <w:r>
        <w:rPr>
          <w:rFonts w:hint="eastAsia" w:ascii="仿宋_GB2312" w:eastAsia="仿宋_GB2312"/>
          <w:color w:val="auto"/>
          <w:sz w:val="28"/>
          <w:szCs w:val="28"/>
          <w:highlight w:val="none"/>
          <w:u w:val="none"/>
        </w:rPr>
        <w:t>其他共产党事务支出</w:t>
      </w:r>
      <w:r>
        <w:rPr>
          <w:rFonts w:hint="eastAsia" w:ascii="仿宋_GB2312" w:eastAsia="仿宋_GB2312"/>
          <w:color w:val="auto"/>
          <w:sz w:val="28"/>
          <w:szCs w:val="28"/>
          <w:highlight w:val="none"/>
          <w:u w:val="none"/>
          <w:lang w:eastAsia="zh-CN"/>
        </w:rPr>
        <w:t>”</w:t>
      </w:r>
      <w:r>
        <w:rPr>
          <w:rFonts w:hint="eastAsia" w:ascii="仿宋_GB2312" w:eastAsia="仿宋_GB2312"/>
          <w:color w:val="auto"/>
          <w:sz w:val="28"/>
          <w:szCs w:val="28"/>
          <w:highlight w:val="none"/>
          <w:u w:val="none"/>
        </w:rPr>
        <w:t>202</w:t>
      </w:r>
      <w:r>
        <w:rPr>
          <w:rFonts w:hint="eastAsia" w:ascii="仿宋_GB2312" w:eastAsia="仿宋_GB2312"/>
          <w:color w:val="auto"/>
          <w:sz w:val="28"/>
          <w:szCs w:val="28"/>
          <w:highlight w:val="none"/>
          <w:u w:val="none"/>
          <w:lang w:val="en-US" w:eastAsia="zh-CN"/>
        </w:rPr>
        <w:t>4</w:t>
      </w:r>
      <w:r>
        <w:rPr>
          <w:rFonts w:hint="eastAsia" w:ascii="仿宋_GB2312" w:eastAsia="仿宋_GB2312"/>
          <w:color w:val="auto"/>
          <w:sz w:val="28"/>
          <w:szCs w:val="28"/>
          <w:highlight w:val="none"/>
          <w:u w:val="none"/>
        </w:rPr>
        <w:t>年度决算</w:t>
      </w:r>
      <w:r>
        <w:rPr>
          <w:rFonts w:hint="eastAsia" w:ascii="仿宋_GB2312" w:eastAsia="仿宋_GB2312"/>
          <w:color w:val="auto"/>
          <w:sz w:val="28"/>
          <w:szCs w:val="28"/>
          <w:highlight w:val="none"/>
          <w:u w:val="none"/>
          <w:lang w:val="en-US" w:eastAsia="zh-CN"/>
        </w:rPr>
        <w:t>4</w:t>
      </w:r>
      <w:r>
        <w:rPr>
          <w:rFonts w:hint="eastAsia" w:ascii="仿宋_GB2312" w:eastAsia="仿宋_GB2312"/>
          <w:color w:val="auto"/>
          <w:sz w:val="28"/>
          <w:szCs w:val="28"/>
          <w:highlight w:val="none"/>
          <w:u w:val="none"/>
        </w:rPr>
        <w:t>万元，</w:t>
      </w:r>
      <w:r>
        <w:rPr>
          <w:rFonts w:hint="eastAsia" w:ascii="仿宋_GB2312" w:eastAsia="仿宋_GB2312"/>
          <w:color w:val="auto"/>
          <w:sz w:val="28"/>
          <w:szCs w:val="28"/>
          <w:highlight w:val="none"/>
          <w:u w:val="none"/>
          <w:lang w:val="en-US" w:eastAsia="zh-CN"/>
        </w:rPr>
        <w:t>和</w:t>
      </w:r>
      <w:r>
        <w:rPr>
          <w:rFonts w:hint="eastAsia" w:ascii="仿宋_GB2312" w:eastAsia="仿宋_GB2312"/>
          <w:color w:val="auto"/>
          <w:sz w:val="28"/>
          <w:szCs w:val="28"/>
          <w:highlight w:val="none"/>
          <w:u w:val="none"/>
        </w:rPr>
        <w:t>202</w:t>
      </w:r>
      <w:r>
        <w:rPr>
          <w:rFonts w:hint="eastAsia" w:ascii="仿宋_GB2312" w:eastAsia="仿宋_GB2312"/>
          <w:color w:val="auto"/>
          <w:sz w:val="28"/>
          <w:szCs w:val="28"/>
          <w:highlight w:val="none"/>
          <w:u w:val="none"/>
          <w:lang w:val="en-US" w:eastAsia="zh-CN"/>
        </w:rPr>
        <w:t>4</w:t>
      </w:r>
      <w:r>
        <w:rPr>
          <w:rFonts w:hint="eastAsia" w:ascii="仿宋_GB2312" w:eastAsia="仿宋_GB2312"/>
          <w:color w:val="auto"/>
          <w:sz w:val="28"/>
          <w:szCs w:val="28"/>
          <w:highlight w:val="none"/>
          <w:u w:val="none"/>
        </w:rPr>
        <w:t>年度年初预算</w:t>
      </w:r>
      <w:r>
        <w:rPr>
          <w:rFonts w:hint="eastAsia" w:ascii="仿宋_GB2312" w:eastAsia="仿宋_GB2312"/>
          <w:color w:val="auto"/>
          <w:sz w:val="28"/>
          <w:szCs w:val="28"/>
          <w:highlight w:val="none"/>
          <w:u w:val="none"/>
          <w:lang w:val="en-US" w:eastAsia="zh-CN"/>
        </w:rPr>
        <w:t>一致</w:t>
      </w:r>
      <w:r>
        <w:rPr>
          <w:rFonts w:hint="eastAsia" w:ascii="仿宋_GB2312" w:eastAsia="仿宋_GB2312"/>
          <w:color w:val="auto"/>
          <w:sz w:val="28"/>
          <w:szCs w:val="28"/>
          <w:highlight w:val="none"/>
          <w:u w:val="none"/>
        </w:rPr>
        <w:t>。</w:t>
      </w:r>
    </w:p>
    <w:p>
      <w:pPr>
        <w:spacing w:line="560" w:lineRule="exact"/>
        <w:ind w:firstLine="420" w:firstLineChars="150"/>
        <w:rPr>
          <w:rFonts w:hint="eastAsia" w:ascii="仿宋_GB2312" w:eastAsia="仿宋_GB2312"/>
          <w:color w:val="auto"/>
          <w:sz w:val="28"/>
          <w:szCs w:val="28"/>
          <w:highlight w:val="none"/>
          <w:u w:val="none"/>
          <w:lang w:val="en-US" w:eastAsia="zh-CN"/>
        </w:rPr>
      </w:pPr>
      <w:r>
        <w:rPr>
          <w:rFonts w:hint="eastAsia" w:ascii="仿宋_GB2312" w:hAnsi="Times New Roman" w:eastAsia="仿宋_GB2312" w:cs="Times New Roman"/>
          <w:color w:val="auto"/>
          <w:kern w:val="2"/>
          <w:sz w:val="28"/>
          <w:szCs w:val="28"/>
          <w:highlight w:val="none"/>
          <w:lang w:val="en-US" w:eastAsia="zh-CN" w:bidi="ar-SA"/>
        </w:rPr>
        <w:t>“社会工作事务”</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11.71</w:t>
      </w:r>
      <w:r>
        <w:rPr>
          <w:rFonts w:hint="eastAsia" w:ascii="仿宋_GB2312" w:eastAsia="仿宋_GB2312"/>
          <w:color w:val="auto"/>
          <w:sz w:val="28"/>
          <w:szCs w:val="28"/>
          <w:highlight w:val="none"/>
        </w:rPr>
        <w:t>万元，比202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增加11.71</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u w:val="none"/>
        </w:rPr>
        <w:t>主要原因</w:t>
      </w:r>
      <w:r>
        <w:rPr>
          <w:rFonts w:hint="eastAsia" w:ascii="仿宋_GB2312" w:eastAsia="仿宋_GB2312"/>
          <w:color w:val="auto"/>
          <w:sz w:val="28"/>
          <w:szCs w:val="28"/>
          <w:highlight w:val="none"/>
          <w:u w:val="none"/>
          <w:lang w:eastAsia="zh-CN"/>
        </w:rPr>
        <w:t>：</w:t>
      </w:r>
      <w:r>
        <w:rPr>
          <w:rFonts w:hint="eastAsia" w:ascii="仿宋_GB2312" w:eastAsia="仿宋_GB2312"/>
          <w:color w:val="auto"/>
          <w:sz w:val="28"/>
          <w:szCs w:val="28"/>
          <w:highlight w:val="none"/>
          <w:u w:val="none"/>
          <w:lang w:val="en-US" w:eastAsia="zh-CN"/>
        </w:rPr>
        <w:t>专项资金增加。</w:t>
      </w:r>
    </w:p>
    <w:p>
      <w:pPr>
        <w:spacing w:line="560" w:lineRule="exact"/>
        <w:ind w:firstLine="420" w:firstLineChars="150"/>
        <w:rPr>
          <w:rFonts w:hint="default" w:ascii="仿宋_GB2312" w:eastAsia="仿宋_GB2312"/>
          <w:color w:val="auto"/>
          <w:sz w:val="28"/>
          <w:szCs w:val="28"/>
          <w:u w:val="none"/>
          <w:lang w:val="en-US" w:eastAsia="zh-CN"/>
        </w:rPr>
      </w:pPr>
      <w:r>
        <w:rPr>
          <w:rFonts w:hint="eastAsia" w:ascii="仿宋_GB2312" w:eastAsia="仿宋_GB2312"/>
          <w:color w:val="auto"/>
          <w:sz w:val="28"/>
          <w:szCs w:val="28"/>
          <w:u w:val="none"/>
        </w:rPr>
        <w:t>“其他一般公共服务支出”202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年度决算1201.1</w:t>
      </w:r>
      <w:r>
        <w:rPr>
          <w:rFonts w:hint="eastAsia" w:ascii="仿宋_GB2312" w:eastAsia="仿宋_GB2312"/>
          <w:color w:val="auto"/>
          <w:sz w:val="28"/>
          <w:szCs w:val="28"/>
          <w:u w:val="none"/>
          <w:lang w:val="en-US" w:eastAsia="zh-CN"/>
        </w:rPr>
        <w:t>1</w:t>
      </w:r>
      <w:r>
        <w:rPr>
          <w:rFonts w:hint="eastAsia" w:ascii="仿宋_GB2312" w:eastAsia="仿宋_GB2312"/>
          <w:color w:val="auto"/>
          <w:sz w:val="28"/>
          <w:szCs w:val="28"/>
          <w:u w:val="none"/>
        </w:rPr>
        <w:t>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年度年初预算增加</w:t>
      </w:r>
      <w:r>
        <w:rPr>
          <w:rFonts w:hint="eastAsia" w:ascii="仿宋_GB2312" w:eastAsia="仿宋_GB2312"/>
          <w:color w:val="auto"/>
          <w:sz w:val="28"/>
          <w:szCs w:val="28"/>
          <w:u w:val="none"/>
          <w:lang w:val="en-US" w:eastAsia="zh-CN"/>
        </w:rPr>
        <w:t>18.31</w:t>
      </w:r>
      <w:r>
        <w:rPr>
          <w:rFonts w:hint="eastAsia" w:ascii="仿宋_GB2312" w:eastAsia="仿宋_GB2312"/>
          <w:color w:val="auto"/>
          <w:sz w:val="28"/>
          <w:szCs w:val="28"/>
          <w:u w:val="none"/>
        </w:rPr>
        <w:t>万元，增长</w:t>
      </w:r>
      <w:r>
        <w:rPr>
          <w:rFonts w:hint="eastAsia" w:ascii="仿宋_GB2312" w:eastAsia="仿宋_GB2312"/>
          <w:color w:val="auto"/>
          <w:sz w:val="28"/>
          <w:szCs w:val="28"/>
          <w:u w:val="none"/>
          <w:lang w:val="en-US" w:eastAsia="zh-CN"/>
        </w:rPr>
        <w:t>1.55</w:t>
      </w:r>
      <w:r>
        <w:rPr>
          <w:rFonts w:hint="eastAsia" w:ascii="仿宋_GB2312" w:eastAsia="仿宋_GB2312"/>
          <w:color w:val="auto"/>
          <w:sz w:val="28"/>
          <w:szCs w:val="28"/>
          <w:u w:val="none"/>
        </w:rPr>
        <w:t>%。主要原因：</w:t>
      </w:r>
      <w:r>
        <w:rPr>
          <w:rFonts w:hint="eastAsia" w:ascii="仿宋_GB2312" w:eastAsia="仿宋_GB2312"/>
          <w:color w:val="auto"/>
          <w:sz w:val="28"/>
          <w:szCs w:val="28"/>
          <w:u w:val="none"/>
          <w:lang w:val="en-US" w:eastAsia="zh-CN"/>
        </w:rPr>
        <w:t>项目经费支出增加。</w:t>
      </w:r>
    </w:p>
    <w:p>
      <w:pPr>
        <w:spacing w:line="560" w:lineRule="exact"/>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2.“教育支出”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660.77</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增加660.77</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其中：</w:t>
      </w:r>
    </w:p>
    <w:p>
      <w:pPr>
        <w:spacing w:line="560" w:lineRule="exact"/>
        <w:ind w:firstLine="420" w:firstLineChars="150"/>
        <w:rPr>
          <w:rFonts w:hint="eastAsia" w:ascii="仿宋_GB2312" w:eastAsia="仿宋_GB2312"/>
          <w:color w:val="auto"/>
          <w:sz w:val="28"/>
          <w:szCs w:val="28"/>
          <w:highlight w:val="none"/>
          <w:u w:val="none"/>
          <w:lang w:val="en-US"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rPr>
        <w:t>普通教育</w:t>
      </w:r>
      <w:r>
        <w:rPr>
          <w:rFonts w:hint="eastAsia" w:ascii="仿宋_GB2312" w:eastAsia="仿宋_GB2312"/>
          <w:color w:val="auto"/>
          <w:sz w:val="28"/>
          <w:szCs w:val="28"/>
          <w:lang w:eastAsia="zh-CN"/>
        </w:rPr>
        <w:t>”</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640.94</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增加640.94</w:t>
      </w:r>
      <w:r>
        <w:rPr>
          <w:rFonts w:hint="eastAsia" w:ascii="仿宋_GB2312" w:eastAsia="仿宋_GB2312"/>
          <w:color w:val="auto"/>
          <w:sz w:val="28"/>
          <w:szCs w:val="28"/>
        </w:rPr>
        <w:t>万元。</w:t>
      </w:r>
      <w:r>
        <w:rPr>
          <w:rFonts w:hint="eastAsia" w:ascii="仿宋_GB2312" w:eastAsia="仿宋_GB2312"/>
          <w:color w:val="auto"/>
          <w:sz w:val="28"/>
          <w:szCs w:val="28"/>
          <w:highlight w:val="none"/>
          <w:u w:val="none"/>
        </w:rPr>
        <w:t>主要原因</w:t>
      </w:r>
      <w:r>
        <w:rPr>
          <w:rFonts w:hint="eastAsia" w:ascii="仿宋_GB2312" w:eastAsia="仿宋_GB2312"/>
          <w:color w:val="auto"/>
          <w:sz w:val="28"/>
          <w:szCs w:val="28"/>
          <w:highlight w:val="none"/>
          <w:u w:val="none"/>
          <w:lang w:eastAsia="zh-CN"/>
        </w:rPr>
        <w:t>：</w:t>
      </w:r>
      <w:r>
        <w:rPr>
          <w:rFonts w:hint="eastAsia" w:ascii="仿宋_GB2312" w:eastAsia="仿宋_GB2312"/>
          <w:color w:val="auto"/>
          <w:sz w:val="28"/>
          <w:szCs w:val="28"/>
          <w:highlight w:val="none"/>
          <w:u w:val="none"/>
          <w:lang w:val="en-US" w:eastAsia="zh-CN"/>
        </w:rPr>
        <w:t>学校有关支出增加。</w:t>
      </w:r>
    </w:p>
    <w:p>
      <w:pPr>
        <w:spacing w:line="560" w:lineRule="exact"/>
        <w:ind w:firstLine="420" w:firstLineChars="15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w:t>
      </w:r>
      <w:r>
        <w:rPr>
          <w:rFonts w:hint="default" w:ascii="仿宋_GB2312" w:eastAsia="仿宋_GB2312"/>
          <w:color w:val="auto"/>
          <w:sz w:val="28"/>
          <w:szCs w:val="28"/>
          <w:lang w:val="en-US" w:eastAsia="zh-CN"/>
        </w:rPr>
        <w:t>成人教育</w:t>
      </w:r>
      <w:r>
        <w:rPr>
          <w:rFonts w:hint="eastAsia" w:ascii="仿宋_GB2312" w:eastAsia="仿宋_GB2312"/>
          <w:color w:val="auto"/>
          <w:sz w:val="28"/>
          <w:szCs w:val="28"/>
          <w:lang w:val="en-US" w:eastAsia="zh-CN"/>
        </w:rPr>
        <w:t>”</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19.83</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增加19.83</w:t>
      </w:r>
      <w:r>
        <w:rPr>
          <w:rFonts w:hint="eastAsia" w:ascii="仿宋_GB2312" w:eastAsia="仿宋_GB2312"/>
          <w:color w:val="auto"/>
          <w:sz w:val="28"/>
          <w:szCs w:val="28"/>
        </w:rPr>
        <w:t>万元。</w:t>
      </w:r>
      <w:r>
        <w:rPr>
          <w:rFonts w:hint="eastAsia" w:ascii="仿宋_GB2312" w:eastAsia="仿宋_GB2312"/>
          <w:color w:val="auto"/>
          <w:sz w:val="28"/>
          <w:szCs w:val="28"/>
          <w:highlight w:val="none"/>
          <w:u w:val="none"/>
        </w:rPr>
        <w:t>主要原因</w:t>
      </w:r>
      <w:r>
        <w:rPr>
          <w:rFonts w:hint="eastAsia" w:ascii="仿宋_GB2312" w:eastAsia="仿宋_GB2312"/>
          <w:color w:val="auto"/>
          <w:sz w:val="28"/>
          <w:szCs w:val="28"/>
          <w:highlight w:val="none"/>
          <w:u w:val="none"/>
          <w:lang w:eastAsia="zh-CN"/>
        </w:rPr>
        <w:t>：</w:t>
      </w:r>
      <w:r>
        <w:rPr>
          <w:rFonts w:hint="eastAsia" w:ascii="仿宋_GB2312" w:eastAsia="仿宋_GB2312"/>
          <w:color w:val="auto"/>
          <w:sz w:val="28"/>
          <w:szCs w:val="28"/>
          <w:highlight w:val="none"/>
          <w:u w:val="none"/>
          <w:lang w:val="en-US" w:eastAsia="zh-CN"/>
        </w:rPr>
        <w:t>学校有关支出增加。</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lang w:val="en-US" w:eastAsia="zh-CN"/>
        </w:rPr>
        <w:t>3</w:t>
      </w:r>
      <w:r>
        <w:rPr>
          <w:rFonts w:hint="eastAsia" w:ascii="仿宋_GB2312" w:eastAsia="仿宋_GB2312"/>
          <w:color w:val="auto"/>
          <w:sz w:val="28"/>
          <w:szCs w:val="28"/>
        </w:rPr>
        <w:t>.“文化旅游体育与传媒支出”202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264.89</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减少128.61</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降低32.68</w:t>
      </w:r>
      <w:r>
        <w:rPr>
          <w:rFonts w:hint="eastAsia" w:ascii="仿宋_GB2312" w:eastAsia="仿宋_GB2312"/>
          <w:color w:val="auto"/>
          <w:sz w:val="28"/>
          <w:szCs w:val="28"/>
        </w:rPr>
        <w:t>%。其中：</w:t>
      </w:r>
    </w:p>
    <w:p>
      <w:pPr>
        <w:spacing w:line="560" w:lineRule="exact"/>
        <w:ind w:firstLine="420" w:firstLineChars="150"/>
        <w:rPr>
          <w:rFonts w:hint="eastAsia" w:ascii="仿宋_GB2312" w:eastAsia="仿宋_GB2312"/>
          <w:color w:val="0000FF"/>
          <w:sz w:val="28"/>
          <w:szCs w:val="28"/>
        </w:rPr>
      </w:pPr>
      <w:r>
        <w:rPr>
          <w:rFonts w:hint="eastAsia" w:ascii="仿宋_GB2312" w:eastAsia="仿宋_GB2312"/>
          <w:color w:val="auto"/>
          <w:sz w:val="28"/>
          <w:szCs w:val="28"/>
        </w:rPr>
        <w:t>“文化和旅游”202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150.34</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减少133.16</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降低46.97</w:t>
      </w:r>
      <w:r>
        <w:rPr>
          <w:rFonts w:hint="eastAsia" w:ascii="仿宋_GB2312" w:eastAsia="仿宋_GB2312"/>
          <w:color w:val="auto"/>
          <w:sz w:val="28"/>
          <w:szCs w:val="28"/>
        </w:rPr>
        <w:t>%。主要原因：文体经费支出</w:t>
      </w:r>
      <w:r>
        <w:rPr>
          <w:rFonts w:hint="eastAsia" w:ascii="仿宋_GB2312" w:eastAsia="仿宋_GB2312"/>
          <w:color w:val="auto"/>
          <w:sz w:val="28"/>
          <w:szCs w:val="28"/>
          <w:lang w:val="en-US" w:eastAsia="zh-CN"/>
        </w:rPr>
        <w:t>减少</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“其他文化旅游体育与传媒支出”202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114.55</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年度年初预算增加</w:t>
      </w:r>
      <w:r>
        <w:rPr>
          <w:rFonts w:hint="eastAsia" w:ascii="仿宋_GB2312" w:eastAsia="仿宋_GB2312"/>
          <w:color w:val="auto"/>
          <w:sz w:val="28"/>
          <w:szCs w:val="28"/>
          <w:lang w:val="en-US" w:eastAsia="zh-CN"/>
        </w:rPr>
        <w:t>4.55</w:t>
      </w:r>
      <w:r>
        <w:rPr>
          <w:rFonts w:hint="eastAsia" w:ascii="仿宋_GB2312" w:eastAsia="仿宋_GB2312"/>
          <w:color w:val="auto"/>
          <w:sz w:val="28"/>
          <w:szCs w:val="28"/>
        </w:rPr>
        <w:t>万元。主要原因：文化活动、其他文化支出增加。</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lang w:val="en-US" w:eastAsia="zh-CN"/>
        </w:rPr>
        <w:t>4</w:t>
      </w:r>
      <w:r>
        <w:rPr>
          <w:rFonts w:hint="eastAsia" w:ascii="仿宋_GB2312" w:eastAsia="仿宋_GB2312"/>
          <w:color w:val="auto"/>
          <w:sz w:val="28"/>
          <w:szCs w:val="28"/>
        </w:rPr>
        <w:t>.“社会保障和就业支出”202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4793.22</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减少214.71</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降低4.29</w:t>
      </w:r>
      <w:r>
        <w:rPr>
          <w:rFonts w:hint="eastAsia" w:ascii="仿宋_GB2312" w:eastAsia="仿宋_GB2312"/>
          <w:color w:val="auto"/>
          <w:sz w:val="28"/>
          <w:szCs w:val="28"/>
        </w:rPr>
        <w:t>%。其中：</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“民政管理事务”202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3311.19</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增加24.47</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增长0.74</w:t>
      </w:r>
      <w:r>
        <w:rPr>
          <w:rFonts w:hint="eastAsia" w:ascii="仿宋_GB2312" w:eastAsia="仿宋_GB2312"/>
          <w:color w:val="auto"/>
          <w:sz w:val="28"/>
          <w:szCs w:val="28"/>
        </w:rPr>
        <w:t>%。主要原因：社区及民政相关支出</w:t>
      </w:r>
      <w:r>
        <w:rPr>
          <w:rFonts w:hint="eastAsia" w:ascii="仿宋_GB2312" w:eastAsia="仿宋_GB2312"/>
          <w:color w:val="auto"/>
          <w:sz w:val="28"/>
          <w:szCs w:val="28"/>
          <w:lang w:val="en-US" w:eastAsia="zh-CN"/>
        </w:rPr>
        <w:t>增加</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rPr>
        <w:t>“行政事业单位养老支出”202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年度决算</w:t>
      </w:r>
      <w:r>
        <w:rPr>
          <w:rFonts w:hint="eastAsia" w:ascii="仿宋_GB2312" w:eastAsia="仿宋_GB2312"/>
          <w:color w:val="auto"/>
          <w:sz w:val="28"/>
          <w:szCs w:val="28"/>
          <w:u w:val="none"/>
          <w:lang w:val="en-US" w:eastAsia="zh-CN"/>
        </w:rPr>
        <w:t>1075.31</w:t>
      </w:r>
      <w:r>
        <w:rPr>
          <w:rFonts w:hint="eastAsia" w:ascii="仿宋_GB2312" w:eastAsia="仿宋_GB2312"/>
          <w:color w:val="auto"/>
          <w:sz w:val="28"/>
          <w:szCs w:val="28"/>
          <w:u w:val="none"/>
        </w:rPr>
        <w:t>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年度年初预算增加</w:t>
      </w:r>
      <w:r>
        <w:rPr>
          <w:rFonts w:hint="eastAsia" w:ascii="仿宋_GB2312" w:eastAsia="仿宋_GB2312"/>
          <w:color w:val="auto"/>
          <w:sz w:val="28"/>
          <w:szCs w:val="28"/>
          <w:u w:val="none"/>
          <w:lang w:val="en-US" w:eastAsia="zh-CN"/>
        </w:rPr>
        <w:t>17.8</w:t>
      </w:r>
      <w:r>
        <w:rPr>
          <w:rFonts w:hint="eastAsia" w:ascii="仿宋_GB2312" w:eastAsia="仿宋_GB2312"/>
          <w:color w:val="auto"/>
          <w:sz w:val="28"/>
          <w:szCs w:val="28"/>
          <w:u w:val="none"/>
        </w:rPr>
        <w:t>万元，增长</w:t>
      </w:r>
      <w:r>
        <w:rPr>
          <w:rFonts w:hint="eastAsia" w:ascii="仿宋_GB2312" w:eastAsia="仿宋_GB2312"/>
          <w:color w:val="auto"/>
          <w:sz w:val="28"/>
          <w:szCs w:val="28"/>
          <w:u w:val="none"/>
          <w:lang w:val="en-US" w:eastAsia="zh-CN"/>
        </w:rPr>
        <w:t>1.68</w:t>
      </w:r>
      <w:r>
        <w:rPr>
          <w:rFonts w:hint="eastAsia" w:ascii="仿宋_GB2312" w:eastAsia="仿宋_GB2312"/>
          <w:color w:val="auto"/>
          <w:sz w:val="28"/>
          <w:szCs w:val="28"/>
          <w:u w:val="none"/>
        </w:rPr>
        <w:t>%。主要原因：</w:t>
      </w:r>
      <w:r>
        <w:rPr>
          <w:rFonts w:hint="eastAsia" w:ascii="仿宋_GB2312" w:eastAsia="仿宋_GB2312"/>
          <w:color w:val="auto"/>
          <w:sz w:val="28"/>
          <w:szCs w:val="28"/>
          <w:u w:val="none"/>
          <w:lang w:val="en-US" w:eastAsia="zh-CN"/>
        </w:rPr>
        <w:t>在职</w:t>
      </w:r>
      <w:r>
        <w:rPr>
          <w:rFonts w:hint="eastAsia" w:ascii="仿宋_GB2312" w:eastAsia="仿宋_GB2312"/>
          <w:color w:val="auto"/>
          <w:sz w:val="28"/>
          <w:szCs w:val="28"/>
          <w:u w:val="none"/>
        </w:rPr>
        <w:t>人员</w:t>
      </w:r>
      <w:r>
        <w:rPr>
          <w:rFonts w:hint="eastAsia" w:ascii="仿宋_GB2312" w:eastAsia="仿宋_GB2312"/>
          <w:color w:val="auto"/>
          <w:sz w:val="28"/>
          <w:szCs w:val="28"/>
          <w:u w:val="none"/>
          <w:lang w:val="en-US" w:eastAsia="zh-CN"/>
        </w:rPr>
        <w:t>社会保障缴费</w:t>
      </w:r>
      <w:r>
        <w:rPr>
          <w:rFonts w:hint="eastAsia" w:ascii="仿宋_GB2312" w:eastAsia="仿宋_GB2312"/>
          <w:color w:val="auto"/>
          <w:sz w:val="28"/>
          <w:szCs w:val="28"/>
          <w:u w:val="none"/>
        </w:rPr>
        <w:t>支出增加。</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“就业补助”202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90.85</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年度年初预算减少</w:t>
      </w:r>
      <w:r>
        <w:rPr>
          <w:rFonts w:hint="eastAsia" w:ascii="仿宋_GB2312" w:eastAsia="仿宋_GB2312"/>
          <w:color w:val="auto"/>
          <w:sz w:val="28"/>
          <w:szCs w:val="28"/>
          <w:lang w:val="en-US" w:eastAsia="zh-CN"/>
        </w:rPr>
        <w:t>158.15</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63.51</w:t>
      </w:r>
      <w:r>
        <w:rPr>
          <w:rFonts w:hint="eastAsia" w:ascii="仿宋_GB2312" w:eastAsia="仿宋_GB2312"/>
          <w:color w:val="auto"/>
          <w:sz w:val="28"/>
          <w:szCs w:val="28"/>
        </w:rPr>
        <w:t>%。主要原因：就业补助支出减少。</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“抚恤”202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114.56</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减少34.22</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降低23</w:t>
      </w:r>
      <w:r>
        <w:rPr>
          <w:rFonts w:hint="eastAsia" w:ascii="仿宋_GB2312" w:eastAsia="仿宋_GB2312"/>
          <w:color w:val="auto"/>
          <w:sz w:val="28"/>
          <w:szCs w:val="28"/>
        </w:rPr>
        <w:t>%。主要原因：优抚相关支出</w:t>
      </w:r>
      <w:r>
        <w:rPr>
          <w:rFonts w:hint="eastAsia" w:ascii="仿宋_GB2312" w:eastAsia="仿宋_GB2312"/>
          <w:color w:val="auto"/>
          <w:sz w:val="28"/>
          <w:szCs w:val="28"/>
          <w:lang w:val="en-US" w:eastAsia="zh-CN"/>
        </w:rPr>
        <w:t>减少</w:t>
      </w:r>
      <w:r>
        <w:rPr>
          <w:rFonts w:hint="eastAsia" w:ascii="仿宋_GB2312" w:eastAsia="仿宋_GB2312"/>
          <w:color w:val="auto"/>
          <w:sz w:val="28"/>
          <w:szCs w:val="28"/>
        </w:rPr>
        <w:t>。</w:t>
      </w:r>
    </w:p>
    <w:p>
      <w:pPr>
        <w:spacing w:line="560" w:lineRule="exact"/>
        <w:ind w:firstLine="420" w:firstLineChars="150"/>
        <w:rPr>
          <w:rFonts w:hint="default" w:ascii="仿宋_GB2312" w:eastAsia="仿宋_GB2312"/>
          <w:color w:val="auto"/>
          <w:sz w:val="28"/>
          <w:szCs w:val="28"/>
          <w:highlight w:val="none"/>
          <w:u w:val="none"/>
          <w:lang w:val="en-US" w:eastAsia="zh-CN"/>
        </w:rPr>
      </w:pPr>
      <w:r>
        <w:rPr>
          <w:rFonts w:hint="eastAsia" w:ascii="仿宋_GB2312" w:eastAsia="仿宋_GB2312"/>
          <w:color w:val="auto"/>
          <w:sz w:val="28"/>
          <w:szCs w:val="28"/>
          <w:highlight w:val="none"/>
          <w:u w:val="none"/>
        </w:rPr>
        <w:t>“社会福利”202</w:t>
      </w:r>
      <w:r>
        <w:rPr>
          <w:rFonts w:hint="eastAsia" w:ascii="仿宋_GB2312" w:eastAsia="仿宋_GB2312"/>
          <w:color w:val="auto"/>
          <w:sz w:val="28"/>
          <w:szCs w:val="28"/>
          <w:highlight w:val="none"/>
          <w:u w:val="none"/>
          <w:lang w:val="en-US" w:eastAsia="zh-CN"/>
        </w:rPr>
        <w:t>4</w:t>
      </w:r>
      <w:r>
        <w:rPr>
          <w:rFonts w:hint="eastAsia" w:ascii="仿宋_GB2312" w:eastAsia="仿宋_GB2312"/>
          <w:color w:val="auto"/>
          <w:sz w:val="28"/>
          <w:szCs w:val="28"/>
          <w:highlight w:val="none"/>
          <w:u w:val="none"/>
        </w:rPr>
        <w:t>年度决算</w:t>
      </w:r>
      <w:r>
        <w:rPr>
          <w:rFonts w:hint="eastAsia" w:ascii="仿宋_GB2312" w:eastAsia="仿宋_GB2312"/>
          <w:color w:val="auto"/>
          <w:sz w:val="28"/>
          <w:szCs w:val="28"/>
          <w:highlight w:val="none"/>
          <w:u w:val="none"/>
          <w:lang w:val="en-US" w:eastAsia="zh-CN"/>
        </w:rPr>
        <w:t>23.5</w:t>
      </w:r>
      <w:r>
        <w:rPr>
          <w:rFonts w:hint="eastAsia" w:ascii="仿宋_GB2312" w:eastAsia="仿宋_GB2312"/>
          <w:color w:val="auto"/>
          <w:sz w:val="28"/>
          <w:szCs w:val="28"/>
          <w:highlight w:val="none"/>
          <w:u w:val="none"/>
        </w:rPr>
        <w:t>万元，比202</w:t>
      </w:r>
      <w:r>
        <w:rPr>
          <w:rFonts w:hint="eastAsia" w:ascii="仿宋_GB2312" w:eastAsia="仿宋_GB2312"/>
          <w:color w:val="auto"/>
          <w:sz w:val="28"/>
          <w:szCs w:val="28"/>
          <w:highlight w:val="none"/>
          <w:u w:val="none"/>
          <w:lang w:val="en-US" w:eastAsia="zh-CN"/>
        </w:rPr>
        <w:t>4</w:t>
      </w:r>
      <w:r>
        <w:rPr>
          <w:rFonts w:hint="eastAsia" w:ascii="仿宋_GB2312" w:eastAsia="仿宋_GB2312"/>
          <w:color w:val="auto"/>
          <w:sz w:val="28"/>
          <w:szCs w:val="28"/>
          <w:highlight w:val="none"/>
          <w:u w:val="none"/>
        </w:rPr>
        <w:t>年度年初预算增加</w:t>
      </w:r>
      <w:r>
        <w:rPr>
          <w:rFonts w:hint="eastAsia" w:ascii="仿宋_GB2312" w:eastAsia="仿宋_GB2312"/>
          <w:color w:val="auto"/>
          <w:sz w:val="28"/>
          <w:szCs w:val="28"/>
          <w:highlight w:val="none"/>
          <w:u w:val="none"/>
          <w:lang w:val="en-US" w:eastAsia="zh-CN"/>
        </w:rPr>
        <w:t>23.5</w:t>
      </w:r>
      <w:r>
        <w:rPr>
          <w:rFonts w:hint="eastAsia" w:ascii="仿宋_GB2312" w:eastAsia="仿宋_GB2312"/>
          <w:color w:val="auto"/>
          <w:sz w:val="28"/>
          <w:szCs w:val="28"/>
          <w:highlight w:val="none"/>
          <w:u w:val="none"/>
        </w:rPr>
        <w:t>万元。主要原因：</w:t>
      </w:r>
      <w:r>
        <w:rPr>
          <w:rFonts w:hint="eastAsia" w:ascii="仿宋_GB2312" w:eastAsia="仿宋_GB2312"/>
          <w:color w:val="auto"/>
          <w:sz w:val="28"/>
          <w:szCs w:val="28"/>
          <w:highlight w:val="none"/>
          <w:u w:val="none"/>
          <w:lang w:val="en-US" w:eastAsia="zh-CN"/>
        </w:rPr>
        <w:t>专项资金增加。</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“残疾人事业”202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139.68</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年度年初预算减少</w:t>
      </w:r>
      <w:r>
        <w:rPr>
          <w:rFonts w:hint="eastAsia" w:ascii="仿宋_GB2312" w:eastAsia="仿宋_GB2312"/>
          <w:color w:val="auto"/>
          <w:sz w:val="28"/>
          <w:szCs w:val="28"/>
          <w:lang w:val="en-US" w:eastAsia="zh-CN"/>
        </w:rPr>
        <w:t>55.02</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28.26</w:t>
      </w:r>
      <w:r>
        <w:rPr>
          <w:rFonts w:hint="eastAsia" w:ascii="仿宋_GB2312" w:eastAsia="仿宋_GB2312"/>
          <w:color w:val="auto"/>
          <w:sz w:val="28"/>
          <w:szCs w:val="28"/>
        </w:rPr>
        <w:t>%。主要原因：其他残疾人事业支出减少。</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“最低生活保障”202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3.55</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年度年初预算减少</w:t>
      </w:r>
      <w:r>
        <w:rPr>
          <w:rFonts w:hint="eastAsia" w:ascii="仿宋_GB2312" w:eastAsia="仿宋_GB2312"/>
          <w:color w:val="auto"/>
          <w:sz w:val="28"/>
          <w:szCs w:val="28"/>
          <w:lang w:val="en-US" w:eastAsia="zh-CN"/>
        </w:rPr>
        <w:t>9.95</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73.72</w:t>
      </w:r>
      <w:r>
        <w:rPr>
          <w:rFonts w:hint="eastAsia" w:ascii="仿宋_GB2312" w:eastAsia="仿宋_GB2312"/>
          <w:color w:val="auto"/>
          <w:sz w:val="28"/>
          <w:szCs w:val="28"/>
        </w:rPr>
        <w:t>%。主要原因：社救对象补助支出减少。</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“其他社会保障和就业支出”202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34.57</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减少12.84</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降低27.09</w:t>
      </w:r>
      <w:r>
        <w:rPr>
          <w:rFonts w:hint="eastAsia" w:ascii="仿宋_GB2312" w:eastAsia="仿宋_GB2312"/>
          <w:color w:val="auto"/>
          <w:sz w:val="28"/>
          <w:szCs w:val="28"/>
        </w:rPr>
        <w:t>%。主要原因：社保相关支出</w:t>
      </w:r>
      <w:r>
        <w:rPr>
          <w:rFonts w:hint="eastAsia" w:ascii="仿宋_GB2312" w:eastAsia="仿宋_GB2312"/>
          <w:color w:val="auto"/>
          <w:sz w:val="28"/>
          <w:szCs w:val="28"/>
          <w:lang w:val="en-US" w:eastAsia="zh-CN"/>
        </w:rPr>
        <w:t>减少</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lang w:val="en-US" w:eastAsia="zh-CN"/>
        </w:rPr>
        <w:t>5</w:t>
      </w:r>
      <w:r>
        <w:rPr>
          <w:rFonts w:hint="eastAsia" w:ascii="仿宋_GB2312" w:eastAsia="仿宋_GB2312"/>
          <w:color w:val="auto"/>
          <w:sz w:val="28"/>
          <w:szCs w:val="28"/>
        </w:rPr>
        <w:t>.“卫生健康支出”202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5370.71</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年度年初预算增加</w:t>
      </w:r>
      <w:r>
        <w:rPr>
          <w:rFonts w:hint="eastAsia" w:ascii="仿宋_GB2312" w:eastAsia="仿宋_GB2312"/>
          <w:color w:val="auto"/>
          <w:sz w:val="28"/>
          <w:szCs w:val="28"/>
          <w:lang w:val="en-US" w:eastAsia="zh-CN"/>
        </w:rPr>
        <w:t>252.55</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4.93</w:t>
      </w:r>
      <w:r>
        <w:rPr>
          <w:rFonts w:hint="eastAsia" w:ascii="仿宋_GB2312" w:eastAsia="仿宋_GB2312"/>
          <w:color w:val="auto"/>
          <w:sz w:val="28"/>
          <w:szCs w:val="28"/>
        </w:rPr>
        <w:t>%。其中：</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“基层医疗卫生机构”202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2169.64</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减少33.73</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降低1.53</w:t>
      </w:r>
      <w:r>
        <w:rPr>
          <w:rFonts w:hint="eastAsia" w:ascii="仿宋_GB2312" w:eastAsia="仿宋_GB2312"/>
          <w:color w:val="auto"/>
          <w:sz w:val="28"/>
          <w:szCs w:val="28"/>
        </w:rPr>
        <w:t>%。主要原因：卫生院人员及项目支出</w:t>
      </w:r>
      <w:r>
        <w:rPr>
          <w:rFonts w:hint="eastAsia" w:ascii="仿宋_GB2312" w:eastAsia="仿宋_GB2312"/>
          <w:color w:val="auto"/>
          <w:sz w:val="28"/>
          <w:szCs w:val="28"/>
          <w:lang w:val="en-US" w:eastAsia="zh-CN"/>
        </w:rPr>
        <w:t>减少</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“公共卫生”202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2169.44</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年度年初预算增加</w:t>
      </w:r>
      <w:r>
        <w:rPr>
          <w:rFonts w:hint="eastAsia" w:ascii="仿宋_GB2312" w:eastAsia="仿宋_GB2312"/>
          <w:color w:val="auto"/>
          <w:sz w:val="28"/>
          <w:szCs w:val="28"/>
          <w:lang w:val="en-US" w:eastAsia="zh-CN"/>
        </w:rPr>
        <w:t>276.86</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14.63</w:t>
      </w:r>
      <w:r>
        <w:rPr>
          <w:rFonts w:hint="eastAsia" w:ascii="仿宋_GB2312" w:eastAsia="仿宋_GB2312"/>
          <w:color w:val="auto"/>
          <w:sz w:val="28"/>
          <w:szCs w:val="28"/>
        </w:rPr>
        <w:t>%。主要原因：突发公共卫生事件应急处理支出增加。</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“计划生育事务”202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171.43</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增加1.89</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增长1.11</w:t>
      </w:r>
      <w:r>
        <w:rPr>
          <w:rFonts w:hint="eastAsia" w:ascii="仿宋_GB2312" w:eastAsia="仿宋_GB2312"/>
          <w:color w:val="auto"/>
          <w:sz w:val="28"/>
          <w:szCs w:val="28"/>
        </w:rPr>
        <w:t>%。主要原因：计划生育项目支出</w:t>
      </w:r>
      <w:r>
        <w:rPr>
          <w:rFonts w:hint="eastAsia" w:ascii="仿宋_GB2312" w:eastAsia="仿宋_GB2312"/>
          <w:color w:val="auto"/>
          <w:sz w:val="28"/>
          <w:szCs w:val="28"/>
          <w:lang w:val="en-US" w:eastAsia="zh-CN"/>
        </w:rPr>
        <w:t>增加</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“行政事业单位医疗”202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820.08</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年度年初预算增加</w:t>
      </w:r>
      <w:r>
        <w:rPr>
          <w:rFonts w:hint="eastAsia" w:ascii="仿宋_GB2312" w:eastAsia="仿宋_GB2312"/>
          <w:color w:val="auto"/>
          <w:sz w:val="28"/>
          <w:szCs w:val="28"/>
          <w:lang w:val="en-US" w:eastAsia="zh-CN"/>
        </w:rPr>
        <w:t>12.63</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1.56</w:t>
      </w:r>
      <w:r>
        <w:rPr>
          <w:rFonts w:hint="eastAsia" w:ascii="仿宋_GB2312" w:eastAsia="仿宋_GB2312"/>
          <w:color w:val="auto"/>
          <w:sz w:val="28"/>
          <w:szCs w:val="28"/>
        </w:rPr>
        <w:t>%。主要原因：行政事业单位医疗保障支出增加。</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“优抚对象医疗”202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年度决算0.</w:t>
      </w:r>
      <w:r>
        <w:rPr>
          <w:rFonts w:hint="eastAsia" w:ascii="仿宋_GB2312" w:eastAsia="仿宋_GB2312"/>
          <w:color w:val="auto"/>
          <w:sz w:val="28"/>
          <w:szCs w:val="28"/>
          <w:lang w:val="en-US" w:eastAsia="zh-CN"/>
        </w:rPr>
        <w:t>5</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与</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一致</w:t>
      </w:r>
      <w:r>
        <w:rPr>
          <w:rFonts w:hint="eastAsia" w:ascii="仿宋_GB2312" w:eastAsia="仿宋_GB2312"/>
          <w:color w:val="auto"/>
          <w:sz w:val="28"/>
          <w:szCs w:val="28"/>
        </w:rPr>
        <w:t>。</w:t>
      </w:r>
    </w:p>
    <w:p>
      <w:pPr>
        <w:spacing w:line="560" w:lineRule="exact"/>
        <w:ind w:firstLine="420" w:firstLineChars="150"/>
        <w:rPr>
          <w:rFonts w:hint="default" w:ascii="仿宋_GB2312" w:hAnsi="Times New Roman" w:eastAsia="仿宋_GB2312" w:cs="Times New Roman"/>
          <w:color w:val="auto"/>
          <w:kern w:val="2"/>
          <w:sz w:val="28"/>
          <w:szCs w:val="28"/>
          <w:u w:val="none"/>
          <w:lang w:val="en-US" w:eastAsia="zh-CN" w:bidi="ar-SA"/>
        </w:rPr>
      </w:pPr>
      <w:r>
        <w:rPr>
          <w:rFonts w:hint="eastAsia" w:ascii="仿宋_GB2312" w:hAnsi="Times New Roman" w:eastAsia="仿宋_GB2312" w:cs="Times New Roman"/>
          <w:color w:val="auto"/>
          <w:kern w:val="2"/>
          <w:sz w:val="28"/>
          <w:szCs w:val="28"/>
          <w:lang w:val="en-US" w:eastAsia="zh-CN" w:bidi="ar-SA"/>
        </w:rPr>
        <w:t>“中医药事务”</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4.9</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减少5.1</w:t>
      </w:r>
      <w:r>
        <w:rPr>
          <w:rFonts w:hint="eastAsia" w:ascii="仿宋_GB2312" w:eastAsia="仿宋_GB2312"/>
          <w:color w:val="auto"/>
          <w:sz w:val="28"/>
          <w:szCs w:val="28"/>
        </w:rPr>
        <w:t>万元。</w:t>
      </w:r>
      <w:r>
        <w:rPr>
          <w:rFonts w:hint="eastAsia" w:ascii="仿宋_GB2312" w:eastAsia="仿宋_GB2312"/>
          <w:color w:val="auto"/>
          <w:sz w:val="28"/>
          <w:szCs w:val="28"/>
          <w:u w:val="none"/>
        </w:rPr>
        <w:t>主要原因：中医（民族医）药专项</w:t>
      </w:r>
      <w:r>
        <w:rPr>
          <w:rFonts w:hint="eastAsia" w:ascii="仿宋_GB2312" w:eastAsia="仿宋_GB2312"/>
          <w:color w:val="auto"/>
          <w:sz w:val="28"/>
          <w:szCs w:val="28"/>
          <w:u w:val="none"/>
          <w:lang w:val="en-US" w:eastAsia="zh-CN"/>
        </w:rPr>
        <w:t>支出减少。</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“其他卫生健康支出”202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34.72</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与</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一致</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highlight w:val="none"/>
          <w:lang w:val="en-US" w:eastAsia="zh-CN"/>
        </w:rPr>
        <w:t>6.</w:t>
      </w:r>
      <w:r>
        <w:rPr>
          <w:rFonts w:hint="eastAsia" w:ascii="仿宋_GB2312" w:eastAsia="仿宋_GB2312"/>
          <w:color w:val="auto"/>
          <w:sz w:val="28"/>
          <w:szCs w:val="28"/>
          <w:highlight w:val="none"/>
        </w:rPr>
        <w:t>“</w:t>
      </w:r>
      <w:r>
        <w:rPr>
          <w:rFonts w:hint="eastAsia" w:ascii="仿宋_GB2312" w:eastAsia="仿宋_GB2312"/>
          <w:color w:val="auto"/>
          <w:sz w:val="28"/>
          <w:szCs w:val="28"/>
        </w:rPr>
        <w:t>节能环保支出”202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年度决算957.53万元，比202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减少258.93</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降低21.29</w:t>
      </w:r>
      <w:r>
        <w:rPr>
          <w:rFonts w:hint="eastAsia" w:ascii="仿宋_GB2312" w:eastAsia="仿宋_GB2312"/>
          <w:color w:val="auto"/>
          <w:sz w:val="28"/>
          <w:szCs w:val="28"/>
        </w:rPr>
        <w:t>%。其中：</w:t>
      </w:r>
    </w:p>
    <w:p>
      <w:pPr>
        <w:spacing w:line="560" w:lineRule="exact"/>
        <w:ind w:firstLine="420" w:firstLineChars="150"/>
        <w:rPr>
          <w:rFonts w:hint="default" w:ascii="仿宋_GB2312" w:eastAsia="仿宋_GB2312"/>
          <w:color w:val="auto"/>
          <w:sz w:val="28"/>
          <w:szCs w:val="28"/>
          <w:u w:val="none"/>
          <w:lang w:val="en-US"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rPr>
        <w:t>环境保护管理事务</w:t>
      </w:r>
      <w:r>
        <w:rPr>
          <w:rFonts w:hint="eastAsia" w:ascii="仿宋_GB2312" w:eastAsia="仿宋_GB2312"/>
          <w:color w:val="auto"/>
          <w:sz w:val="28"/>
          <w:szCs w:val="28"/>
          <w:lang w:eastAsia="zh-CN"/>
        </w:rPr>
        <w:t>”</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301</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年度年初预算增加</w:t>
      </w:r>
      <w:r>
        <w:rPr>
          <w:rFonts w:hint="eastAsia" w:ascii="仿宋_GB2312" w:eastAsia="仿宋_GB2312"/>
          <w:color w:val="auto"/>
          <w:sz w:val="28"/>
          <w:szCs w:val="28"/>
          <w:lang w:val="en-US" w:eastAsia="zh-CN"/>
        </w:rPr>
        <w:t>301</w:t>
      </w:r>
      <w:r>
        <w:rPr>
          <w:rFonts w:hint="eastAsia" w:ascii="仿宋_GB2312" w:eastAsia="仿宋_GB2312"/>
          <w:color w:val="auto"/>
          <w:sz w:val="28"/>
          <w:szCs w:val="28"/>
        </w:rPr>
        <w:t>万元。</w:t>
      </w:r>
      <w:r>
        <w:rPr>
          <w:rFonts w:hint="eastAsia" w:ascii="仿宋_GB2312" w:eastAsia="仿宋_GB2312"/>
          <w:color w:val="auto"/>
          <w:sz w:val="28"/>
          <w:szCs w:val="28"/>
          <w:u w:val="none"/>
        </w:rPr>
        <w:t>主要原因：绿化提升</w:t>
      </w:r>
      <w:r>
        <w:rPr>
          <w:rFonts w:hint="eastAsia" w:ascii="仿宋_GB2312" w:eastAsia="仿宋_GB2312"/>
          <w:color w:val="auto"/>
          <w:sz w:val="28"/>
          <w:szCs w:val="28"/>
          <w:u w:val="none"/>
          <w:lang w:val="en-US" w:eastAsia="zh-CN"/>
        </w:rPr>
        <w:t>项目支出增加。</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rPr>
        <w:t>“污染防治”202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年度决算656.53万元，比202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减少559.93</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降低46.03</w:t>
      </w:r>
      <w:r>
        <w:rPr>
          <w:rFonts w:hint="eastAsia" w:ascii="仿宋_GB2312" w:eastAsia="仿宋_GB2312"/>
          <w:color w:val="auto"/>
          <w:sz w:val="28"/>
          <w:szCs w:val="28"/>
        </w:rPr>
        <w:t>%。</w:t>
      </w:r>
      <w:r>
        <w:rPr>
          <w:rFonts w:hint="eastAsia" w:ascii="仿宋_GB2312" w:eastAsia="仿宋_GB2312"/>
          <w:color w:val="auto"/>
          <w:sz w:val="28"/>
          <w:szCs w:val="28"/>
          <w:u w:val="none"/>
        </w:rPr>
        <w:t>主要原因：污染防治</w:t>
      </w:r>
      <w:r>
        <w:rPr>
          <w:rFonts w:hint="eastAsia" w:ascii="仿宋_GB2312" w:eastAsia="仿宋_GB2312"/>
          <w:color w:val="auto"/>
          <w:sz w:val="28"/>
          <w:szCs w:val="28"/>
          <w:u w:val="none"/>
          <w:lang w:val="en-US" w:eastAsia="zh-CN"/>
        </w:rPr>
        <w:t>项目</w:t>
      </w:r>
      <w:r>
        <w:rPr>
          <w:rFonts w:hint="eastAsia" w:ascii="仿宋_GB2312" w:eastAsia="仿宋_GB2312"/>
          <w:color w:val="auto"/>
          <w:sz w:val="28"/>
          <w:szCs w:val="28"/>
          <w:u w:val="none"/>
        </w:rPr>
        <w:t>支出</w:t>
      </w:r>
      <w:r>
        <w:rPr>
          <w:rFonts w:hint="eastAsia" w:ascii="仿宋_GB2312" w:eastAsia="仿宋_GB2312"/>
          <w:color w:val="auto"/>
          <w:sz w:val="28"/>
          <w:szCs w:val="28"/>
          <w:u w:val="none"/>
          <w:lang w:val="en-US" w:eastAsia="zh-CN"/>
        </w:rPr>
        <w:t>减少</w:t>
      </w:r>
      <w:r>
        <w:rPr>
          <w:rFonts w:hint="eastAsia" w:ascii="仿宋_GB2312" w:eastAsia="仿宋_GB2312"/>
          <w:color w:val="auto"/>
          <w:sz w:val="28"/>
          <w:szCs w:val="28"/>
          <w:u w:val="none"/>
        </w:rPr>
        <w:t>。</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lang w:val="en-US" w:eastAsia="zh-CN"/>
        </w:rPr>
        <w:t>7.</w:t>
      </w:r>
      <w:r>
        <w:rPr>
          <w:rFonts w:hint="eastAsia" w:ascii="仿宋_GB2312" w:eastAsia="仿宋_GB2312"/>
          <w:color w:val="auto"/>
          <w:sz w:val="28"/>
          <w:szCs w:val="28"/>
        </w:rPr>
        <w:t>“城乡社区支出”202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年度决算8448.07万元，比202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年度年初预算增加</w:t>
      </w:r>
      <w:r>
        <w:rPr>
          <w:rFonts w:hint="eastAsia" w:ascii="仿宋_GB2312" w:eastAsia="仿宋_GB2312"/>
          <w:color w:val="auto"/>
          <w:sz w:val="28"/>
          <w:szCs w:val="28"/>
          <w:lang w:val="en-US" w:eastAsia="zh-CN"/>
        </w:rPr>
        <w:t>622.94</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7.96</w:t>
      </w:r>
      <w:r>
        <w:rPr>
          <w:rFonts w:hint="eastAsia" w:ascii="仿宋_GB2312" w:eastAsia="仿宋_GB2312"/>
          <w:color w:val="auto"/>
          <w:sz w:val="28"/>
          <w:szCs w:val="28"/>
        </w:rPr>
        <w:t>%。其中：</w:t>
      </w:r>
    </w:p>
    <w:p>
      <w:pPr>
        <w:spacing w:line="560" w:lineRule="exact"/>
        <w:ind w:firstLine="420" w:firstLineChars="150"/>
        <w:rPr>
          <w:rFonts w:hint="eastAsia" w:ascii="仿宋_GB2312" w:eastAsia="仿宋_GB2312"/>
          <w:color w:val="auto"/>
          <w:sz w:val="28"/>
          <w:szCs w:val="28"/>
          <w:u w:val="none"/>
          <w:lang w:eastAsia="zh-CN"/>
        </w:rPr>
      </w:pPr>
      <w:r>
        <w:rPr>
          <w:rFonts w:hint="eastAsia" w:ascii="仿宋_GB2312" w:eastAsia="仿宋_GB2312"/>
          <w:color w:val="auto"/>
          <w:sz w:val="28"/>
          <w:szCs w:val="28"/>
          <w:u w:val="none"/>
          <w:lang w:eastAsia="zh-CN"/>
        </w:rPr>
        <w:t>“</w:t>
      </w:r>
      <w:r>
        <w:rPr>
          <w:rFonts w:hint="eastAsia" w:ascii="仿宋_GB2312" w:eastAsia="仿宋_GB2312"/>
          <w:color w:val="auto"/>
          <w:sz w:val="28"/>
          <w:szCs w:val="28"/>
          <w:u w:val="none"/>
        </w:rPr>
        <w:t>城乡社区管理事务</w:t>
      </w:r>
      <w:r>
        <w:rPr>
          <w:rFonts w:hint="eastAsia" w:ascii="仿宋_GB2312" w:eastAsia="仿宋_GB2312"/>
          <w:color w:val="auto"/>
          <w:sz w:val="28"/>
          <w:szCs w:val="28"/>
          <w:u w:val="none"/>
          <w:lang w:eastAsia="zh-CN"/>
        </w:rPr>
        <w:t>”</w:t>
      </w:r>
      <w:r>
        <w:rPr>
          <w:rFonts w:hint="eastAsia" w:ascii="仿宋_GB2312" w:eastAsia="仿宋_GB2312"/>
          <w:color w:val="auto"/>
          <w:sz w:val="28"/>
          <w:szCs w:val="28"/>
          <w:u w:val="none"/>
        </w:rPr>
        <w:t>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年度决算</w:t>
      </w:r>
      <w:r>
        <w:rPr>
          <w:rFonts w:hint="eastAsia" w:ascii="仿宋_GB2312" w:eastAsia="仿宋_GB2312"/>
          <w:color w:val="auto"/>
          <w:sz w:val="28"/>
          <w:szCs w:val="28"/>
          <w:u w:val="none"/>
          <w:lang w:val="en-US" w:eastAsia="zh-CN"/>
        </w:rPr>
        <w:t>358.76</w:t>
      </w:r>
      <w:r>
        <w:rPr>
          <w:rFonts w:hint="eastAsia" w:ascii="仿宋_GB2312" w:eastAsia="仿宋_GB2312"/>
          <w:color w:val="auto"/>
          <w:sz w:val="28"/>
          <w:szCs w:val="28"/>
          <w:u w:val="none"/>
        </w:rPr>
        <w:t>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年度年初预算增加</w:t>
      </w:r>
      <w:r>
        <w:rPr>
          <w:rFonts w:hint="eastAsia" w:ascii="仿宋_GB2312" w:eastAsia="仿宋_GB2312"/>
          <w:color w:val="auto"/>
          <w:sz w:val="28"/>
          <w:szCs w:val="28"/>
          <w:u w:val="none"/>
          <w:lang w:val="en-US" w:eastAsia="zh-CN"/>
        </w:rPr>
        <w:t>358.76</w:t>
      </w:r>
      <w:r>
        <w:rPr>
          <w:rFonts w:hint="eastAsia" w:ascii="仿宋_GB2312" w:eastAsia="仿宋_GB2312"/>
          <w:color w:val="auto"/>
          <w:sz w:val="28"/>
          <w:szCs w:val="28"/>
          <w:u w:val="none"/>
        </w:rPr>
        <w:t>万元。主要原因：城乡社区管理事务</w:t>
      </w:r>
      <w:r>
        <w:rPr>
          <w:rFonts w:hint="eastAsia" w:ascii="仿宋_GB2312" w:eastAsia="仿宋_GB2312"/>
          <w:color w:val="auto"/>
          <w:sz w:val="28"/>
          <w:szCs w:val="28"/>
          <w:u w:val="none"/>
          <w:lang w:val="en-US" w:eastAsia="zh-CN"/>
        </w:rPr>
        <w:t>相关支出增加</w:t>
      </w:r>
      <w:r>
        <w:rPr>
          <w:rFonts w:hint="eastAsia" w:ascii="仿宋_GB2312" w:eastAsia="仿宋_GB2312"/>
          <w:color w:val="auto"/>
          <w:sz w:val="28"/>
          <w:szCs w:val="28"/>
          <w:u w:val="none"/>
        </w:rPr>
        <w:t>。</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rPr>
        <w:t>“城乡社区环境卫生”202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年度决算574.07万元，比202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年度年初预算增加</w:t>
      </w:r>
      <w:r>
        <w:rPr>
          <w:rFonts w:hint="eastAsia" w:ascii="仿宋_GB2312" w:eastAsia="仿宋_GB2312"/>
          <w:color w:val="auto"/>
          <w:sz w:val="28"/>
          <w:szCs w:val="28"/>
          <w:u w:val="none"/>
          <w:lang w:val="en-US" w:eastAsia="zh-CN"/>
        </w:rPr>
        <w:t>1.07</w:t>
      </w:r>
      <w:r>
        <w:rPr>
          <w:rFonts w:hint="eastAsia" w:ascii="仿宋_GB2312" w:eastAsia="仿宋_GB2312"/>
          <w:color w:val="auto"/>
          <w:sz w:val="28"/>
          <w:szCs w:val="28"/>
          <w:u w:val="none"/>
        </w:rPr>
        <w:t>万元</w:t>
      </w:r>
      <w:r>
        <w:rPr>
          <w:rFonts w:hint="eastAsia" w:ascii="仿宋_GB2312" w:eastAsia="仿宋_GB2312"/>
          <w:color w:val="auto"/>
          <w:sz w:val="28"/>
          <w:szCs w:val="28"/>
          <w:u w:val="none"/>
          <w:lang w:eastAsia="zh-CN"/>
        </w:rPr>
        <w:t>，</w:t>
      </w:r>
      <w:r>
        <w:rPr>
          <w:rFonts w:hint="eastAsia" w:ascii="仿宋_GB2312" w:eastAsia="仿宋_GB2312"/>
          <w:color w:val="auto"/>
          <w:sz w:val="28"/>
          <w:szCs w:val="28"/>
          <w:u w:val="none"/>
        </w:rPr>
        <w:t>增长</w:t>
      </w:r>
      <w:r>
        <w:rPr>
          <w:rFonts w:hint="eastAsia" w:ascii="仿宋_GB2312" w:eastAsia="仿宋_GB2312"/>
          <w:color w:val="auto"/>
          <w:sz w:val="28"/>
          <w:szCs w:val="28"/>
          <w:u w:val="none"/>
          <w:lang w:val="en-US" w:eastAsia="zh-CN"/>
        </w:rPr>
        <w:t>0.19</w:t>
      </w:r>
      <w:r>
        <w:rPr>
          <w:rFonts w:hint="eastAsia" w:ascii="仿宋_GB2312" w:eastAsia="仿宋_GB2312"/>
          <w:color w:val="auto"/>
          <w:sz w:val="28"/>
          <w:szCs w:val="28"/>
          <w:u w:val="none"/>
        </w:rPr>
        <w:t>%。主要原因：城乡环境卫生支出</w:t>
      </w:r>
      <w:r>
        <w:rPr>
          <w:rFonts w:hint="eastAsia" w:ascii="仿宋_GB2312" w:eastAsia="仿宋_GB2312"/>
          <w:color w:val="auto"/>
          <w:sz w:val="28"/>
          <w:szCs w:val="28"/>
          <w:u w:val="none"/>
          <w:lang w:val="en-US" w:eastAsia="zh-CN"/>
        </w:rPr>
        <w:t>有所</w:t>
      </w:r>
      <w:r>
        <w:rPr>
          <w:rFonts w:hint="eastAsia" w:ascii="仿宋_GB2312" w:eastAsia="仿宋_GB2312"/>
          <w:color w:val="auto"/>
          <w:sz w:val="28"/>
          <w:szCs w:val="28"/>
          <w:u w:val="none"/>
        </w:rPr>
        <w:t>增加。</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rPr>
        <w:t>“其他城乡社区支出”202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年度决算7515.23万元，比202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年度年初预算增加</w:t>
      </w:r>
      <w:r>
        <w:rPr>
          <w:rFonts w:hint="eastAsia" w:ascii="仿宋_GB2312" w:eastAsia="仿宋_GB2312"/>
          <w:color w:val="auto"/>
          <w:sz w:val="28"/>
          <w:szCs w:val="28"/>
          <w:u w:val="none"/>
          <w:lang w:val="en-US" w:eastAsia="zh-CN"/>
        </w:rPr>
        <w:t>263.10</w:t>
      </w:r>
      <w:r>
        <w:rPr>
          <w:rFonts w:hint="eastAsia" w:ascii="仿宋_GB2312" w:eastAsia="仿宋_GB2312"/>
          <w:color w:val="auto"/>
          <w:sz w:val="28"/>
          <w:szCs w:val="28"/>
          <w:u w:val="none"/>
        </w:rPr>
        <w:t>万元，增长</w:t>
      </w:r>
      <w:r>
        <w:rPr>
          <w:rFonts w:hint="eastAsia" w:ascii="仿宋_GB2312" w:eastAsia="仿宋_GB2312"/>
          <w:color w:val="auto"/>
          <w:sz w:val="28"/>
          <w:szCs w:val="28"/>
          <w:u w:val="none"/>
          <w:lang w:val="en-US" w:eastAsia="zh-CN"/>
        </w:rPr>
        <w:t>3.63</w:t>
      </w:r>
      <w:r>
        <w:rPr>
          <w:rFonts w:hint="eastAsia" w:ascii="仿宋_GB2312" w:eastAsia="仿宋_GB2312"/>
          <w:color w:val="auto"/>
          <w:sz w:val="28"/>
          <w:szCs w:val="28"/>
          <w:u w:val="none"/>
        </w:rPr>
        <w:t>%。主要原因：绿化提升改造</w:t>
      </w:r>
      <w:r>
        <w:rPr>
          <w:rFonts w:hint="eastAsia" w:ascii="仿宋_GB2312" w:eastAsia="仿宋_GB2312"/>
          <w:color w:val="auto"/>
          <w:sz w:val="28"/>
          <w:szCs w:val="28"/>
          <w:u w:val="none"/>
          <w:lang w:val="en-US" w:eastAsia="zh-CN"/>
        </w:rPr>
        <w:t>等项目支出增加</w:t>
      </w:r>
      <w:r>
        <w:rPr>
          <w:rFonts w:hint="eastAsia" w:ascii="仿宋_GB2312" w:eastAsia="仿宋_GB2312"/>
          <w:color w:val="auto"/>
          <w:sz w:val="28"/>
          <w:szCs w:val="28"/>
          <w:u w:val="none"/>
        </w:rPr>
        <w:t>。</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lang w:val="en-US" w:eastAsia="zh-CN"/>
        </w:rPr>
        <w:t>8.</w:t>
      </w:r>
      <w:r>
        <w:rPr>
          <w:rFonts w:hint="eastAsia" w:ascii="仿宋_GB2312" w:eastAsia="仿宋_GB2312"/>
          <w:color w:val="auto"/>
          <w:sz w:val="28"/>
          <w:szCs w:val="28"/>
          <w:u w:val="none"/>
        </w:rPr>
        <w:t>“农林水支出”202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年度决算2902.17万元，比202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年度年初预算增加</w:t>
      </w:r>
      <w:r>
        <w:rPr>
          <w:rFonts w:hint="eastAsia" w:ascii="仿宋_GB2312" w:eastAsia="仿宋_GB2312"/>
          <w:color w:val="auto"/>
          <w:sz w:val="28"/>
          <w:szCs w:val="28"/>
          <w:u w:val="none"/>
          <w:lang w:val="en-US" w:eastAsia="zh-CN"/>
        </w:rPr>
        <w:t>142.21</w:t>
      </w:r>
      <w:r>
        <w:rPr>
          <w:rFonts w:hint="eastAsia" w:ascii="仿宋_GB2312" w:eastAsia="仿宋_GB2312"/>
          <w:color w:val="auto"/>
          <w:sz w:val="28"/>
          <w:szCs w:val="28"/>
          <w:u w:val="none"/>
        </w:rPr>
        <w:t>万元，增长</w:t>
      </w:r>
      <w:r>
        <w:rPr>
          <w:rFonts w:hint="eastAsia" w:ascii="仿宋_GB2312" w:eastAsia="仿宋_GB2312"/>
          <w:color w:val="auto"/>
          <w:sz w:val="28"/>
          <w:szCs w:val="28"/>
          <w:u w:val="none"/>
          <w:lang w:val="en-US" w:eastAsia="zh-CN"/>
        </w:rPr>
        <w:t>5.15</w:t>
      </w:r>
      <w:r>
        <w:rPr>
          <w:rFonts w:hint="eastAsia" w:ascii="仿宋_GB2312" w:eastAsia="仿宋_GB2312"/>
          <w:color w:val="auto"/>
          <w:sz w:val="28"/>
          <w:szCs w:val="28"/>
          <w:u w:val="none"/>
        </w:rPr>
        <w:t>%。其中：</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rPr>
        <w:t>“农业农村”202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年度决算</w:t>
      </w:r>
      <w:r>
        <w:rPr>
          <w:rFonts w:hint="eastAsia" w:ascii="仿宋_GB2312" w:eastAsia="仿宋_GB2312"/>
          <w:color w:val="auto"/>
          <w:sz w:val="28"/>
          <w:szCs w:val="28"/>
          <w:u w:val="none"/>
          <w:lang w:val="en-US" w:eastAsia="zh-CN"/>
        </w:rPr>
        <w:t>254.87</w:t>
      </w:r>
      <w:r>
        <w:rPr>
          <w:rFonts w:hint="eastAsia" w:ascii="仿宋_GB2312" w:eastAsia="仿宋_GB2312"/>
          <w:color w:val="auto"/>
          <w:sz w:val="28"/>
          <w:szCs w:val="28"/>
          <w:u w:val="none"/>
        </w:rPr>
        <w:t>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年度年初预算增加</w:t>
      </w:r>
      <w:r>
        <w:rPr>
          <w:rFonts w:hint="eastAsia" w:ascii="仿宋_GB2312" w:eastAsia="仿宋_GB2312"/>
          <w:color w:val="auto"/>
          <w:sz w:val="28"/>
          <w:szCs w:val="28"/>
          <w:u w:val="none"/>
          <w:lang w:val="en-US" w:eastAsia="zh-CN"/>
        </w:rPr>
        <w:t>46.27</w:t>
      </w:r>
      <w:r>
        <w:rPr>
          <w:rFonts w:hint="eastAsia" w:ascii="仿宋_GB2312" w:eastAsia="仿宋_GB2312"/>
          <w:color w:val="auto"/>
          <w:sz w:val="28"/>
          <w:szCs w:val="28"/>
          <w:u w:val="none"/>
        </w:rPr>
        <w:t>万元，增长</w:t>
      </w:r>
      <w:r>
        <w:rPr>
          <w:rFonts w:hint="eastAsia" w:ascii="仿宋_GB2312" w:eastAsia="仿宋_GB2312"/>
          <w:color w:val="auto"/>
          <w:sz w:val="28"/>
          <w:szCs w:val="28"/>
          <w:u w:val="none"/>
          <w:lang w:val="en-US" w:eastAsia="zh-CN"/>
        </w:rPr>
        <w:t>22.18</w:t>
      </w:r>
      <w:r>
        <w:rPr>
          <w:rFonts w:hint="eastAsia" w:ascii="仿宋_GB2312" w:eastAsia="仿宋_GB2312"/>
          <w:color w:val="auto"/>
          <w:sz w:val="28"/>
          <w:szCs w:val="28"/>
          <w:u w:val="none"/>
        </w:rPr>
        <w:t>%。主要原因：专项支出增加。</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rPr>
        <w:t>“林业和草原”202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年度决算</w:t>
      </w:r>
      <w:r>
        <w:rPr>
          <w:rFonts w:hint="eastAsia" w:ascii="仿宋_GB2312" w:eastAsia="仿宋_GB2312"/>
          <w:color w:val="auto"/>
          <w:sz w:val="28"/>
          <w:szCs w:val="28"/>
          <w:u w:val="none"/>
          <w:lang w:val="en-US" w:eastAsia="zh-CN"/>
        </w:rPr>
        <w:t>2222.15</w:t>
      </w:r>
      <w:r>
        <w:rPr>
          <w:rFonts w:hint="eastAsia" w:ascii="仿宋_GB2312" w:eastAsia="仿宋_GB2312"/>
          <w:color w:val="auto"/>
          <w:sz w:val="28"/>
          <w:szCs w:val="28"/>
          <w:u w:val="none"/>
        </w:rPr>
        <w:t>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年度年初预算增加</w:t>
      </w:r>
      <w:r>
        <w:rPr>
          <w:rFonts w:hint="eastAsia" w:ascii="仿宋_GB2312" w:eastAsia="仿宋_GB2312"/>
          <w:color w:val="auto"/>
          <w:sz w:val="28"/>
          <w:szCs w:val="28"/>
          <w:u w:val="none"/>
          <w:lang w:val="en-US" w:eastAsia="zh-CN"/>
        </w:rPr>
        <w:t>118</w:t>
      </w:r>
      <w:r>
        <w:rPr>
          <w:rFonts w:hint="eastAsia" w:ascii="仿宋_GB2312" w:eastAsia="仿宋_GB2312"/>
          <w:color w:val="auto"/>
          <w:sz w:val="28"/>
          <w:szCs w:val="28"/>
          <w:u w:val="none"/>
        </w:rPr>
        <w:t>万元，增长</w:t>
      </w:r>
      <w:r>
        <w:rPr>
          <w:rFonts w:hint="eastAsia" w:ascii="仿宋_GB2312" w:eastAsia="仿宋_GB2312"/>
          <w:color w:val="auto"/>
          <w:sz w:val="28"/>
          <w:szCs w:val="28"/>
          <w:u w:val="none"/>
          <w:lang w:val="en-US" w:eastAsia="zh-CN"/>
        </w:rPr>
        <w:t>5.61</w:t>
      </w:r>
      <w:r>
        <w:rPr>
          <w:rFonts w:hint="eastAsia" w:ascii="仿宋_GB2312" w:eastAsia="仿宋_GB2312"/>
          <w:color w:val="auto"/>
          <w:sz w:val="28"/>
          <w:szCs w:val="28"/>
          <w:u w:val="none"/>
        </w:rPr>
        <w:t>%。主要原因：专项支出增加。</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rPr>
        <w:t>“水利”202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年度决算</w:t>
      </w:r>
      <w:r>
        <w:rPr>
          <w:rFonts w:hint="eastAsia" w:ascii="仿宋_GB2312" w:eastAsia="仿宋_GB2312"/>
          <w:color w:val="auto"/>
          <w:sz w:val="28"/>
          <w:szCs w:val="28"/>
          <w:u w:val="none"/>
          <w:lang w:val="en-US" w:eastAsia="zh-CN"/>
        </w:rPr>
        <w:t>425.14</w:t>
      </w:r>
      <w:r>
        <w:rPr>
          <w:rFonts w:hint="eastAsia" w:ascii="仿宋_GB2312" w:eastAsia="仿宋_GB2312"/>
          <w:color w:val="auto"/>
          <w:sz w:val="28"/>
          <w:szCs w:val="28"/>
          <w:u w:val="none"/>
        </w:rPr>
        <w:t>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w:t>
      </w:r>
      <w:r>
        <w:rPr>
          <w:rFonts w:hint="eastAsia" w:ascii="仿宋_GB2312" w:eastAsia="仿宋_GB2312"/>
          <w:color w:val="auto"/>
          <w:sz w:val="28"/>
          <w:szCs w:val="28"/>
          <w:u w:val="none"/>
          <w:lang w:val="en-US" w:eastAsia="zh-CN"/>
        </w:rPr>
        <w:t>减少22.07</w:t>
      </w:r>
      <w:r>
        <w:rPr>
          <w:rFonts w:hint="eastAsia" w:ascii="仿宋_GB2312" w:eastAsia="仿宋_GB2312"/>
          <w:color w:val="auto"/>
          <w:sz w:val="28"/>
          <w:szCs w:val="28"/>
          <w:u w:val="none"/>
        </w:rPr>
        <w:t>万元，</w:t>
      </w:r>
      <w:r>
        <w:rPr>
          <w:rFonts w:hint="eastAsia" w:ascii="仿宋_GB2312" w:eastAsia="仿宋_GB2312"/>
          <w:color w:val="auto"/>
          <w:sz w:val="28"/>
          <w:szCs w:val="28"/>
          <w:u w:val="none"/>
          <w:lang w:val="en-US" w:eastAsia="zh-CN"/>
        </w:rPr>
        <w:t>降低4.93</w:t>
      </w:r>
      <w:r>
        <w:rPr>
          <w:rFonts w:hint="eastAsia" w:ascii="仿宋_GB2312" w:eastAsia="仿宋_GB2312"/>
          <w:color w:val="auto"/>
          <w:sz w:val="28"/>
          <w:szCs w:val="28"/>
          <w:u w:val="none"/>
        </w:rPr>
        <w:t>%。主要原因：水利专项资金</w:t>
      </w:r>
      <w:r>
        <w:rPr>
          <w:rFonts w:hint="eastAsia" w:ascii="仿宋_GB2312" w:eastAsia="仿宋_GB2312"/>
          <w:color w:val="auto"/>
          <w:sz w:val="28"/>
          <w:szCs w:val="28"/>
          <w:u w:val="none"/>
          <w:lang w:val="en-US" w:eastAsia="zh-CN"/>
        </w:rPr>
        <w:t>减少</w:t>
      </w:r>
      <w:r>
        <w:rPr>
          <w:rFonts w:hint="eastAsia" w:ascii="仿宋_GB2312" w:eastAsia="仿宋_GB2312"/>
          <w:color w:val="auto"/>
          <w:sz w:val="28"/>
          <w:szCs w:val="28"/>
          <w:u w:val="none"/>
        </w:rPr>
        <w:t>。</w:t>
      </w:r>
    </w:p>
    <w:p>
      <w:pPr>
        <w:spacing w:line="560" w:lineRule="exact"/>
        <w:ind w:firstLine="420" w:firstLineChars="150"/>
        <w:rPr>
          <w:rFonts w:hint="eastAsia" w:ascii="仿宋_GB2312" w:eastAsia="仿宋_GB2312"/>
          <w:color w:val="auto"/>
          <w:sz w:val="28"/>
          <w:szCs w:val="28"/>
          <w:highlight w:val="none"/>
          <w:u w:val="none"/>
          <w:lang w:val="en-US" w:eastAsia="zh-CN"/>
        </w:rPr>
      </w:pPr>
      <w:r>
        <w:rPr>
          <w:rFonts w:hint="eastAsia" w:ascii="仿宋_GB2312" w:eastAsia="仿宋_GB2312"/>
          <w:color w:val="auto"/>
          <w:sz w:val="28"/>
          <w:szCs w:val="28"/>
          <w:highlight w:val="none"/>
          <w:u w:val="none"/>
          <w:lang w:val="en-US" w:eastAsia="zh-CN"/>
        </w:rPr>
        <w:t>9.“住房保障支出”2024年度决算907.06万元，</w:t>
      </w:r>
      <w:r>
        <w:rPr>
          <w:rFonts w:hint="eastAsia" w:ascii="仿宋_GB2312" w:eastAsia="仿宋_GB2312"/>
          <w:color w:val="auto"/>
          <w:sz w:val="28"/>
          <w:szCs w:val="28"/>
          <w:highlight w:val="none"/>
          <w:u w:val="none"/>
        </w:rPr>
        <w:t>比202</w:t>
      </w:r>
      <w:r>
        <w:rPr>
          <w:rFonts w:hint="eastAsia" w:ascii="仿宋_GB2312" w:eastAsia="仿宋_GB2312"/>
          <w:color w:val="auto"/>
          <w:sz w:val="28"/>
          <w:szCs w:val="28"/>
          <w:highlight w:val="none"/>
          <w:u w:val="none"/>
          <w:lang w:val="en-US" w:eastAsia="zh-CN"/>
        </w:rPr>
        <w:t>4</w:t>
      </w:r>
      <w:r>
        <w:rPr>
          <w:rFonts w:hint="eastAsia" w:ascii="仿宋_GB2312" w:eastAsia="仿宋_GB2312"/>
          <w:color w:val="auto"/>
          <w:sz w:val="28"/>
          <w:szCs w:val="28"/>
          <w:highlight w:val="none"/>
          <w:u w:val="none"/>
        </w:rPr>
        <w:t>年度年初预算</w:t>
      </w:r>
      <w:r>
        <w:rPr>
          <w:rFonts w:hint="eastAsia" w:ascii="仿宋_GB2312" w:eastAsia="仿宋_GB2312"/>
          <w:color w:val="auto"/>
          <w:sz w:val="28"/>
          <w:szCs w:val="28"/>
          <w:highlight w:val="none"/>
          <w:u w:val="none"/>
          <w:lang w:val="en-US" w:eastAsia="zh-CN"/>
        </w:rPr>
        <w:t>增加907.06</w:t>
      </w:r>
      <w:r>
        <w:rPr>
          <w:rFonts w:hint="eastAsia" w:ascii="仿宋_GB2312" w:eastAsia="仿宋_GB2312"/>
          <w:color w:val="auto"/>
          <w:sz w:val="28"/>
          <w:szCs w:val="28"/>
          <w:highlight w:val="none"/>
          <w:u w:val="none"/>
        </w:rPr>
        <w:t>万元</w:t>
      </w:r>
      <w:r>
        <w:rPr>
          <w:rFonts w:hint="eastAsia" w:ascii="仿宋_GB2312" w:eastAsia="仿宋_GB2312"/>
          <w:color w:val="auto"/>
          <w:sz w:val="28"/>
          <w:szCs w:val="28"/>
          <w:highlight w:val="none"/>
          <w:u w:val="none"/>
          <w:lang w:val="en-US" w:eastAsia="zh-CN"/>
        </w:rPr>
        <w:t>。其中：</w:t>
      </w:r>
    </w:p>
    <w:p>
      <w:pPr>
        <w:spacing w:line="560" w:lineRule="exact"/>
        <w:ind w:firstLine="420" w:firstLineChars="150"/>
        <w:rPr>
          <w:rFonts w:hint="default" w:ascii="仿宋_GB2312" w:eastAsia="仿宋_GB2312"/>
          <w:color w:val="auto"/>
          <w:sz w:val="28"/>
          <w:szCs w:val="28"/>
          <w:highlight w:val="none"/>
          <w:u w:val="none"/>
          <w:lang w:val="en-US" w:eastAsia="zh-CN"/>
        </w:rPr>
      </w:pPr>
      <w:r>
        <w:rPr>
          <w:rFonts w:hint="eastAsia" w:ascii="仿宋_GB2312" w:eastAsia="仿宋_GB2312"/>
          <w:color w:val="auto"/>
          <w:sz w:val="28"/>
          <w:szCs w:val="28"/>
          <w:highlight w:val="none"/>
          <w:u w:val="none"/>
          <w:lang w:val="en-US" w:eastAsia="zh-CN"/>
        </w:rPr>
        <w:t>“住房改革支出 ”2024年度决算907.06万元，比2024年度年初预算增加907.06万元。</w:t>
      </w:r>
      <w:r>
        <w:rPr>
          <w:rFonts w:hint="eastAsia" w:ascii="仿宋_GB2312" w:eastAsia="仿宋_GB2312"/>
          <w:color w:val="auto"/>
          <w:sz w:val="28"/>
          <w:szCs w:val="28"/>
          <w:highlight w:val="none"/>
          <w:u w:val="none"/>
        </w:rPr>
        <w:t>主要原因：</w:t>
      </w:r>
      <w:r>
        <w:rPr>
          <w:rFonts w:hint="eastAsia" w:ascii="仿宋_GB2312" w:eastAsia="仿宋_GB2312"/>
          <w:color w:val="auto"/>
          <w:sz w:val="28"/>
          <w:szCs w:val="28"/>
          <w:highlight w:val="none"/>
          <w:u w:val="none"/>
          <w:lang w:val="en-US" w:eastAsia="zh-CN"/>
        </w:rPr>
        <w:t>该项目资金为2024年年初结转资金</w:t>
      </w:r>
      <w:r>
        <w:rPr>
          <w:rFonts w:hint="eastAsia" w:ascii="仿宋_GB2312" w:eastAsia="仿宋_GB2312"/>
          <w:color w:val="auto"/>
          <w:sz w:val="28"/>
          <w:szCs w:val="28"/>
          <w:highlight w:val="none"/>
          <w:u w:val="none"/>
        </w:rPr>
        <w:t>。</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lang w:val="en-US" w:eastAsia="zh-CN"/>
        </w:rPr>
        <w:t>10</w:t>
      </w:r>
      <w:r>
        <w:rPr>
          <w:rFonts w:hint="eastAsia" w:ascii="仿宋_GB2312" w:eastAsia="仿宋_GB2312"/>
          <w:color w:val="auto"/>
          <w:sz w:val="28"/>
          <w:szCs w:val="28"/>
          <w:u w:val="none"/>
        </w:rPr>
        <w:t>.“灾害防治及应急管理支出”20</w:t>
      </w:r>
      <w:r>
        <w:rPr>
          <w:rFonts w:hint="eastAsia" w:ascii="仿宋_GB2312" w:eastAsia="仿宋_GB2312"/>
          <w:color w:val="auto"/>
          <w:sz w:val="28"/>
          <w:szCs w:val="28"/>
          <w:u w:val="none"/>
          <w:lang w:val="en-US" w:eastAsia="zh-CN"/>
        </w:rPr>
        <w:t>24</w:t>
      </w:r>
      <w:r>
        <w:rPr>
          <w:rFonts w:hint="eastAsia" w:ascii="仿宋_GB2312" w:eastAsia="仿宋_GB2312"/>
          <w:color w:val="auto"/>
          <w:sz w:val="28"/>
          <w:szCs w:val="28"/>
          <w:u w:val="none"/>
        </w:rPr>
        <w:t>年度决算289.56万元，比202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年度年初预算减少</w:t>
      </w:r>
      <w:r>
        <w:rPr>
          <w:rFonts w:hint="eastAsia" w:ascii="仿宋_GB2312" w:eastAsia="仿宋_GB2312"/>
          <w:color w:val="auto"/>
          <w:sz w:val="28"/>
          <w:szCs w:val="28"/>
          <w:u w:val="none"/>
          <w:lang w:val="en-US" w:eastAsia="zh-CN"/>
        </w:rPr>
        <w:t>59.32</w:t>
      </w:r>
      <w:r>
        <w:rPr>
          <w:rFonts w:hint="eastAsia" w:ascii="仿宋_GB2312" w:eastAsia="仿宋_GB2312"/>
          <w:color w:val="auto"/>
          <w:sz w:val="28"/>
          <w:szCs w:val="28"/>
          <w:u w:val="none"/>
        </w:rPr>
        <w:t>万元，下降</w:t>
      </w:r>
      <w:r>
        <w:rPr>
          <w:rFonts w:hint="eastAsia" w:ascii="仿宋_GB2312" w:eastAsia="仿宋_GB2312"/>
          <w:color w:val="auto"/>
          <w:sz w:val="28"/>
          <w:szCs w:val="28"/>
          <w:u w:val="none"/>
          <w:lang w:val="en-US" w:eastAsia="zh-CN"/>
        </w:rPr>
        <w:t>17</w:t>
      </w:r>
      <w:r>
        <w:rPr>
          <w:rFonts w:hint="eastAsia" w:ascii="仿宋_GB2312" w:eastAsia="仿宋_GB2312"/>
          <w:color w:val="auto"/>
          <w:sz w:val="28"/>
          <w:szCs w:val="28"/>
          <w:u w:val="none"/>
        </w:rPr>
        <w:t>%。其中：</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rPr>
        <w:t>“应急管理事务”202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年度决算289.56万元，比202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年度年初预算增减少</w:t>
      </w:r>
      <w:r>
        <w:rPr>
          <w:rFonts w:hint="eastAsia" w:ascii="仿宋_GB2312" w:eastAsia="仿宋_GB2312"/>
          <w:color w:val="auto"/>
          <w:sz w:val="28"/>
          <w:szCs w:val="28"/>
          <w:u w:val="none"/>
          <w:lang w:val="en-US" w:eastAsia="zh-CN"/>
        </w:rPr>
        <w:t>59.32</w:t>
      </w:r>
      <w:r>
        <w:rPr>
          <w:rFonts w:hint="eastAsia" w:ascii="仿宋_GB2312" w:eastAsia="仿宋_GB2312"/>
          <w:color w:val="auto"/>
          <w:sz w:val="28"/>
          <w:szCs w:val="28"/>
          <w:u w:val="none"/>
        </w:rPr>
        <w:t>万元，下降</w:t>
      </w:r>
      <w:r>
        <w:rPr>
          <w:rFonts w:hint="eastAsia" w:ascii="仿宋_GB2312" w:eastAsia="仿宋_GB2312"/>
          <w:color w:val="auto"/>
          <w:sz w:val="28"/>
          <w:szCs w:val="28"/>
          <w:u w:val="none"/>
          <w:lang w:val="en-US" w:eastAsia="zh-CN"/>
        </w:rPr>
        <w:t>17</w:t>
      </w:r>
      <w:r>
        <w:rPr>
          <w:rFonts w:hint="eastAsia" w:ascii="仿宋_GB2312" w:eastAsia="仿宋_GB2312"/>
          <w:color w:val="auto"/>
          <w:sz w:val="28"/>
          <w:szCs w:val="28"/>
          <w:u w:val="none"/>
        </w:rPr>
        <w:t>%。主要原因：安全员经费支出减少。</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lang w:val="en-US" w:eastAsia="zh-CN"/>
        </w:rPr>
        <w:t>11</w:t>
      </w:r>
      <w:r>
        <w:rPr>
          <w:rFonts w:hint="eastAsia" w:ascii="仿宋_GB2312" w:eastAsia="仿宋_GB2312"/>
          <w:color w:val="auto"/>
          <w:sz w:val="28"/>
          <w:szCs w:val="28"/>
          <w:u w:val="none"/>
        </w:rPr>
        <w:t>.“其他支出”202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年度决算</w:t>
      </w:r>
      <w:r>
        <w:rPr>
          <w:rFonts w:hint="eastAsia" w:ascii="仿宋_GB2312" w:eastAsia="仿宋_GB2312"/>
          <w:color w:val="auto"/>
          <w:sz w:val="28"/>
          <w:szCs w:val="28"/>
          <w:u w:val="none"/>
          <w:lang w:val="en-US" w:eastAsia="zh-CN"/>
        </w:rPr>
        <w:t>4.56</w:t>
      </w:r>
      <w:r>
        <w:rPr>
          <w:rFonts w:hint="eastAsia" w:ascii="仿宋_GB2312" w:eastAsia="仿宋_GB2312"/>
          <w:color w:val="auto"/>
          <w:sz w:val="28"/>
          <w:szCs w:val="28"/>
          <w:u w:val="none"/>
        </w:rPr>
        <w:t>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w:t>
      </w:r>
      <w:r>
        <w:rPr>
          <w:rFonts w:hint="eastAsia" w:ascii="仿宋_GB2312" w:eastAsia="仿宋_GB2312"/>
          <w:color w:val="auto"/>
          <w:sz w:val="28"/>
          <w:szCs w:val="28"/>
          <w:u w:val="none"/>
          <w:lang w:val="en-US" w:eastAsia="zh-CN"/>
        </w:rPr>
        <w:t>减少215.44</w:t>
      </w:r>
      <w:r>
        <w:rPr>
          <w:rFonts w:hint="eastAsia" w:ascii="仿宋_GB2312" w:eastAsia="仿宋_GB2312"/>
          <w:color w:val="auto"/>
          <w:sz w:val="28"/>
          <w:szCs w:val="28"/>
          <w:u w:val="none"/>
        </w:rPr>
        <w:t>万元，</w:t>
      </w:r>
      <w:r>
        <w:rPr>
          <w:rFonts w:hint="eastAsia" w:ascii="仿宋_GB2312" w:eastAsia="仿宋_GB2312"/>
          <w:color w:val="auto"/>
          <w:sz w:val="28"/>
          <w:szCs w:val="28"/>
          <w:u w:val="none"/>
          <w:lang w:val="en-US" w:eastAsia="zh-CN"/>
        </w:rPr>
        <w:t>降低97.93</w:t>
      </w:r>
      <w:r>
        <w:rPr>
          <w:rFonts w:hint="eastAsia" w:ascii="仿宋_GB2312" w:eastAsia="仿宋_GB2312"/>
          <w:color w:val="auto"/>
          <w:sz w:val="28"/>
          <w:szCs w:val="28"/>
          <w:u w:val="none"/>
        </w:rPr>
        <w:t>%。其中：</w:t>
      </w:r>
    </w:p>
    <w:p>
      <w:pPr>
        <w:spacing w:line="560" w:lineRule="exact"/>
        <w:ind w:firstLine="420" w:firstLineChars="150"/>
        <w:rPr>
          <w:rFonts w:hint="eastAsia" w:ascii="仿宋_GB2312" w:eastAsia="仿宋_GB2312"/>
          <w:color w:val="auto"/>
          <w:sz w:val="28"/>
          <w:szCs w:val="28"/>
          <w:u w:val="none"/>
          <w:lang w:val="en-US" w:eastAsia="zh-CN"/>
        </w:rPr>
      </w:pPr>
      <w:r>
        <w:rPr>
          <w:rFonts w:hint="eastAsia" w:ascii="仿宋_GB2312" w:eastAsia="仿宋_GB2312"/>
          <w:color w:val="auto"/>
          <w:sz w:val="28"/>
          <w:szCs w:val="28"/>
          <w:u w:val="none"/>
        </w:rPr>
        <w:t>“其他支出”202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年度决算</w:t>
      </w:r>
      <w:r>
        <w:rPr>
          <w:rFonts w:hint="eastAsia" w:ascii="仿宋_GB2312" w:eastAsia="仿宋_GB2312"/>
          <w:color w:val="auto"/>
          <w:sz w:val="28"/>
          <w:szCs w:val="28"/>
          <w:u w:val="none"/>
          <w:lang w:val="en-US" w:eastAsia="zh-CN"/>
        </w:rPr>
        <w:t>4.56</w:t>
      </w:r>
      <w:r>
        <w:rPr>
          <w:rFonts w:hint="eastAsia" w:ascii="仿宋_GB2312" w:eastAsia="仿宋_GB2312"/>
          <w:color w:val="auto"/>
          <w:sz w:val="28"/>
          <w:szCs w:val="28"/>
          <w:u w:val="none"/>
        </w:rPr>
        <w:t>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w:t>
      </w:r>
      <w:r>
        <w:rPr>
          <w:rFonts w:hint="eastAsia" w:ascii="仿宋_GB2312" w:eastAsia="仿宋_GB2312"/>
          <w:color w:val="auto"/>
          <w:sz w:val="28"/>
          <w:szCs w:val="28"/>
          <w:u w:val="none"/>
          <w:lang w:val="en-US" w:eastAsia="zh-CN"/>
        </w:rPr>
        <w:t>减少215.44</w:t>
      </w:r>
      <w:r>
        <w:rPr>
          <w:rFonts w:hint="eastAsia" w:ascii="仿宋_GB2312" w:eastAsia="仿宋_GB2312"/>
          <w:color w:val="auto"/>
          <w:sz w:val="28"/>
          <w:szCs w:val="28"/>
          <w:u w:val="none"/>
        </w:rPr>
        <w:t>万元，</w:t>
      </w:r>
      <w:r>
        <w:rPr>
          <w:rFonts w:hint="eastAsia" w:ascii="仿宋_GB2312" w:eastAsia="仿宋_GB2312"/>
          <w:color w:val="auto"/>
          <w:sz w:val="28"/>
          <w:szCs w:val="28"/>
          <w:u w:val="none"/>
          <w:lang w:val="en-US" w:eastAsia="zh-CN"/>
        </w:rPr>
        <w:t>降低97.93</w:t>
      </w:r>
      <w:r>
        <w:rPr>
          <w:rFonts w:hint="eastAsia" w:ascii="仿宋_GB2312" w:eastAsia="仿宋_GB2312"/>
          <w:color w:val="auto"/>
          <w:sz w:val="28"/>
          <w:szCs w:val="28"/>
          <w:u w:val="none"/>
        </w:rPr>
        <w:t>%。主要原因：</w:t>
      </w:r>
      <w:r>
        <w:rPr>
          <w:rFonts w:hint="eastAsia" w:ascii="仿宋_GB2312" w:eastAsia="仿宋_GB2312"/>
          <w:color w:val="auto"/>
          <w:sz w:val="28"/>
          <w:szCs w:val="28"/>
          <w:u w:val="none"/>
          <w:lang w:val="en-US" w:eastAsia="zh-CN"/>
        </w:rPr>
        <w:t>其他支出减少。</w:t>
      </w:r>
    </w:p>
    <w:p>
      <w:pPr>
        <w:spacing w:line="560" w:lineRule="exact"/>
        <w:ind w:firstLine="420" w:firstLineChars="150"/>
        <w:rPr>
          <w:rFonts w:ascii="仿宋_GB2312" w:eastAsia="仿宋_GB2312"/>
          <w:color w:val="auto"/>
          <w:sz w:val="28"/>
          <w:szCs w:val="28"/>
        </w:rPr>
      </w:pPr>
      <w:r>
        <w:rPr>
          <w:rFonts w:hint="eastAsia" w:ascii="黑体" w:eastAsia="黑体"/>
          <w:color w:val="auto"/>
          <w:sz w:val="28"/>
          <w:szCs w:val="28"/>
        </w:rPr>
        <w:t>六、</w:t>
      </w:r>
      <w:bookmarkStart w:id="4" w:name="OLE_LINK5"/>
      <w:r>
        <w:rPr>
          <w:rFonts w:hint="eastAsia" w:ascii="黑体" w:eastAsia="黑体"/>
          <w:color w:val="auto"/>
          <w:sz w:val="28"/>
          <w:szCs w:val="28"/>
        </w:rPr>
        <w:t>政府性基金预算财政拨款支出决算情况说明</w:t>
      </w:r>
    </w:p>
    <w:bookmarkEnd w:id="4"/>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color w:val="auto"/>
          <w:sz w:val="28"/>
          <w:szCs w:val="28"/>
        </w:rPr>
      </w:pPr>
      <w:bookmarkStart w:id="5" w:name="OLE_LINK7"/>
      <w:r>
        <w:rPr>
          <w:rFonts w:hint="eastAsia" w:ascii="仿宋_GB2312" w:eastAsia="仿宋_GB2312"/>
          <w:color w:val="auto"/>
          <w:sz w:val="28"/>
          <w:szCs w:val="28"/>
        </w:rPr>
        <w:t>2024年度政府性基金预算财政拨款支出11173.7</w:t>
      </w:r>
      <w:r>
        <w:rPr>
          <w:rFonts w:hint="eastAsia" w:ascii="仿宋_GB2312" w:eastAsia="仿宋_GB2312"/>
          <w:color w:val="auto"/>
          <w:sz w:val="28"/>
          <w:szCs w:val="28"/>
          <w:lang w:val="en-US" w:eastAsia="zh-CN"/>
        </w:rPr>
        <w:t>1</w:t>
      </w:r>
      <w:r>
        <w:rPr>
          <w:rFonts w:hint="eastAsia" w:ascii="仿宋_GB2312" w:eastAsia="仿宋_GB2312"/>
          <w:color w:val="auto"/>
          <w:sz w:val="28"/>
          <w:szCs w:val="28"/>
        </w:rPr>
        <w:t>万元，主要用于以下方面：城乡社区支出11173.7</w:t>
      </w:r>
      <w:r>
        <w:rPr>
          <w:rFonts w:hint="eastAsia" w:ascii="仿宋_GB2312" w:eastAsia="仿宋_GB2312"/>
          <w:color w:val="auto"/>
          <w:sz w:val="28"/>
          <w:szCs w:val="28"/>
          <w:lang w:val="en-US" w:eastAsia="zh-CN"/>
        </w:rPr>
        <w:t>1</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26.21</w:t>
      </w:r>
      <w:r>
        <w:rPr>
          <w:rFonts w:hint="eastAsia" w:ascii="仿宋_GB2312" w:eastAsia="仿宋_GB2312"/>
          <w:color w:val="auto"/>
          <w:sz w:val="28"/>
          <w:szCs w:val="28"/>
        </w:rPr>
        <w:t>%。</w:t>
      </w:r>
      <w:bookmarkEnd w:id="5"/>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color w:val="auto"/>
          <w:sz w:val="28"/>
          <w:szCs w:val="28"/>
        </w:rPr>
      </w:pPr>
      <w:bookmarkStart w:id="6" w:name="OLE_LINK6"/>
      <w:r>
        <w:rPr>
          <w:rFonts w:hint="eastAsia" w:ascii="仿宋_GB2312" w:eastAsia="仿宋_GB2312"/>
          <w:color w:val="auto"/>
          <w:sz w:val="28"/>
          <w:szCs w:val="28"/>
        </w:rPr>
        <w:t>1.“城乡社区支出”2024年度决算11173.7</w:t>
      </w:r>
      <w:r>
        <w:rPr>
          <w:rFonts w:hint="eastAsia" w:ascii="仿宋_GB2312" w:eastAsia="仿宋_GB2312"/>
          <w:color w:val="auto"/>
          <w:sz w:val="28"/>
          <w:szCs w:val="28"/>
          <w:lang w:val="en-US" w:eastAsia="zh-CN"/>
        </w:rPr>
        <w:t>1</w:t>
      </w:r>
      <w:r>
        <w:rPr>
          <w:rFonts w:hint="eastAsia" w:ascii="仿宋_GB2312" w:eastAsia="仿宋_GB2312"/>
          <w:color w:val="auto"/>
          <w:sz w:val="28"/>
          <w:szCs w:val="28"/>
        </w:rPr>
        <w:t>万元，比2024年度年初预算增加</w:t>
      </w:r>
      <w:r>
        <w:rPr>
          <w:rFonts w:hint="eastAsia" w:ascii="仿宋_GB2312" w:eastAsia="仿宋_GB2312"/>
          <w:color w:val="auto"/>
          <w:sz w:val="28"/>
          <w:szCs w:val="28"/>
          <w:lang w:val="en-US" w:eastAsia="zh-CN"/>
        </w:rPr>
        <w:t>8740.22</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359</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rPr>
        <w:t>国有土地使用权出让收入安排的支出</w:t>
      </w:r>
      <w:r>
        <w:rPr>
          <w:rFonts w:hint="eastAsia" w:ascii="仿宋_GB2312" w:eastAsia="仿宋_GB2312"/>
          <w:color w:val="auto"/>
          <w:sz w:val="28"/>
          <w:szCs w:val="28"/>
          <w:lang w:eastAsia="zh-CN"/>
        </w:rPr>
        <w:t>”</w:t>
      </w:r>
      <w:r>
        <w:rPr>
          <w:rFonts w:hint="eastAsia" w:ascii="仿宋_GB2312" w:eastAsia="仿宋_GB2312"/>
          <w:color w:val="auto"/>
          <w:sz w:val="28"/>
          <w:szCs w:val="28"/>
        </w:rPr>
        <w:t>2024年度决算10973.17万元，比2024年度年初预算增加</w:t>
      </w:r>
      <w:r>
        <w:rPr>
          <w:rFonts w:hint="eastAsia" w:ascii="仿宋_GB2312" w:eastAsia="仿宋_GB2312"/>
          <w:color w:val="auto"/>
          <w:sz w:val="28"/>
          <w:szCs w:val="28"/>
          <w:lang w:val="en-US" w:eastAsia="zh-CN"/>
        </w:rPr>
        <w:t>8539.68</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350.92</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政府性基金专项支出增加</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0000FF"/>
          <w:sz w:val="28"/>
          <w:szCs w:val="28"/>
        </w:rPr>
      </w:pPr>
      <w:r>
        <w:rPr>
          <w:rFonts w:hint="eastAsia" w:ascii="仿宋_GB2312" w:eastAsia="仿宋_GB2312"/>
          <w:color w:val="auto"/>
          <w:sz w:val="28"/>
          <w:szCs w:val="28"/>
        </w:rPr>
        <w:t>“城市基础设施配套费安排的支出”2024年度决算</w:t>
      </w:r>
      <w:r>
        <w:rPr>
          <w:rFonts w:hint="eastAsia" w:ascii="仿宋_GB2312" w:eastAsia="仿宋_GB2312"/>
          <w:color w:val="auto"/>
          <w:sz w:val="28"/>
          <w:szCs w:val="28"/>
          <w:lang w:val="en-US" w:eastAsia="zh-CN"/>
        </w:rPr>
        <w:t>200.53</w:t>
      </w:r>
      <w:r>
        <w:rPr>
          <w:rFonts w:hint="eastAsia" w:ascii="仿宋_GB2312" w:eastAsia="仿宋_GB2312"/>
          <w:color w:val="auto"/>
          <w:sz w:val="28"/>
          <w:szCs w:val="28"/>
        </w:rPr>
        <w:t>万元，比2024年度年初预算增加</w:t>
      </w:r>
      <w:r>
        <w:rPr>
          <w:rFonts w:hint="eastAsia" w:ascii="仿宋_GB2312" w:eastAsia="仿宋_GB2312"/>
          <w:color w:val="auto"/>
          <w:sz w:val="28"/>
          <w:szCs w:val="28"/>
          <w:lang w:val="en-US" w:eastAsia="zh-CN"/>
        </w:rPr>
        <w:t>200.53</w:t>
      </w:r>
      <w:r>
        <w:rPr>
          <w:rFonts w:hint="eastAsia" w:ascii="仿宋_GB2312" w:eastAsia="仿宋_GB2312"/>
          <w:color w:val="auto"/>
          <w:sz w:val="28"/>
          <w:szCs w:val="28"/>
        </w:rPr>
        <w:t>万元。主要原因：城市基础设施</w:t>
      </w:r>
      <w:r>
        <w:rPr>
          <w:rFonts w:hint="eastAsia" w:ascii="仿宋_GB2312" w:eastAsia="仿宋_GB2312"/>
          <w:color w:val="auto"/>
          <w:sz w:val="28"/>
          <w:szCs w:val="28"/>
          <w:lang w:val="en-US" w:eastAsia="zh-CN"/>
        </w:rPr>
        <w:t>有关项目支出增加</w:t>
      </w:r>
      <w:r>
        <w:rPr>
          <w:rFonts w:hint="eastAsia" w:ascii="仿宋_GB2312" w:eastAsia="仿宋_GB2312"/>
          <w:color w:val="auto"/>
          <w:sz w:val="28"/>
          <w:szCs w:val="28"/>
        </w:rPr>
        <w:t>。</w:t>
      </w:r>
    </w:p>
    <w:bookmarkEnd w:id="6"/>
    <w:p>
      <w:pPr>
        <w:tabs>
          <w:tab w:val="center" w:pos="6979"/>
        </w:tabs>
        <w:spacing w:line="580" w:lineRule="exact"/>
        <w:ind w:firstLine="548" w:firstLineChars="196"/>
        <w:rPr>
          <w:rFonts w:hint="eastAsia" w:ascii="黑体" w:eastAsia="黑体"/>
          <w:color w:val="auto"/>
          <w:sz w:val="28"/>
          <w:szCs w:val="28"/>
        </w:rPr>
      </w:pPr>
      <w:r>
        <w:rPr>
          <w:rFonts w:hint="eastAsia" w:ascii="黑体" w:eastAsia="黑体"/>
          <w:color w:val="auto"/>
          <w:sz w:val="28"/>
          <w:szCs w:val="28"/>
        </w:rPr>
        <w:t>七、国有资本经营预算财政拨款收支情况说明</w:t>
      </w:r>
    </w:p>
    <w:p>
      <w:pPr>
        <w:ind w:firstLine="537" w:firstLineChars="192"/>
        <w:rPr>
          <w:rFonts w:hint="eastAsia" w:ascii="仿宋_GB2312" w:eastAsia="仿宋_GB2312"/>
          <w:color w:val="auto"/>
          <w:sz w:val="28"/>
          <w:szCs w:val="28"/>
        </w:rPr>
      </w:pPr>
      <w:r>
        <w:rPr>
          <w:rFonts w:hint="eastAsia" w:ascii="仿宋_GB2312" w:eastAsia="仿宋_GB2312"/>
          <w:color w:val="auto"/>
          <w:sz w:val="28"/>
          <w:szCs w:val="28"/>
        </w:rPr>
        <w:t>本部门202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年度无国有资本经营预算财</w:t>
      </w:r>
      <w:r>
        <w:rPr>
          <w:rFonts w:ascii="仿宋_GB2312" w:eastAsia="仿宋_GB2312"/>
          <w:color w:val="auto"/>
          <w:sz w:val="28"/>
          <w:szCs w:val="28"/>
        </w:rPr>
        <w:t>政拨款</w:t>
      </w:r>
      <w:r>
        <w:rPr>
          <w:rFonts w:hint="eastAsia" w:ascii="仿宋_GB2312" w:eastAsia="仿宋_GB2312"/>
          <w:color w:val="auto"/>
          <w:sz w:val="28"/>
          <w:szCs w:val="28"/>
        </w:rPr>
        <w:t>安排的支出</w:t>
      </w:r>
    </w:p>
    <w:p>
      <w:pPr>
        <w:ind w:firstLine="537" w:firstLineChars="192"/>
        <w:rPr>
          <w:rFonts w:hint="eastAsia" w:ascii="黑体" w:eastAsia="黑体"/>
          <w:color w:val="auto"/>
          <w:sz w:val="28"/>
          <w:szCs w:val="28"/>
        </w:rPr>
      </w:pPr>
      <w:r>
        <w:rPr>
          <w:rFonts w:hint="eastAsia" w:ascii="黑体" w:eastAsia="黑体"/>
          <w:color w:val="auto"/>
          <w:sz w:val="28"/>
          <w:szCs w:val="28"/>
        </w:rPr>
        <w:t>八、</w:t>
      </w:r>
      <w:bookmarkStart w:id="7" w:name="OLE_LINK10"/>
      <w:r>
        <w:rPr>
          <w:rFonts w:hint="eastAsia" w:ascii="黑体" w:eastAsia="黑体"/>
          <w:color w:val="auto"/>
          <w:sz w:val="28"/>
          <w:szCs w:val="28"/>
        </w:rPr>
        <w:t>财政拨款基本支出决算情况说明</w:t>
      </w:r>
      <w:bookmarkEnd w:id="7"/>
    </w:p>
    <w:p>
      <w:pPr>
        <w:tabs>
          <w:tab w:val="center" w:pos="6979"/>
        </w:tabs>
        <w:ind w:firstLine="560" w:firstLineChars="200"/>
        <w:jc w:val="both"/>
        <w:rPr>
          <w:rFonts w:hint="eastAsia" w:ascii="宋体" w:hAnsi="宋体" w:cs="宋体"/>
          <w:b/>
          <w:bCs/>
          <w:color w:val="auto"/>
          <w:spacing w:val="40"/>
          <w:kern w:val="0"/>
          <w:sz w:val="32"/>
          <w:szCs w:val="32"/>
        </w:rPr>
      </w:pPr>
      <w:bookmarkStart w:id="8" w:name="OLE_LINK11"/>
      <w:r>
        <w:rPr>
          <w:rFonts w:ascii="仿宋_GB2312" w:eastAsia="仿宋_GB2312"/>
          <w:color w:val="auto"/>
          <w:sz w:val="28"/>
          <w:szCs w:val="28"/>
        </w:rPr>
        <w:t>20</w:t>
      </w:r>
      <w:r>
        <w:rPr>
          <w:rFonts w:hint="eastAsia" w:ascii="仿宋_GB2312" w:eastAsia="仿宋_GB2312"/>
          <w:color w:val="auto"/>
          <w:sz w:val="28"/>
          <w:szCs w:val="28"/>
        </w:rPr>
        <w:t>24年度使用一般公共预算财政拨款安排基本支出</w:t>
      </w:r>
      <w:r>
        <w:rPr>
          <w:rFonts w:hint="eastAsia" w:ascii="仿宋_GB2312" w:eastAsia="仿宋_GB2312"/>
          <w:color w:val="auto"/>
          <w:sz w:val="28"/>
          <w:szCs w:val="28"/>
          <w:lang w:val="en-US" w:eastAsia="zh-CN"/>
        </w:rPr>
        <w:t>8874.22</w:t>
      </w:r>
      <w:r>
        <w:rPr>
          <w:rFonts w:hint="eastAsia" w:ascii="仿宋_GB2312" w:eastAsia="仿宋_GB2312"/>
          <w:color w:val="auto"/>
          <w:sz w:val="28"/>
          <w:szCs w:val="28"/>
        </w:rPr>
        <w:t>万元，使用政府性基金财政拨款安排基本支出</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万元，使用国有资本经营预算财政</w:t>
      </w:r>
      <w:r>
        <w:rPr>
          <w:rFonts w:ascii="仿宋_GB2312" w:eastAsia="仿宋_GB2312"/>
          <w:color w:val="auto"/>
          <w:sz w:val="28"/>
          <w:szCs w:val="28"/>
        </w:rPr>
        <w:t>拨款</w:t>
      </w:r>
      <w:r>
        <w:rPr>
          <w:rFonts w:hint="eastAsia" w:ascii="仿宋_GB2312" w:eastAsia="仿宋_GB2312"/>
          <w:color w:val="auto"/>
          <w:sz w:val="28"/>
          <w:szCs w:val="28"/>
        </w:rPr>
        <w:t>安排基本支出</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万元，其中：（1）工资福利支出</w:t>
      </w:r>
      <w:r>
        <w:rPr>
          <w:rFonts w:hint="eastAsia" w:ascii="仿宋_GB2312" w:eastAsia="仿宋_GB2312"/>
          <w:color w:val="auto"/>
          <w:sz w:val="28"/>
          <w:szCs w:val="28"/>
          <w:lang w:val="en-US" w:eastAsia="zh-CN"/>
        </w:rPr>
        <w:t>8199.51</w:t>
      </w:r>
      <w:r>
        <w:rPr>
          <w:rFonts w:hint="eastAsia" w:ascii="仿宋_GB2312" w:eastAsia="仿宋_GB2312"/>
          <w:color w:val="auto"/>
          <w:sz w:val="28"/>
          <w:szCs w:val="28"/>
        </w:rPr>
        <w:t>万元，包括基本工资、津贴补贴、奖金、绩效工资、其他社会保障缴费、其他工资福利等支出；（2）商品和服务支出</w:t>
      </w:r>
      <w:r>
        <w:rPr>
          <w:rFonts w:hint="eastAsia" w:ascii="仿宋_GB2312" w:eastAsia="仿宋_GB2312"/>
          <w:color w:val="auto"/>
          <w:sz w:val="28"/>
          <w:szCs w:val="28"/>
          <w:lang w:val="en-US" w:eastAsia="zh-CN"/>
        </w:rPr>
        <w:t>369.95</w:t>
      </w:r>
      <w:r>
        <w:rPr>
          <w:rFonts w:hint="eastAsia" w:ascii="仿宋_GB2312" w:eastAsia="仿宋_GB2312"/>
          <w:color w:val="auto"/>
          <w:sz w:val="28"/>
          <w:szCs w:val="28"/>
        </w:rPr>
        <w:t>万元，包括办公费、工会经费、福利费、公务用车运行维护费、其他交通费、其他商品和服务等支出；（3）对个人和家庭补助支出</w:t>
      </w:r>
      <w:r>
        <w:rPr>
          <w:rFonts w:hint="eastAsia" w:ascii="仿宋_GB2312" w:eastAsia="仿宋_GB2312"/>
          <w:color w:val="auto"/>
          <w:sz w:val="28"/>
          <w:szCs w:val="28"/>
          <w:lang w:val="en-US" w:eastAsia="zh-CN"/>
        </w:rPr>
        <w:t>304.76</w:t>
      </w:r>
      <w:r>
        <w:rPr>
          <w:rFonts w:hint="eastAsia" w:ascii="仿宋_GB2312" w:eastAsia="仿宋_GB2312"/>
          <w:color w:val="auto"/>
          <w:sz w:val="28"/>
          <w:szCs w:val="28"/>
        </w:rPr>
        <w:t>万元，包括退休费、抚恤金、奖励金；（4）其他资本性支出0万元。</w:t>
      </w:r>
    </w:p>
    <w:bookmarkEnd w:id="8"/>
    <w:p>
      <w:pPr>
        <w:tabs>
          <w:tab w:val="center" w:pos="6979"/>
        </w:tabs>
        <w:jc w:val="both"/>
        <w:rPr>
          <w:rFonts w:hint="eastAsia" w:ascii="宋体" w:hAnsi="宋体" w:cs="宋体"/>
          <w:b/>
          <w:bCs/>
          <w:color w:val="0000FF"/>
          <w:spacing w:val="40"/>
          <w:kern w:val="0"/>
          <w:sz w:val="32"/>
          <w:szCs w:val="32"/>
        </w:rPr>
      </w:pPr>
    </w:p>
    <w:p>
      <w:pPr>
        <w:tabs>
          <w:tab w:val="center" w:pos="6979"/>
        </w:tabs>
        <w:jc w:val="both"/>
        <w:rPr>
          <w:rFonts w:hint="eastAsia" w:ascii="宋体" w:hAnsi="宋体" w:cs="宋体"/>
          <w:b/>
          <w:bCs/>
          <w:color w:val="0000FF"/>
          <w:spacing w:val="40"/>
          <w:kern w:val="0"/>
          <w:sz w:val="32"/>
          <w:szCs w:val="32"/>
        </w:rPr>
      </w:pPr>
    </w:p>
    <w:p>
      <w:pPr>
        <w:tabs>
          <w:tab w:val="center" w:pos="6979"/>
        </w:tabs>
        <w:jc w:val="center"/>
        <w:rPr>
          <w:rFonts w:hint="eastAsia" w:ascii="宋体" w:hAnsi="宋体" w:cs="宋体"/>
          <w:b/>
          <w:color w:val="auto"/>
          <w:spacing w:val="40"/>
          <w:kern w:val="0"/>
          <w:sz w:val="32"/>
          <w:szCs w:val="32"/>
        </w:rPr>
      </w:pPr>
      <w:r>
        <w:rPr>
          <w:rFonts w:hint="eastAsia" w:ascii="宋体" w:hAnsi="宋体" w:cs="宋体"/>
          <w:b/>
          <w:bCs/>
          <w:color w:val="auto"/>
          <w:spacing w:val="40"/>
          <w:kern w:val="0"/>
          <w:sz w:val="32"/>
          <w:szCs w:val="32"/>
        </w:rPr>
        <w:t>第三部分</w:t>
      </w:r>
      <w:r>
        <w:rPr>
          <w:rFonts w:hint="eastAsia" w:ascii="宋体" w:hAnsi="宋体" w:cs="宋体"/>
          <w:b/>
          <w:bCs/>
          <w:color w:val="auto"/>
          <w:spacing w:val="40"/>
          <w:kern w:val="0"/>
          <w:sz w:val="32"/>
          <w:szCs w:val="32"/>
          <w:lang w:val="en-US" w:eastAsia="zh-CN"/>
        </w:rPr>
        <w:t xml:space="preserve"> </w:t>
      </w:r>
      <w:r>
        <w:rPr>
          <w:rFonts w:hint="eastAsia" w:ascii="宋体" w:hAnsi="宋体"/>
          <w:b/>
          <w:color w:val="auto"/>
          <w:spacing w:val="40"/>
          <w:sz w:val="32"/>
          <w:szCs w:val="32"/>
        </w:rPr>
        <w:t>2024年度</w:t>
      </w:r>
      <w:r>
        <w:rPr>
          <w:rFonts w:hint="eastAsia" w:ascii="宋体" w:hAnsi="宋体" w:cs="宋体"/>
          <w:b/>
          <w:color w:val="auto"/>
          <w:spacing w:val="40"/>
          <w:kern w:val="0"/>
          <w:sz w:val="32"/>
          <w:szCs w:val="32"/>
        </w:rPr>
        <w:t>其他重要事项的情况说明</w:t>
      </w:r>
    </w:p>
    <w:p>
      <w:pPr>
        <w:tabs>
          <w:tab w:val="center" w:pos="6979"/>
        </w:tabs>
        <w:ind w:firstLine="560" w:firstLineChars="200"/>
        <w:jc w:val="left"/>
        <w:rPr>
          <w:rFonts w:hint="eastAsia" w:ascii="宋体" w:hAnsi="宋体" w:cs="宋体"/>
          <w:b/>
          <w:color w:val="auto"/>
          <w:spacing w:val="40"/>
          <w:kern w:val="0"/>
          <w:sz w:val="32"/>
          <w:szCs w:val="32"/>
        </w:rPr>
      </w:pPr>
      <w:bookmarkStart w:id="9" w:name="OLE_LINK8"/>
      <w:r>
        <w:rPr>
          <w:rFonts w:hint="eastAsia" w:ascii="黑体" w:eastAsia="黑体"/>
          <w:color w:val="auto"/>
          <w:sz w:val="28"/>
          <w:szCs w:val="28"/>
        </w:rPr>
        <w:t>一、“三公”经费财政拨款决算情况</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“三公”经费包括本部门所属1个行政单位。202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年度“三公”经费财政拨款决算数</w:t>
      </w:r>
      <w:r>
        <w:rPr>
          <w:rFonts w:hint="eastAsia" w:ascii="仿宋_GB2312" w:eastAsia="仿宋_GB2312"/>
          <w:color w:val="auto"/>
          <w:sz w:val="28"/>
          <w:szCs w:val="28"/>
          <w:lang w:val="en-US" w:eastAsia="zh-CN"/>
        </w:rPr>
        <w:t>6.37</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年度“三公”经费财政拨款年初预算36.3元减少</w:t>
      </w:r>
      <w:r>
        <w:rPr>
          <w:rFonts w:hint="eastAsia" w:ascii="仿宋_GB2312" w:eastAsia="仿宋_GB2312"/>
          <w:color w:val="auto"/>
          <w:sz w:val="28"/>
          <w:szCs w:val="28"/>
          <w:lang w:val="en-US" w:eastAsia="zh-CN"/>
        </w:rPr>
        <w:t>29.93</w:t>
      </w:r>
      <w:r>
        <w:rPr>
          <w:rFonts w:hint="eastAsia" w:ascii="仿宋_GB2312" w:eastAsia="仿宋_GB2312"/>
          <w:color w:val="auto"/>
          <w:sz w:val="28"/>
          <w:szCs w:val="28"/>
        </w:rPr>
        <w:t>万元。</w:t>
      </w:r>
      <w:bookmarkEnd w:id="9"/>
      <w:r>
        <w:rPr>
          <w:rFonts w:hint="eastAsia" w:ascii="仿宋_GB2312" w:eastAsia="仿宋_GB2312"/>
          <w:color w:val="auto"/>
          <w:sz w:val="28"/>
          <w:szCs w:val="28"/>
        </w:rPr>
        <w:t>其中：</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1.因公出国（境）费用。202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年度决算数0.00万元，与202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年度年初预算数一致。主要原因：本部门202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年度无因公出国（境）费用支出。</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2.公务接待费。202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年度决算数0.00万元，与202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年度年初预算数一致。主要原因：本部门202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年度无公务接待费支出。</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3.公务用车购置及运行维护费。202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6.37</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年度年初预算数36.3万元减少</w:t>
      </w:r>
      <w:r>
        <w:rPr>
          <w:rFonts w:hint="eastAsia" w:ascii="仿宋_GB2312" w:eastAsia="仿宋_GB2312"/>
          <w:color w:val="auto"/>
          <w:sz w:val="28"/>
          <w:szCs w:val="28"/>
          <w:lang w:val="en-US" w:eastAsia="zh-CN"/>
        </w:rPr>
        <w:t>29.93</w:t>
      </w:r>
      <w:r>
        <w:rPr>
          <w:rFonts w:hint="eastAsia" w:ascii="仿宋_GB2312" w:eastAsia="仿宋_GB2312"/>
          <w:color w:val="auto"/>
          <w:sz w:val="28"/>
          <w:szCs w:val="28"/>
        </w:rPr>
        <w:t>万元。</w:t>
      </w:r>
      <w:bookmarkStart w:id="10" w:name="OLE_LINK9"/>
      <w:r>
        <w:rPr>
          <w:rFonts w:hint="eastAsia" w:ascii="仿宋_GB2312" w:eastAsia="仿宋_GB2312"/>
          <w:color w:val="auto"/>
          <w:sz w:val="28"/>
          <w:szCs w:val="28"/>
        </w:rPr>
        <w:t>其中，公务用车购置费202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w:t>
      </w:r>
      <w:r>
        <w:rPr>
          <w:rFonts w:hint="eastAsia" w:ascii="仿宋_GB2312" w:eastAsia="仿宋_GB2312"/>
          <w:color w:val="auto"/>
          <w:sz w:val="28"/>
          <w:szCs w:val="28"/>
          <w:lang w:val="en-US" w:eastAsia="zh-CN"/>
        </w:rPr>
        <w:t>未</w:t>
      </w:r>
      <w:r>
        <w:rPr>
          <w:rFonts w:hint="eastAsia" w:ascii="仿宋_GB2312" w:eastAsia="仿宋_GB2312"/>
          <w:color w:val="auto"/>
          <w:sz w:val="28"/>
          <w:szCs w:val="28"/>
        </w:rPr>
        <w:t>购置</w:t>
      </w:r>
      <w:r>
        <w:rPr>
          <w:rFonts w:hint="eastAsia" w:ascii="仿宋_GB2312" w:eastAsia="仿宋_GB2312"/>
          <w:color w:val="auto"/>
          <w:sz w:val="28"/>
          <w:szCs w:val="28"/>
          <w:lang w:val="en-US" w:eastAsia="zh-CN"/>
        </w:rPr>
        <w:t>公车</w:t>
      </w:r>
      <w:r>
        <w:rPr>
          <w:rFonts w:hint="eastAsia" w:ascii="仿宋_GB2312" w:eastAsia="仿宋_GB2312"/>
          <w:color w:val="auto"/>
          <w:sz w:val="28"/>
          <w:szCs w:val="28"/>
        </w:rPr>
        <w:t>。公务用车运行维护费202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6.37</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年度年初预算数36.3万元减少</w:t>
      </w:r>
      <w:r>
        <w:rPr>
          <w:rFonts w:hint="eastAsia" w:ascii="仿宋_GB2312" w:eastAsia="仿宋_GB2312"/>
          <w:color w:val="auto"/>
          <w:sz w:val="28"/>
          <w:szCs w:val="28"/>
          <w:lang w:val="en-US" w:eastAsia="zh-CN"/>
        </w:rPr>
        <w:t>29.93</w:t>
      </w:r>
      <w:r>
        <w:rPr>
          <w:rFonts w:hint="eastAsia" w:ascii="仿宋_GB2312" w:eastAsia="仿宋_GB2312"/>
          <w:color w:val="auto"/>
          <w:sz w:val="28"/>
          <w:szCs w:val="28"/>
        </w:rPr>
        <w:t>万元，主要原因：公务用车运行维护费减少。202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年度公务用车运行维护费中，公务用车加油</w:t>
      </w:r>
      <w:r>
        <w:rPr>
          <w:rFonts w:hint="eastAsia" w:ascii="仿宋_GB2312" w:eastAsia="仿宋_GB2312"/>
          <w:color w:val="auto"/>
          <w:sz w:val="28"/>
          <w:szCs w:val="28"/>
          <w:lang w:val="en-US" w:eastAsia="zh-CN"/>
        </w:rPr>
        <w:t>0.8</w:t>
      </w:r>
      <w:r>
        <w:rPr>
          <w:rFonts w:hint="eastAsia" w:ascii="仿宋_GB2312" w:eastAsia="仿宋_GB2312"/>
          <w:color w:val="auto"/>
          <w:sz w:val="28"/>
          <w:szCs w:val="28"/>
        </w:rPr>
        <w:t>万元，公务用车维修</w:t>
      </w:r>
      <w:r>
        <w:rPr>
          <w:rFonts w:hint="eastAsia" w:ascii="仿宋_GB2312" w:eastAsia="仿宋_GB2312"/>
          <w:color w:val="auto"/>
          <w:sz w:val="28"/>
          <w:szCs w:val="28"/>
          <w:lang w:val="en-US" w:eastAsia="zh-CN"/>
        </w:rPr>
        <w:t>2.75</w:t>
      </w:r>
      <w:r>
        <w:rPr>
          <w:rFonts w:hint="eastAsia" w:ascii="仿宋_GB2312" w:eastAsia="仿宋_GB2312"/>
          <w:color w:val="auto"/>
          <w:sz w:val="28"/>
          <w:szCs w:val="28"/>
        </w:rPr>
        <w:t>万元，公务用车保险</w:t>
      </w:r>
      <w:r>
        <w:rPr>
          <w:rFonts w:hint="eastAsia" w:ascii="仿宋_GB2312" w:eastAsia="仿宋_GB2312"/>
          <w:color w:val="auto"/>
          <w:sz w:val="28"/>
          <w:szCs w:val="28"/>
          <w:lang w:val="en-US" w:eastAsia="zh-CN"/>
        </w:rPr>
        <w:t>2.82</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年度公务用车保有量10辆，车均运行维护费</w:t>
      </w:r>
      <w:r>
        <w:rPr>
          <w:rFonts w:hint="eastAsia" w:ascii="仿宋_GB2312" w:eastAsia="仿宋_GB2312"/>
          <w:color w:val="auto"/>
          <w:sz w:val="28"/>
          <w:szCs w:val="28"/>
          <w:lang w:val="en-US" w:eastAsia="zh-CN"/>
        </w:rPr>
        <w:t>0.64</w:t>
      </w:r>
      <w:r>
        <w:rPr>
          <w:rFonts w:hint="eastAsia" w:ascii="仿宋_GB2312" w:eastAsia="仿宋_GB2312"/>
          <w:color w:val="auto"/>
          <w:sz w:val="28"/>
          <w:szCs w:val="28"/>
        </w:rPr>
        <w:t>万元。</w:t>
      </w:r>
    </w:p>
    <w:bookmarkEnd w:id="10"/>
    <w:p>
      <w:pPr>
        <w:spacing w:line="560" w:lineRule="exact"/>
        <w:ind w:firstLine="560" w:firstLineChars="200"/>
        <w:rPr>
          <w:rFonts w:ascii="仿宋_GB2312" w:eastAsia="仿宋_GB2312"/>
          <w:color w:val="auto"/>
          <w:sz w:val="28"/>
          <w:szCs w:val="28"/>
        </w:rPr>
      </w:pPr>
      <w:r>
        <w:rPr>
          <w:rFonts w:hint="eastAsia" w:ascii="黑体" w:eastAsia="黑体"/>
          <w:color w:val="auto"/>
          <w:sz w:val="28"/>
          <w:szCs w:val="28"/>
        </w:rPr>
        <w:t>二、机关运行经费支出情况</w:t>
      </w:r>
    </w:p>
    <w:p>
      <w:pPr>
        <w:pStyle w:val="2"/>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年度使用财政拨款安排的基本支出中的日常公用经费支出，合计</w:t>
      </w:r>
      <w:r>
        <w:rPr>
          <w:rFonts w:hint="eastAsia" w:ascii="仿宋_GB2312" w:eastAsia="仿宋_GB2312"/>
          <w:color w:val="auto"/>
          <w:sz w:val="28"/>
          <w:szCs w:val="28"/>
          <w:lang w:val="en-US" w:eastAsia="zh-CN"/>
        </w:rPr>
        <w:t>369.95</w:t>
      </w:r>
      <w:r>
        <w:rPr>
          <w:rFonts w:hint="eastAsia" w:ascii="仿宋_GB2312" w:eastAsia="仿宋_GB2312"/>
          <w:color w:val="auto"/>
          <w:sz w:val="28"/>
          <w:szCs w:val="28"/>
        </w:rPr>
        <w:t>万元，比上年增加</w:t>
      </w:r>
      <w:r>
        <w:rPr>
          <w:rFonts w:hint="eastAsia" w:ascii="仿宋_GB2312" w:eastAsia="仿宋_GB2312"/>
          <w:color w:val="auto"/>
          <w:sz w:val="28"/>
          <w:szCs w:val="28"/>
          <w:lang w:val="en-US" w:eastAsia="zh-CN"/>
        </w:rPr>
        <w:t>61.01</w:t>
      </w:r>
      <w:r>
        <w:rPr>
          <w:rFonts w:hint="eastAsia" w:ascii="仿宋_GB2312" w:eastAsia="仿宋_GB2312"/>
          <w:color w:val="auto"/>
          <w:sz w:val="28"/>
          <w:szCs w:val="28"/>
        </w:rPr>
        <w:t>万元，增加原因：办公经费增加。</w:t>
      </w:r>
    </w:p>
    <w:p>
      <w:pPr>
        <w:ind w:left="540"/>
        <w:rPr>
          <w:rFonts w:hint="eastAsia" w:ascii="黑体" w:eastAsia="黑体"/>
          <w:color w:val="auto"/>
          <w:sz w:val="28"/>
          <w:szCs w:val="28"/>
          <w:highlight w:val="none"/>
        </w:rPr>
      </w:pPr>
      <w:r>
        <w:rPr>
          <w:rFonts w:hint="eastAsia" w:ascii="黑体" w:eastAsia="黑体"/>
          <w:color w:val="auto"/>
          <w:sz w:val="28"/>
          <w:szCs w:val="28"/>
          <w:highlight w:val="none"/>
        </w:rPr>
        <w:t>三、政府采购支出情况</w:t>
      </w:r>
    </w:p>
    <w:p>
      <w:pPr>
        <w:ind w:firstLine="537" w:firstLineChars="192"/>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2024年度政府采购支出总额12391.0</w:t>
      </w:r>
      <w:r>
        <w:rPr>
          <w:rFonts w:hint="eastAsia" w:ascii="仿宋_GB2312" w:eastAsia="仿宋_GB2312"/>
          <w:color w:val="auto"/>
          <w:sz w:val="28"/>
          <w:szCs w:val="28"/>
          <w:highlight w:val="none"/>
          <w:lang w:val="en-US" w:eastAsia="zh-CN"/>
        </w:rPr>
        <w:t>6</w:t>
      </w:r>
      <w:r>
        <w:rPr>
          <w:rFonts w:hint="eastAsia" w:ascii="仿宋_GB2312" w:eastAsia="仿宋_GB2312"/>
          <w:color w:val="auto"/>
          <w:sz w:val="28"/>
          <w:szCs w:val="28"/>
          <w:highlight w:val="none"/>
        </w:rPr>
        <w:t>万元，其中：政府采购货物支出2366.53万元，政府采购工程支出4349.5</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万元，政府采购服务支出5674.9</w:t>
      </w:r>
      <w:r>
        <w:rPr>
          <w:rFonts w:hint="eastAsia" w:ascii="仿宋_GB2312" w:eastAsia="仿宋_GB2312"/>
          <w:color w:val="auto"/>
          <w:sz w:val="28"/>
          <w:szCs w:val="28"/>
          <w:highlight w:val="none"/>
          <w:lang w:val="en-US" w:eastAsia="zh-CN"/>
        </w:rPr>
        <w:t>9</w:t>
      </w:r>
      <w:r>
        <w:rPr>
          <w:rFonts w:hint="eastAsia" w:ascii="仿宋_GB2312" w:eastAsia="仿宋_GB2312"/>
          <w:color w:val="auto"/>
          <w:sz w:val="28"/>
          <w:szCs w:val="28"/>
          <w:highlight w:val="none"/>
        </w:rPr>
        <w:t>万元。授予中小企业合同金额6234.15元，占政府采购支出总额的</w:t>
      </w:r>
      <w:r>
        <w:rPr>
          <w:rFonts w:hint="eastAsia" w:ascii="仿宋_GB2312" w:eastAsia="仿宋_GB2312"/>
          <w:color w:val="auto"/>
          <w:sz w:val="28"/>
          <w:szCs w:val="28"/>
          <w:highlight w:val="none"/>
          <w:lang w:val="en-US" w:eastAsia="zh-CN"/>
        </w:rPr>
        <w:t>50.31</w:t>
      </w:r>
      <w:r>
        <w:rPr>
          <w:rFonts w:hint="eastAsia" w:ascii="仿宋_GB2312" w:eastAsia="仿宋_GB2312"/>
          <w:color w:val="auto"/>
          <w:sz w:val="28"/>
          <w:szCs w:val="28"/>
          <w:highlight w:val="none"/>
        </w:rPr>
        <w:t>%，其中：授予小微企业合同金额5657.3</w:t>
      </w:r>
      <w:r>
        <w:rPr>
          <w:rFonts w:hint="eastAsia" w:ascii="仿宋_GB2312" w:eastAsia="仿宋_GB2312"/>
          <w:color w:val="auto"/>
          <w:sz w:val="28"/>
          <w:szCs w:val="28"/>
          <w:highlight w:val="none"/>
          <w:lang w:val="en-US" w:eastAsia="zh-CN"/>
        </w:rPr>
        <w:t>2</w:t>
      </w:r>
      <w:r>
        <w:rPr>
          <w:rFonts w:hint="eastAsia" w:ascii="仿宋_GB2312" w:eastAsia="仿宋_GB2312"/>
          <w:color w:val="auto"/>
          <w:sz w:val="28"/>
          <w:szCs w:val="28"/>
          <w:highlight w:val="none"/>
        </w:rPr>
        <w:t>万元，占政府采购支出总额的</w:t>
      </w:r>
      <w:r>
        <w:rPr>
          <w:rFonts w:hint="eastAsia" w:ascii="仿宋_GB2312" w:eastAsia="仿宋_GB2312"/>
          <w:color w:val="auto"/>
          <w:sz w:val="28"/>
          <w:szCs w:val="28"/>
          <w:highlight w:val="none"/>
          <w:lang w:val="en-US" w:eastAsia="zh-CN"/>
        </w:rPr>
        <w:t>45.66</w:t>
      </w:r>
      <w:r>
        <w:rPr>
          <w:rFonts w:hint="eastAsia" w:ascii="仿宋_GB2312" w:eastAsia="仿宋_GB2312"/>
          <w:color w:val="auto"/>
          <w:sz w:val="28"/>
          <w:szCs w:val="28"/>
          <w:highlight w:val="none"/>
        </w:rPr>
        <w:t>%。</w:t>
      </w:r>
    </w:p>
    <w:p>
      <w:pPr>
        <w:ind w:firstLine="560" w:firstLineChars="200"/>
        <w:rPr>
          <w:rFonts w:hint="eastAsia" w:ascii="黑体" w:eastAsia="黑体"/>
          <w:color w:val="auto"/>
          <w:sz w:val="28"/>
          <w:szCs w:val="28"/>
        </w:rPr>
      </w:pPr>
      <w:r>
        <w:rPr>
          <w:rFonts w:hint="eastAsia" w:ascii="黑体" w:eastAsia="黑体"/>
          <w:color w:val="auto"/>
          <w:sz w:val="28"/>
          <w:szCs w:val="28"/>
        </w:rPr>
        <w:t>四、国有资产占用情况</w:t>
      </w:r>
    </w:p>
    <w:p>
      <w:pPr>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2024年度新购置车辆</w:t>
      </w:r>
      <w:r>
        <w:rPr>
          <w:rFonts w:hint="eastAsia" w:ascii="仿宋_GB2312" w:eastAsia="仿宋_GB2312"/>
          <w:color w:val="auto"/>
          <w:sz w:val="28"/>
          <w:szCs w:val="28"/>
          <w:lang w:val="en-US" w:eastAsia="zh-CN"/>
        </w:rPr>
        <w:t>1</w:t>
      </w:r>
      <w:r>
        <w:rPr>
          <w:rFonts w:hint="eastAsia" w:ascii="仿宋_GB2312" w:eastAsia="仿宋_GB2312"/>
          <w:color w:val="auto"/>
          <w:sz w:val="28"/>
          <w:szCs w:val="28"/>
        </w:rPr>
        <w:t>台，共计</w:t>
      </w:r>
      <w:r>
        <w:rPr>
          <w:rFonts w:hint="eastAsia" w:ascii="仿宋_GB2312" w:eastAsia="仿宋_GB2312"/>
          <w:color w:val="auto"/>
          <w:sz w:val="28"/>
          <w:szCs w:val="28"/>
          <w:lang w:val="en-US" w:eastAsia="zh-CN"/>
        </w:rPr>
        <w:t>17.98</w:t>
      </w:r>
      <w:r>
        <w:rPr>
          <w:rFonts w:hint="eastAsia" w:ascii="仿宋_GB2312" w:eastAsia="仿宋_GB2312"/>
          <w:color w:val="auto"/>
          <w:sz w:val="28"/>
          <w:szCs w:val="28"/>
        </w:rPr>
        <w:t>万元；新购置单位价值100万元以上的设备</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台，共计</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万元。截至2024年底，本部门固定资产总额</w:t>
      </w:r>
      <w:r>
        <w:rPr>
          <w:rFonts w:hint="eastAsia" w:ascii="仿宋_GB2312" w:eastAsia="仿宋_GB2312"/>
          <w:color w:val="auto"/>
          <w:sz w:val="28"/>
          <w:szCs w:val="28"/>
          <w:lang w:val="en-US" w:eastAsia="zh-CN"/>
        </w:rPr>
        <w:t>24625.96</w:t>
      </w:r>
      <w:r>
        <w:rPr>
          <w:rFonts w:hint="eastAsia" w:ascii="仿宋_GB2312" w:eastAsia="仿宋_GB2312"/>
          <w:color w:val="auto"/>
          <w:sz w:val="28"/>
          <w:szCs w:val="28"/>
        </w:rPr>
        <w:t>万元，其中车辆</w:t>
      </w:r>
      <w:r>
        <w:rPr>
          <w:rFonts w:hint="eastAsia" w:ascii="仿宋_GB2312" w:eastAsia="仿宋_GB2312"/>
          <w:color w:val="auto"/>
          <w:sz w:val="28"/>
          <w:szCs w:val="28"/>
          <w:lang w:val="en-US" w:eastAsia="zh-CN"/>
        </w:rPr>
        <w:t>25</w:t>
      </w:r>
      <w:r>
        <w:rPr>
          <w:rFonts w:hint="eastAsia" w:ascii="仿宋_GB2312" w:eastAsia="仿宋_GB2312"/>
          <w:color w:val="auto"/>
          <w:sz w:val="28"/>
          <w:szCs w:val="28"/>
        </w:rPr>
        <w:t>台，共计</w:t>
      </w:r>
      <w:r>
        <w:rPr>
          <w:rFonts w:hint="eastAsia" w:ascii="仿宋_GB2312" w:eastAsia="仿宋_GB2312"/>
          <w:color w:val="auto"/>
          <w:sz w:val="28"/>
          <w:szCs w:val="28"/>
          <w:lang w:val="en-US" w:eastAsia="zh-CN"/>
        </w:rPr>
        <w:t>445.2</w:t>
      </w:r>
      <w:r>
        <w:rPr>
          <w:rFonts w:hint="eastAsia" w:ascii="仿宋_GB2312" w:eastAsia="仿宋_GB2312"/>
          <w:color w:val="auto"/>
          <w:sz w:val="28"/>
          <w:szCs w:val="28"/>
        </w:rPr>
        <w:t>万元；单位价值100万元以上的设备</w:t>
      </w:r>
      <w:r>
        <w:rPr>
          <w:rFonts w:hint="eastAsia" w:ascii="仿宋_GB2312" w:eastAsia="仿宋_GB2312"/>
          <w:color w:val="auto"/>
          <w:sz w:val="28"/>
          <w:szCs w:val="28"/>
          <w:lang w:val="en-US" w:eastAsia="zh-CN"/>
        </w:rPr>
        <w:t>5</w:t>
      </w:r>
      <w:r>
        <w:rPr>
          <w:rFonts w:hint="eastAsia" w:ascii="仿宋_GB2312" w:eastAsia="仿宋_GB2312"/>
          <w:color w:val="auto"/>
          <w:sz w:val="28"/>
          <w:szCs w:val="28"/>
        </w:rPr>
        <w:t>台，共计</w:t>
      </w:r>
      <w:r>
        <w:rPr>
          <w:rFonts w:hint="eastAsia" w:ascii="仿宋_GB2312" w:eastAsia="仿宋_GB2312"/>
          <w:color w:val="auto"/>
          <w:sz w:val="28"/>
          <w:szCs w:val="28"/>
          <w:lang w:val="en-US" w:eastAsia="zh-CN"/>
        </w:rPr>
        <w:t>1136.2</w:t>
      </w:r>
      <w:r>
        <w:rPr>
          <w:rFonts w:hint="eastAsia" w:ascii="仿宋_GB2312" w:eastAsia="仿宋_GB2312"/>
          <w:color w:val="auto"/>
          <w:sz w:val="28"/>
          <w:szCs w:val="28"/>
        </w:rPr>
        <w:t>万元。</w:t>
      </w:r>
    </w:p>
    <w:p>
      <w:pPr>
        <w:ind w:firstLine="560" w:firstLineChars="200"/>
        <w:rPr>
          <w:rFonts w:hint="eastAsia" w:ascii="仿宋_GB2312" w:eastAsia="仿宋_GB2312"/>
          <w:color w:val="auto"/>
          <w:sz w:val="28"/>
          <w:szCs w:val="28"/>
          <w:highlight w:val="none"/>
        </w:rPr>
      </w:pPr>
      <w:r>
        <w:rPr>
          <w:rFonts w:hint="eastAsia" w:ascii="黑体" w:eastAsia="黑体"/>
          <w:color w:val="auto"/>
          <w:sz w:val="28"/>
          <w:szCs w:val="28"/>
          <w:highlight w:val="none"/>
        </w:rPr>
        <w:t>五</w:t>
      </w:r>
      <w:r>
        <w:rPr>
          <w:rFonts w:ascii="黑体" w:eastAsia="黑体"/>
          <w:color w:val="auto"/>
          <w:sz w:val="28"/>
          <w:szCs w:val="28"/>
          <w:highlight w:val="none"/>
        </w:rPr>
        <w:t>、</w:t>
      </w:r>
      <w:r>
        <w:rPr>
          <w:rFonts w:hint="eastAsia" w:ascii="黑体" w:eastAsia="黑体"/>
          <w:color w:val="auto"/>
          <w:sz w:val="28"/>
          <w:szCs w:val="28"/>
          <w:highlight w:val="none"/>
        </w:rPr>
        <w:t>绩效评价结果情况</w:t>
      </w:r>
    </w:p>
    <w:p>
      <w:pPr>
        <w:spacing w:line="560" w:lineRule="exact"/>
        <w:ind w:firstLine="560" w:firstLineChars="200"/>
        <w:rPr>
          <w:rFonts w:hint="eastAsia" w:ascii="仿宋_GB2312" w:eastAsia="仿宋_GB2312"/>
          <w:color w:val="auto"/>
          <w:sz w:val="28"/>
          <w:szCs w:val="28"/>
          <w:highlight w:val="none"/>
        </w:rPr>
      </w:pPr>
      <w:r>
        <w:rPr>
          <w:rFonts w:ascii="仿宋_GB2312" w:eastAsia="仿宋_GB2312"/>
          <w:color w:val="auto"/>
          <w:sz w:val="28"/>
          <w:szCs w:val="28"/>
          <w:highlight w:val="none"/>
        </w:rPr>
        <w:t>本部门对202</w:t>
      </w:r>
      <w:r>
        <w:rPr>
          <w:rFonts w:hint="eastAsia" w:ascii="仿宋_GB2312" w:eastAsia="仿宋_GB2312"/>
          <w:color w:val="auto"/>
          <w:sz w:val="28"/>
          <w:szCs w:val="28"/>
          <w:highlight w:val="none"/>
          <w:lang w:val="en-US" w:eastAsia="zh-CN"/>
        </w:rPr>
        <w:t>4</w:t>
      </w:r>
      <w:r>
        <w:rPr>
          <w:rFonts w:ascii="仿宋_GB2312" w:eastAsia="仿宋_GB2312"/>
          <w:color w:val="auto"/>
          <w:sz w:val="28"/>
          <w:szCs w:val="28"/>
          <w:highlight w:val="none"/>
        </w:rPr>
        <w:t>年度部门</w:t>
      </w:r>
      <w:r>
        <w:rPr>
          <w:rFonts w:hint="eastAsia" w:ascii="仿宋_GB2312" w:eastAsia="仿宋_GB2312"/>
          <w:color w:val="auto"/>
          <w:sz w:val="28"/>
          <w:szCs w:val="28"/>
          <w:highlight w:val="none"/>
          <w:lang w:val="en-US" w:eastAsia="zh-CN"/>
        </w:rPr>
        <w:t>及</w:t>
      </w:r>
      <w:r>
        <w:rPr>
          <w:rFonts w:ascii="仿宋_GB2312" w:eastAsia="仿宋_GB2312"/>
          <w:color w:val="auto"/>
          <w:sz w:val="28"/>
          <w:szCs w:val="28"/>
          <w:highlight w:val="none"/>
        </w:rPr>
        <w:t>单位项目支出实施了绩效评价，</w:t>
      </w:r>
      <w:r>
        <w:rPr>
          <w:rFonts w:hint="eastAsia" w:ascii="仿宋_GB2312" w:eastAsia="仿宋_GB2312"/>
          <w:color w:val="auto"/>
          <w:sz w:val="28"/>
          <w:szCs w:val="28"/>
          <w:highlight w:val="none"/>
        </w:rPr>
        <w:t>其中，部门评价项目1个</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涉及金额433.44万元</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评价得分85分</w:t>
      </w:r>
      <w:r>
        <w:rPr>
          <w:rFonts w:hint="eastAsia" w:ascii="仿宋_GB2312" w:eastAsia="仿宋_GB2312"/>
          <w:color w:val="auto"/>
          <w:sz w:val="28"/>
          <w:szCs w:val="28"/>
          <w:highlight w:val="none"/>
        </w:rPr>
        <w:t>；单位自评</w:t>
      </w:r>
      <w:r>
        <w:rPr>
          <w:rFonts w:hint="eastAsia" w:ascii="仿宋_GB2312" w:eastAsia="仿宋_GB2312"/>
          <w:color w:val="auto"/>
          <w:sz w:val="28"/>
          <w:szCs w:val="28"/>
          <w:highlight w:val="none"/>
          <w:lang w:val="en-US" w:eastAsia="zh-CN"/>
        </w:rPr>
        <w:t>项目212</w:t>
      </w:r>
      <w:r>
        <w:rPr>
          <w:rFonts w:ascii="仿宋_GB2312" w:eastAsia="仿宋_GB2312"/>
          <w:color w:val="auto"/>
          <w:sz w:val="28"/>
          <w:szCs w:val="28"/>
          <w:highlight w:val="none"/>
        </w:rPr>
        <w:t>个，涉及金额</w:t>
      </w:r>
      <w:r>
        <w:rPr>
          <w:rFonts w:hint="eastAsia" w:ascii="仿宋_GB2312" w:eastAsia="仿宋_GB2312"/>
          <w:color w:val="auto"/>
          <w:sz w:val="28"/>
          <w:szCs w:val="28"/>
          <w:highlight w:val="none"/>
          <w:lang w:val="en-US" w:eastAsia="zh-CN"/>
        </w:rPr>
        <w:t>33747.06</w:t>
      </w:r>
      <w:r>
        <w:rPr>
          <w:rFonts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w:t>
      </w:r>
      <w:bookmarkStart w:id="11" w:name="OLE_LINK12"/>
      <w:r>
        <w:rPr>
          <w:rFonts w:hint="eastAsia" w:ascii="仿宋_GB2312" w:eastAsia="仿宋_GB2312"/>
          <w:color w:val="auto"/>
          <w:sz w:val="28"/>
          <w:szCs w:val="28"/>
          <w:highlight w:val="none"/>
          <w:lang w:val="en-US" w:eastAsia="zh-CN"/>
        </w:rPr>
        <w:t>评价得分在90分（含90分）以上的210个</w:t>
      </w:r>
      <w:bookmarkEnd w:id="11"/>
      <w:r>
        <w:rPr>
          <w:rFonts w:hint="eastAsia" w:ascii="仿宋_GB2312" w:eastAsia="仿宋_GB2312"/>
          <w:color w:val="auto"/>
          <w:sz w:val="28"/>
          <w:szCs w:val="28"/>
          <w:highlight w:val="none"/>
          <w:lang w:val="en-US" w:eastAsia="zh-CN"/>
        </w:rPr>
        <w:t>、评价得分在80-90分（含80分）的2个，</w:t>
      </w:r>
      <w:bookmarkStart w:id="12" w:name="OLE_LINK13"/>
      <w:r>
        <w:rPr>
          <w:rFonts w:hint="eastAsia" w:ascii="仿宋_GB2312" w:eastAsia="仿宋_GB2312"/>
          <w:color w:val="auto"/>
          <w:sz w:val="28"/>
          <w:szCs w:val="28"/>
          <w:highlight w:val="none"/>
          <w:lang w:val="en-US" w:eastAsia="zh-CN"/>
        </w:rPr>
        <w:t>评价得分在60-80分</w:t>
      </w:r>
      <w:bookmarkEnd w:id="12"/>
      <w:r>
        <w:rPr>
          <w:rFonts w:hint="eastAsia" w:ascii="仿宋_GB2312" w:eastAsia="仿宋_GB2312"/>
          <w:color w:val="auto"/>
          <w:sz w:val="28"/>
          <w:szCs w:val="28"/>
          <w:highlight w:val="none"/>
          <w:lang w:val="en-US" w:eastAsia="zh-CN"/>
        </w:rPr>
        <w:t>（含60分）的0个，评价得分在60分以下的0个</w:t>
      </w:r>
      <w:r>
        <w:rPr>
          <w:rFonts w:ascii="仿宋_GB2312" w:eastAsia="仿宋_GB2312"/>
          <w:color w:val="auto"/>
          <w:sz w:val="28"/>
          <w:szCs w:val="28"/>
          <w:highlight w:val="none"/>
        </w:rPr>
        <w:t>。</w:t>
      </w:r>
    </w:p>
    <w:p>
      <w:pPr>
        <w:spacing w:line="560" w:lineRule="exact"/>
        <w:ind w:firstLine="560" w:firstLineChars="200"/>
        <w:rPr>
          <w:rFonts w:hint="eastAsia" w:ascii="仿宋_GB2312" w:eastAsia="仿宋_GB2312"/>
          <w:color w:val="auto"/>
          <w:sz w:val="28"/>
          <w:szCs w:val="28"/>
        </w:rPr>
      </w:pPr>
      <w:r>
        <w:rPr>
          <w:rFonts w:hint="eastAsia" w:ascii="黑体" w:eastAsia="黑体"/>
          <w:color w:val="auto"/>
          <w:sz w:val="28"/>
          <w:szCs w:val="28"/>
        </w:rPr>
        <w:t>六</w:t>
      </w:r>
      <w:r>
        <w:rPr>
          <w:rFonts w:ascii="黑体" w:eastAsia="黑体"/>
          <w:color w:val="auto"/>
          <w:sz w:val="28"/>
          <w:szCs w:val="28"/>
        </w:rPr>
        <w:t>、</w:t>
      </w:r>
      <w:r>
        <w:rPr>
          <w:rFonts w:hint="eastAsia" w:ascii="黑体" w:eastAsia="黑体"/>
          <w:color w:val="auto"/>
          <w:sz w:val="28"/>
          <w:szCs w:val="28"/>
        </w:rPr>
        <w:t>重点行政事业性收费情况</w:t>
      </w:r>
    </w:p>
    <w:p>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_GB2312" w:eastAsia="仿宋_GB2312"/>
          <w:color w:val="auto"/>
          <w:sz w:val="28"/>
          <w:szCs w:val="28"/>
        </w:rPr>
      </w:pPr>
      <w:r>
        <w:rPr>
          <w:rFonts w:hint="eastAsia" w:ascii="仿宋_GB2312" w:eastAsia="仿宋_GB2312"/>
          <w:color w:val="auto"/>
          <w:sz w:val="28"/>
          <w:szCs w:val="28"/>
        </w:rPr>
        <w:t>本年度无重点行政事业性收费。</w:t>
      </w:r>
      <w:bookmarkStart w:id="63" w:name="_GoBack"/>
      <w:bookmarkEnd w:id="63"/>
    </w:p>
    <w:p>
      <w:pPr>
        <w:spacing w:line="560" w:lineRule="exact"/>
        <w:ind w:firstLine="560" w:firstLineChars="200"/>
        <w:rPr>
          <w:rFonts w:hint="eastAsia" w:ascii="仿宋_GB2312" w:eastAsia="仿宋_GB2312"/>
          <w:color w:val="auto"/>
          <w:sz w:val="28"/>
          <w:szCs w:val="28"/>
        </w:rPr>
      </w:pPr>
      <w:r>
        <w:rPr>
          <w:rFonts w:hint="eastAsia" w:ascii="黑体" w:eastAsia="黑体"/>
          <w:color w:val="auto"/>
          <w:sz w:val="28"/>
          <w:szCs w:val="28"/>
        </w:rPr>
        <w:t>七</w:t>
      </w:r>
      <w:r>
        <w:rPr>
          <w:rFonts w:ascii="黑体" w:eastAsia="黑体"/>
          <w:color w:val="auto"/>
          <w:sz w:val="28"/>
          <w:szCs w:val="28"/>
        </w:rPr>
        <w:t>、政府购买服务</w:t>
      </w:r>
      <w:r>
        <w:rPr>
          <w:rFonts w:hint="eastAsia" w:ascii="黑体" w:eastAsia="黑体"/>
          <w:color w:val="auto"/>
          <w:sz w:val="28"/>
          <w:szCs w:val="28"/>
        </w:rPr>
        <w:t>支出</w:t>
      </w:r>
      <w:r>
        <w:rPr>
          <w:rFonts w:ascii="黑体" w:eastAsia="黑体"/>
          <w:color w:val="auto"/>
          <w:sz w:val="28"/>
          <w:szCs w:val="28"/>
        </w:rPr>
        <w:t>说明</w:t>
      </w:r>
    </w:p>
    <w:p>
      <w:pPr>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年度政府购买服务决算项目金额</w:t>
      </w:r>
      <w:r>
        <w:rPr>
          <w:rFonts w:hint="eastAsia" w:ascii="仿宋_GB2312" w:eastAsia="仿宋_GB2312"/>
          <w:color w:val="auto"/>
          <w:sz w:val="28"/>
          <w:szCs w:val="28"/>
          <w:lang w:val="en-US" w:eastAsia="zh-CN"/>
        </w:rPr>
        <w:t>1087.53</w:t>
      </w:r>
      <w:r>
        <w:rPr>
          <w:rFonts w:hint="eastAsia" w:ascii="仿宋_GB2312" w:eastAsia="仿宋_GB2312"/>
          <w:color w:val="auto"/>
          <w:sz w:val="28"/>
          <w:szCs w:val="28"/>
        </w:rPr>
        <w:t>万元。其中，公共服务</w:t>
      </w:r>
      <w:r>
        <w:rPr>
          <w:rFonts w:hint="eastAsia" w:ascii="仿宋_GB2312" w:eastAsia="仿宋_GB2312"/>
          <w:color w:val="auto"/>
          <w:sz w:val="28"/>
          <w:szCs w:val="28"/>
          <w:lang w:val="en-US" w:eastAsia="zh-CN"/>
        </w:rPr>
        <w:t>604.14</w:t>
      </w:r>
      <w:r>
        <w:rPr>
          <w:rFonts w:hint="eastAsia" w:ascii="仿宋_GB2312" w:eastAsia="仿宋_GB2312"/>
          <w:color w:val="auto"/>
          <w:sz w:val="28"/>
          <w:szCs w:val="28"/>
        </w:rPr>
        <w:t>万元，政府履职辅助性服务</w:t>
      </w:r>
      <w:r>
        <w:rPr>
          <w:rFonts w:hint="eastAsia" w:ascii="仿宋_GB2312" w:eastAsia="仿宋_GB2312"/>
          <w:color w:val="auto"/>
          <w:sz w:val="28"/>
          <w:szCs w:val="28"/>
          <w:lang w:val="en-US" w:eastAsia="zh-CN"/>
        </w:rPr>
        <w:t>483.39</w:t>
      </w:r>
      <w:r>
        <w:rPr>
          <w:rFonts w:hint="eastAsia" w:ascii="仿宋_GB2312" w:eastAsia="仿宋_GB2312"/>
          <w:color w:val="auto"/>
          <w:sz w:val="28"/>
          <w:szCs w:val="28"/>
        </w:rPr>
        <w:t>万元。</w:t>
      </w:r>
    </w:p>
    <w:p>
      <w:pPr>
        <w:ind w:firstLine="560" w:firstLineChars="200"/>
        <w:rPr>
          <w:rFonts w:hint="eastAsia" w:ascii="仿宋_GB2312" w:eastAsia="仿宋_GB2312"/>
          <w:color w:val="auto"/>
          <w:sz w:val="28"/>
          <w:szCs w:val="28"/>
        </w:rPr>
      </w:pPr>
      <w:r>
        <w:rPr>
          <w:rFonts w:hint="eastAsia" w:ascii="黑体" w:eastAsia="黑体"/>
          <w:color w:val="auto"/>
          <w:sz w:val="28"/>
          <w:szCs w:val="28"/>
        </w:rPr>
        <w:t>八、</w:t>
      </w:r>
      <w:r>
        <w:rPr>
          <w:rFonts w:ascii="黑体" w:eastAsia="黑体"/>
          <w:color w:val="auto"/>
          <w:sz w:val="28"/>
          <w:szCs w:val="28"/>
        </w:rPr>
        <w:t>专业名词解释</w:t>
      </w:r>
    </w:p>
    <w:p>
      <w:pPr>
        <w:ind w:firstLine="420" w:firstLineChars="150"/>
        <w:rPr>
          <w:rFonts w:hint="eastAsia" w:ascii="仿宋_GB2312" w:eastAsia="仿宋_GB2312"/>
          <w:color w:val="auto"/>
          <w:sz w:val="28"/>
          <w:szCs w:val="28"/>
        </w:rPr>
      </w:pPr>
      <w:r>
        <w:rPr>
          <w:rFonts w:hint="eastAsia" w:ascii="仿宋_GB2312" w:eastAsia="仿宋_GB2312"/>
          <w:color w:val="auto"/>
          <w:sz w:val="28"/>
          <w:szCs w:val="28"/>
        </w:rPr>
        <w:t>1.基本支出：指为保障机构正常运转、完成日常工作任务而发生的人员支出和公用支出。</w:t>
      </w:r>
    </w:p>
    <w:p>
      <w:pPr>
        <w:ind w:firstLine="420" w:firstLineChars="150"/>
        <w:rPr>
          <w:rFonts w:hint="eastAsia" w:ascii="仿宋_GB2312" w:eastAsia="仿宋_GB2312"/>
          <w:color w:val="auto"/>
          <w:sz w:val="28"/>
          <w:szCs w:val="28"/>
        </w:rPr>
      </w:pPr>
      <w:r>
        <w:rPr>
          <w:rFonts w:hint="eastAsia" w:ascii="仿宋_GB2312" w:eastAsia="仿宋_GB2312"/>
          <w:color w:val="auto"/>
          <w:sz w:val="28"/>
          <w:szCs w:val="28"/>
        </w:rPr>
        <w:t>2.项目支出：指在基本支出之外为完成特定行政任务或事业发展目标所发生的支出。</w:t>
      </w:r>
    </w:p>
    <w:p>
      <w:pPr>
        <w:ind w:firstLine="420" w:firstLineChars="150"/>
        <w:rPr>
          <w:rFonts w:hint="eastAsia" w:ascii="仿宋_GB2312" w:eastAsia="仿宋_GB2312"/>
          <w:color w:val="auto"/>
          <w:sz w:val="28"/>
          <w:szCs w:val="28"/>
        </w:rPr>
      </w:pPr>
      <w:r>
        <w:rPr>
          <w:rFonts w:hint="eastAsia" w:ascii="仿宋_GB2312" w:eastAsia="仿宋_GB2312"/>
          <w:color w:val="auto"/>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hint="eastAsia" w:ascii="仿宋_GB2312" w:eastAsia="仿宋_GB2312"/>
          <w:color w:val="auto"/>
          <w:sz w:val="28"/>
          <w:szCs w:val="28"/>
        </w:rPr>
      </w:pPr>
      <w:r>
        <w:rPr>
          <w:rFonts w:hint="eastAsia" w:ascii="仿宋_GB2312" w:eastAsia="仿宋_GB2312"/>
          <w:color w:val="auto"/>
          <w:sz w:val="28"/>
          <w:szCs w:val="28"/>
        </w:rPr>
        <w:t xml:space="preserve"> 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color w:val="auto"/>
          <w:sz w:val="28"/>
          <w:szCs w:val="28"/>
        </w:rPr>
      </w:pPr>
      <w:r>
        <w:rPr>
          <w:rFonts w:hint="eastAsia" w:ascii="仿宋_GB2312" w:eastAsia="仿宋_GB2312"/>
          <w:color w:val="auto"/>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pPr>
        <w:ind w:firstLine="420" w:firstLineChars="150"/>
        <w:rPr>
          <w:rFonts w:hint="eastAsia" w:ascii="仿宋_GB2312" w:eastAsia="仿宋_GB2312"/>
          <w:color w:val="auto"/>
          <w:sz w:val="28"/>
          <w:szCs w:val="28"/>
        </w:rPr>
      </w:pPr>
      <w:r>
        <w:rPr>
          <w:rFonts w:hint="eastAsia" w:ascii="仿宋_GB2312" w:eastAsia="仿宋_GB2312"/>
          <w:color w:val="auto"/>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color w:val="auto"/>
          <w:sz w:val="28"/>
          <w:szCs w:val="28"/>
        </w:rPr>
      </w:pPr>
      <w:r>
        <w:rPr>
          <w:rFonts w:hint="eastAsia" w:ascii="仿宋_GB2312" w:eastAsia="仿宋_GB2312"/>
          <w:color w:val="auto"/>
          <w:sz w:val="28"/>
          <w:szCs w:val="28"/>
        </w:rPr>
        <w:t>7.事业收入：事业收入是指事业单位开展专业业务活动及辅助活动所取得的收入。其中，专业业务活动是指事业单位根据本单位专业特点所从事或开展的主要业务活动，如文化事业单位的演出活动、科研事业单位的科研活动、教育事业单位的教育活动、医疗事业单位的医疗保健活动等。辅助活动是指与其专业业务活动相关的、直接为专业业务活动服务的单位行政管理活动、后勤服务活动以及其他有关活动。</w:t>
      </w:r>
    </w:p>
    <w:p>
      <w:pPr>
        <w:ind w:firstLine="420" w:firstLineChars="150"/>
        <w:rPr>
          <w:rFonts w:hint="eastAsia" w:ascii="仿宋_GB2312" w:eastAsia="仿宋_GB2312"/>
          <w:color w:val="auto"/>
          <w:sz w:val="28"/>
          <w:szCs w:val="28"/>
        </w:rPr>
      </w:pPr>
      <w:r>
        <w:rPr>
          <w:rFonts w:hint="eastAsia" w:ascii="仿宋_GB2312" w:eastAsia="仿宋_GB2312"/>
          <w:color w:val="auto"/>
          <w:sz w:val="28"/>
          <w:szCs w:val="28"/>
        </w:rPr>
        <w:t>8.商品服务支出：反映单位购买商品和服务的支出，不包括用于购置固定资产、战略性和应急性物资储备等资本性支出。</w:t>
      </w:r>
    </w:p>
    <w:p>
      <w:pPr>
        <w:pStyle w:val="2"/>
        <w:rPr>
          <w:rFonts w:hint="eastAsia"/>
        </w:rPr>
      </w:pPr>
    </w:p>
    <w:p>
      <w:pPr>
        <w:tabs>
          <w:tab w:val="center" w:pos="6979"/>
        </w:tabs>
        <w:spacing w:before="156" w:beforeLines="50" w:after="156" w:afterLines="50"/>
        <w:jc w:val="center"/>
        <w:rPr>
          <w:rFonts w:hint="eastAsia" w:ascii="宋体" w:hAnsi="宋体" w:cs="宋体"/>
          <w:b/>
          <w:bCs/>
          <w:color w:val="0000FF"/>
          <w:spacing w:val="40"/>
          <w:kern w:val="0"/>
          <w:sz w:val="32"/>
          <w:szCs w:val="32"/>
        </w:rPr>
      </w:pPr>
    </w:p>
    <w:p>
      <w:pPr>
        <w:tabs>
          <w:tab w:val="center" w:pos="6979"/>
        </w:tabs>
        <w:spacing w:before="156" w:beforeLines="50" w:after="156" w:afterLines="50"/>
        <w:jc w:val="center"/>
        <w:rPr>
          <w:rFonts w:hint="eastAsia" w:ascii="宋体" w:hAnsi="宋体" w:cs="宋体"/>
          <w:b/>
          <w:bCs/>
          <w:color w:val="0000FF"/>
          <w:spacing w:val="40"/>
          <w:kern w:val="0"/>
          <w:sz w:val="32"/>
          <w:szCs w:val="32"/>
        </w:rPr>
      </w:pPr>
    </w:p>
    <w:p>
      <w:pPr>
        <w:tabs>
          <w:tab w:val="center" w:pos="6979"/>
        </w:tabs>
        <w:spacing w:before="156" w:beforeLines="50" w:after="156" w:afterLines="50"/>
        <w:jc w:val="center"/>
        <w:rPr>
          <w:rFonts w:hint="eastAsia" w:ascii="宋体" w:hAnsi="宋体" w:cs="宋体"/>
          <w:b/>
          <w:bCs/>
          <w:color w:val="0000FF"/>
          <w:spacing w:val="40"/>
          <w:kern w:val="0"/>
          <w:sz w:val="32"/>
          <w:szCs w:val="32"/>
        </w:rPr>
      </w:pPr>
    </w:p>
    <w:p>
      <w:pPr>
        <w:tabs>
          <w:tab w:val="center" w:pos="6979"/>
        </w:tabs>
        <w:spacing w:before="156" w:beforeLines="50" w:after="156" w:afterLines="50"/>
        <w:jc w:val="center"/>
        <w:rPr>
          <w:rFonts w:hint="eastAsia" w:ascii="宋体" w:hAnsi="宋体" w:cs="宋体"/>
          <w:b/>
          <w:bCs/>
          <w:color w:val="0000FF"/>
          <w:spacing w:val="40"/>
          <w:kern w:val="0"/>
          <w:sz w:val="32"/>
          <w:szCs w:val="32"/>
        </w:rPr>
      </w:pPr>
    </w:p>
    <w:p>
      <w:pPr>
        <w:tabs>
          <w:tab w:val="center" w:pos="6979"/>
        </w:tabs>
        <w:spacing w:before="156" w:beforeLines="50" w:after="156" w:afterLines="50"/>
        <w:jc w:val="center"/>
        <w:rPr>
          <w:rFonts w:hint="eastAsia" w:ascii="宋体" w:hAnsi="宋体" w:cs="宋体"/>
          <w:b/>
          <w:bCs/>
          <w:color w:val="0000FF"/>
          <w:spacing w:val="40"/>
          <w:kern w:val="0"/>
          <w:sz w:val="32"/>
          <w:szCs w:val="32"/>
        </w:rPr>
      </w:pPr>
    </w:p>
    <w:p>
      <w:pPr>
        <w:tabs>
          <w:tab w:val="center" w:pos="6979"/>
        </w:tabs>
        <w:spacing w:before="156" w:beforeLines="50" w:after="156" w:afterLines="50"/>
        <w:jc w:val="center"/>
        <w:rPr>
          <w:rFonts w:hint="eastAsia" w:ascii="宋体" w:hAnsi="宋体" w:eastAsia="宋体" w:cs="宋体"/>
          <w:b/>
          <w:bCs/>
          <w:color w:val="0000FF"/>
          <w:spacing w:val="40"/>
          <w:kern w:val="0"/>
          <w:sz w:val="32"/>
          <w:szCs w:val="32"/>
          <w:highlight w:val="none"/>
        </w:rPr>
      </w:pPr>
    </w:p>
    <w:p>
      <w:pPr>
        <w:tabs>
          <w:tab w:val="center" w:pos="6979"/>
        </w:tabs>
        <w:jc w:val="center"/>
        <w:rPr>
          <w:rFonts w:hint="eastAsia" w:ascii="宋体" w:hAnsi="宋体" w:eastAsia="宋体" w:cs="宋体"/>
          <w:b/>
          <w:bCs/>
          <w:color w:val="auto"/>
          <w:spacing w:val="40"/>
          <w:kern w:val="0"/>
          <w:sz w:val="32"/>
          <w:szCs w:val="32"/>
          <w:highlight w:val="none"/>
        </w:rPr>
      </w:pPr>
    </w:p>
    <w:p>
      <w:pPr>
        <w:tabs>
          <w:tab w:val="center" w:pos="6979"/>
        </w:tabs>
        <w:jc w:val="center"/>
        <w:rPr>
          <w:rFonts w:hint="eastAsia" w:ascii="宋体" w:hAnsi="宋体" w:eastAsia="宋体" w:cs="宋体"/>
          <w:b/>
          <w:bCs/>
          <w:color w:val="auto"/>
          <w:spacing w:val="40"/>
          <w:kern w:val="0"/>
          <w:sz w:val="32"/>
          <w:szCs w:val="32"/>
          <w:highlight w:val="none"/>
        </w:rPr>
      </w:pPr>
      <w:r>
        <w:rPr>
          <w:rFonts w:hint="eastAsia" w:ascii="宋体" w:hAnsi="宋体" w:eastAsia="宋体" w:cs="宋体"/>
          <w:b/>
          <w:bCs/>
          <w:color w:val="auto"/>
          <w:spacing w:val="40"/>
          <w:kern w:val="0"/>
          <w:sz w:val="32"/>
          <w:szCs w:val="32"/>
          <w:highlight w:val="none"/>
        </w:rPr>
        <w:t>第四部分</w:t>
      </w:r>
      <w:r>
        <w:rPr>
          <w:rFonts w:hint="eastAsia" w:ascii="宋体" w:hAnsi="宋体" w:eastAsia="宋体" w:cs="宋体"/>
          <w:b/>
          <w:bCs/>
          <w:color w:val="auto"/>
          <w:spacing w:val="40"/>
          <w:kern w:val="0"/>
          <w:sz w:val="32"/>
          <w:szCs w:val="32"/>
          <w:highlight w:val="none"/>
          <w:lang w:val="en-US" w:eastAsia="zh-CN"/>
        </w:rPr>
        <w:t xml:space="preserve"> </w:t>
      </w:r>
      <w:r>
        <w:rPr>
          <w:rFonts w:hint="eastAsia" w:ascii="宋体" w:hAnsi="宋体" w:eastAsia="宋体" w:cs="宋体"/>
          <w:b/>
          <w:bCs/>
          <w:color w:val="auto"/>
          <w:spacing w:val="40"/>
          <w:kern w:val="0"/>
          <w:sz w:val="32"/>
          <w:szCs w:val="32"/>
          <w:highlight w:val="none"/>
        </w:rPr>
        <w:t>2024年度部门绩效评价情况</w:t>
      </w:r>
    </w:p>
    <w:p>
      <w:pPr>
        <w:spacing w:line="580" w:lineRule="exact"/>
        <w:ind w:firstLine="560" w:firstLineChars="200"/>
        <w:jc w:val="center"/>
        <w:rPr>
          <w:rFonts w:hint="eastAsia" w:ascii="黑体" w:eastAsia="黑体"/>
          <w:color w:val="auto"/>
          <w:sz w:val="28"/>
          <w:szCs w:val="28"/>
          <w:highlight w:val="none"/>
        </w:rPr>
      </w:pPr>
    </w:p>
    <w:p>
      <w:pPr>
        <w:ind w:firstLine="560" w:firstLineChars="200"/>
        <w:rPr>
          <w:rFonts w:hint="eastAsia" w:ascii="黑体" w:eastAsia="黑体"/>
          <w:color w:val="auto"/>
          <w:sz w:val="28"/>
          <w:szCs w:val="28"/>
          <w:highlight w:val="none"/>
        </w:rPr>
      </w:pPr>
      <w:r>
        <w:rPr>
          <w:rFonts w:hint="eastAsia" w:ascii="黑体" w:eastAsia="黑体"/>
          <w:color w:val="auto"/>
          <w:sz w:val="28"/>
          <w:szCs w:val="28"/>
          <w:highlight w:val="none"/>
        </w:rPr>
        <w:t>一</w:t>
      </w:r>
      <w:r>
        <w:rPr>
          <w:rFonts w:ascii="黑体" w:eastAsia="黑体"/>
          <w:color w:val="auto"/>
          <w:sz w:val="28"/>
          <w:szCs w:val="28"/>
          <w:highlight w:val="none"/>
        </w:rPr>
        <w:t>、</w:t>
      </w:r>
      <w:r>
        <w:rPr>
          <w:rFonts w:hint="eastAsia" w:ascii="黑体" w:eastAsia="黑体"/>
          <w:color w:val="auto"/>
          <w:sz w:val="28"/>
          <w:szCs w:val="28"/>
          <w:highlight w:val="none"/>
        </w:rPr>
        <w:t>部门整体绩效评价报告</w:t>
      </w:r>
    </w:p>
    <w:p>
      <w:pPr>
        <w:ind w:firstLine="560" w:firstLineChars="200"/>
        <w:rPr>
          <w:rFonts w:hint="eastAsia" w:ascii="黑体" w:eastAsia="黑体"/>
          <w:color w:val="auto"/>
          <w:sz w:val="28"/>
          <w:szCs w:val="28"/>
          <w:highlight w:val="none"/>
        </w:rPr>
      </w:pPr>
      <w:r>
        <w:rPr>
          <w:rFonts w:hint="eastAsia" w:ascii="黑体" w:eastAsia="黑体"/>
          <w:color w:val="auto"/>
          <w:sz w:val="28"/>
          <w:szCs w:val="28"/>
          <w:highlight w:val="none"/>
        </w:rPr>
        <w:t>二</w:t>
      </w:r>
      <w:r>
        <w:rPr>
          <w:rFonts w:ascii="黑体" w:eastAsia="黑体"/>
          <w:color w:val="auto"/>
          <w:sz w:val="28"/>
          <w:szCs w:val="28"/>
          <w:highlight w:val="none"/>
        </w:rPr>
        <w:t>、</w:t>
      </w:r>
      <w:r>
        <w:rPr>
          <w:rFonts w:hint="eastAsia" w:ascii="黑体" w:eastAsia="黑体"/>
          <w:color w:val="auto"/>
          <w:sz w:val="28"/>
          <w:szCs w:val="28"/>
          <w:highlight w:val="none"/>
        </w:rPr>
        <w:t>项目支出部门绩效评价报告</w:t>
      </w:r>
    </w:p>
    <w:p>
      <w:pPr>
        <w:ind w:firstLine="560" w:firstLineChars="200"/>
        <w:rPr>
          <w:rFonts w:hint="eastAsia" w:ascii="黑体" w:eastAsia="黑体"/>
          <w:color w:val="auto"/>
          <w:sz w:val="28"/>
          <w:szCs w:val="28"/>
          <w:highlight w:val="none"/>
        </w:rPr>
      </w:pPr>
      <w:r>
        <w:rPr>
          <w:rFonts w:hint="eastAsia" w:ascii="黑体" w:eastAsia="黑体"/>
          <w:color w:val="auto"/>
          <w:sz w:val="28"/>
          <w:szCs w:val="28"/>
          <w:highlight w:val="none"/>
        </w:rPr>
        <w:t>三</w:t>
      </w:r>
      <w:r>
        <w:rPr>
          <w:rFonts w:ascii="黑体" w:eastAsia="黑体"/>
          <w:color w:val="auto"/>
          <w:sz w:val="28"/>
          <w:szCs w:val="28"/>
          <w:highlight w:val="none"/>
        </w:rPr>
        <w:t>、</w:t>
      </w:r>
      <w:r>
        <w:rPr>
          <w:rFonts w:hint="eastAsia" w:ascii="黑体" w:eastAsia="黑体"/>
          <w:color w:val="auto"/>
          <w:sz w:val="28"/>
          <w:szCs w:val="28"/>
          <w:highlight w:val="none"/>
        </w:rPr>
        <w:t>项目</w:t>
      </w:r>
      <w:r>
        <w:rPr>
          <w:rFonts w:ascii="黑体" w:eastAsia="黑体"/>
          <w:color w:val="auto"/>
          <w:sz w:val="28"/>
          <w:szCs w:val="28"/>
          <w:highlight w:val="none"/>
        </w:rPr>
        <w:t>支出绩效自评表</w:t>
      </w:r>
      <w:r>
        <w:rPr>
          <w:rFonts w:hint="eastAsia" w:ascii="黑体" w:eastAsia="黑体"/>
          <w:color w:val="auto"/>
          <w:sz w:val="28"/>
          <w:szCs w:val="28"/>
          <w:highlight w:val="none"/>
        </w:rPr>
        <w:t>（见附件）</w:t>
      </w:r>
    </w:p>
    <w:p>
      <w:pPr>
        <w:ind w:firstLine="560" w:firstLineChars="200"/>
        <w:rPr>
          <w:rFonts w:hint="eastAsia" w:ascii="仿宋_GB2312" w:eastAsia="仿宋_GB2312"/>
          <w:color w:val="0000FF"/>
          <w:sz w:val="28"/>
          <w:szCs w:val="28"/>
          <w:highlight w:val="none"/>
        </w:rPr>
      </w:pPr>
    </w:p>
    <w:p>
      <w:pPr>
        <w:spacing w:line="580" w:lineRule="exact"/>
        <w:ind w:firstLine="560" w:firstLineChars="200"/>
        <w:rPr>
          <w:rFonts w:hint="eastAsia" w:ascii="仿宋_GB2312" w:hAnsi="仿宋_GB2312" w:eastAsia="仿宋_GB2312" w:cs="仿宋_GB2312"/>
          <w:color w:val="0000FF"/>
          <w:sz w:val="28"/>
          <w:szCs w:val="28"/>
          <w:highlight w:val="none"/>
        </w:rPr>
      </w:pPr>
    </w:p>
    <w:p>
      <w:pPr>
        <w:spacing w:line="580" w:lineRule="exact"/>
        <w:ind w:firstLine="560" w:firstLineChars="200"/>
        <w:rPr>
          <w:rFonts w:hint="eastAsia" w:ascii="仿宋_GB2312" w:hAnsi="仿宋_GB2312" w:eastAsia="仿宋_GB2312" w:cs="仿宋_GB2312"/>
          <w:color w:val="0000FF"/>
          <w:sz w:val="28"/>
          <w:szCs w:val="28"/>
          <w:highlight w:val="none"/>
        </w:rPr>
      </w:pPr>
    </w:p>
    <w:p>
      <w:pPr>
        <w:spacing w:line="580" w:lineRule="exact"/>
        <w:ind w:firstLine="560" w:firstLineChars="200"/>
        <w:rPr>
          <w:rFonts w:hint="eastAsia" w:ascii="仿宋_GB2312" w:hAnsi="仿宋_GB2312" w:eastAsia="仿宋_GB2312" w:cs="仿宋_GB2312"/>
          <w:color w:val="0000FF"/>
          <w:sz w:val="28"/>
          <w:szCs w:val="28"/>
          <w:highlight w:val="none"/>
        </w:rPr>
      </w:pPr>
    </w:p>
    <w:p>
      <w:pPr>
        <w:spacing w:line="480" w:lineRule="exact"/>
        <w:jc w:val="center"/>
        <w:rPr>
          <w:rFonts w:hint="eastAsia" w:ascii="黑体" w:eastAsia="黑体"/>
          <w:color w:val="0000FF"/>
          <w:sz w:val="32"/>
          <w:szCs w:val="32"/>
          <w:highlight w:val="none"/>
        </w:rPr>
      </w:pPr>
    </w:p>
    <w:p>
      <w:pPr>
        <w:spacing w:line="480" w:lineRule="exact"/>
        <w:jc w:val="center"/>
        <w:rPr>
          <w:rFonts w:hint="eastAsia" w:ascii="黑体" w:eastAsia="黑体"/>
          <w:color w:val="0000FF"/>
          <w:sz w:val="32"/>
          <w:szCs w:val="32"/>
          <w:highlight w:val="none"/>
        </w:rPr>
      </w:pPr>
    </w:p>
    <w:p>
      <w:pPr>
        <w:spacing w:line="480" w:lineRule="exact"/>
        <w:jc w:val="center"/>
        <w:rPr>
          <w:rFonts w:hint="eastAsia" w:ascii="黑体" w:eastAsia="黑体"/>
          <w:color w:val="0000FF"/>
          <w:sz w:val="32"/>
          <w:szCs w:val="32"/>
          <w:highlight w:val="none"/>
        </w:rPr>
      </w:pPr>
    </w:p>
    <w:p>
      <w:pPr>
        <w:spacing w:line="480" w:lineRule="exact"/>
        <w:jc w:val="center"/>
        <w:rPr>
          <w:rFonts w:hint="eastAsia" w:ascii="黑体" w:eastAsia="黑体"/>
          <w:color w:val="0000FF"/>
          <w:sz w:val="32"/>
          <w:szCs w:val="32"/>
          <w:highlight w:val="none"/>
        </w:rPr>
      </w:pPr>
    </w:p>
    <w:p>
      <w:pPr>
        <w:spacing w:line="480" w:lineRule="exact"/>
        <w:jc w:val="center"/>
        <w:rPr>
          <w:rFonts w:hint="eastAsia" w:ascii="黑体" w:eastAsia="黑体"/>
          <w:color w:val="0000FF"/>
          <w:sz w:val="32"/>
          <w:szCs w:val="32"/>
          <w:highlight w:val="none"/>
        </w:rPr>
      </w:pPr>
    </w:p>
    <w:p>
      <w:pPr>
        <w:spacing w:line="480" w:lineRule="exact"/>
        <w:jc w:val="center"/>
        <w:rPr>
          <w:rFonts w:hint="eastAsia" w:ascii="黑体" w:eastAsia="黑体"/>
          <w:color w:val="0000FF"/>
          <w:sz w:val="32"/>
          <w:szCs w:val="32"/>
          <w:highlight w:val="none"/>
        </w:rPr>
      </w:pPr>
    </w:p>
    <w:p>
      <w:pPr>
        <w:spacing w:line="560" w:lineRule="exact"/>
        <w:jc w:val="left"/>
        <w:rPr>
          <w:rFonts w:hint="eastAsia" w:ascii="方正黑体_GBK" w:hAnsi="方正黑体_GBK" w:eastAsia="方正黑体_GBK" w:cs="方正黑体_GBK"/>
          <w:color w:val="0000FF"/>
          <w:sz w:val="32"/>
          <w:szCs w:val="32"/>
          <w:highlight w:val="none"/>
        </w:rPr>
      </w:pP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bCs/>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部门整体绩效</w:t>
      </w:r>
      <w:r>
        <w:rPr>
          <w:rFonts w:hint="eastAsia" w:ascii="宋体" w:hAnsi="宋体" w:eastAsia="宋体" w:cs="宋体"/>
          <w:b/>
          <w:bCs/>
          <w:color w:val="auto"/>
          <w:sz w:val="32"/>
          <w:szCs w:val="32"/>
          <w:highlight w:val="none"/>
          <w:lang w:eastAsia="zh-CN"/>
        </w:rPr>
        <w:t>评价</w:t>
      </w:r>
      <w:r>
        <w:rPr>
          <w:rFonts w:hint="eastAsia" w:ascii="宋体" w:hAnsi="宋体" w:eastAsia="宋体" w:cs="宋体"/>
          <w:b/>
          <w:bCs/>
          <w:color w:val="auto"/>
          <w:sz w:val="32"/>
          <w:szCs w:val="32"/>
          <w:highlight w:val="none"/>
        </w:rPr>
        <w:t>报告</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color w:val="auto"/>
          <w:szCs w:val="30"/>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黑体" w:hAnsi="黑体" w:eastAsia="黑体" w:cs="宋体"/>
          <w:color w:val="auto"/>
          <w:kern w:val="0"/>
          <w:sz w:val="28"/>
          <w:szCs w:val="28"/>
          <w:highlight w:val="none"/>
        </w:rPr>
      </w:pPr>
      <w:r>
        <w:rPr>
          <w:rFonts w:hint="eastAsia" w:ascii="黑体" w:hAnsi="黑体" w:eastAsia="黑体" w:cs="宋体"/>
          <w:color w:val="auto"/>
          <w:kern w:val="0"/>
          <w:sz w:val="28"/>
          <w:szCs w:val="28"/>
          <w:highlight w:val="none"/>
        </w:rPr>
        <w:t>一、部门概况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（一）机构设置及职责工作任务情况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1.大兴区</w:t>
      </w:r>
      <w:r>
        <w:rPr>
          <w:rFonts w:hint="eastAsia" w:ascii="仿宋_GB2312" w:hAnsi="仿宋_GB2312" w:eastAsia="仿宋_GB2312" w:cs="仿宋_GB2312"/>
          <w:color w:val="auto"/>
          <w:sz w:val="28"/>
          <w:szCs w:val="28"/>
          <w:highlight w:val="none"/>
          <w:lang w:val="en-US" w:eastAsia="zh-CN"/>
        </w:rPr>
        <w:t>瀛海</w:t>
      </w:r>
      <w:r>
        <w:rPr>
          <w:rFonts w:hint="eastAsia" w:ascii="仿宋_GB2312" w:hAnsi="仿宋_GB2312" w:eastAsia="仿宋_GB2312" w:cs="仿宋_GB2312"/>
          <w:color w:val="auto"/>
          <w:sz w:val="28"/>
          <w:szCs w:val="28"/>
          <w:highlight w:val="none"/>
        </w:rPr>
        <w:t>镇人民政府主要职责为：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贯彻执行国家的法律、法规、规章和市、区人民政府的决定、命令、指示。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执行本镇人民代表大会的各项决议。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制定全镇经济社会发展中、长远期规划和年度计划，并组织实施。</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负责本镇的经济、教育、科学、文化体育、卫生、计划生育、财政、民政、优抚、残疾人工作及劳动和社会保障工作。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负责公安、司法、社会治安综合治理以及环保、环卫、交通、安全、能源、防汛等工作。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保护全民所有和集体所有制财产，保护公民私人所有的合法财产，维护社会秩序，保障公民的人身权利、民主权利和其他权利，保护各种经济组织的合法权益，保障少数民族的权利和尊重少数民族的风俗习惯。</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保障宪法和法律赋予的妇女的男女平等、同工同酬和婚姻自由等各项权利。</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完成上级人民政府交办的其他任务。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lang w:eastAsia="zh-CN"/>
        </w:rPr>
        <w:t>本部门机构设置情况：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本部门所属行政单位1个，为：北京市大兴区瀛海镇人民政府（本级）。</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rPr>
      </w:pPr>
      <w:r>
        <w:rPr>
          <w:rFonts w:hint="eastAsia" w:ascii="仿宋_GB2312" w:hAnsi="仿宋_GB2312" w:eastAsia="仿宋_GB2312" w:cs="仿宋_GB2312"/>
          <w:color w:val="auto"/>
          <w:sz w:val="28"/>
          <w:szCs w:val="28"/>
          <w:highlight w:val="none"/>
          <w:lang w:val="en-US" w:eastAsia="zh-CN"/>
        </w:rPr>
        <w:t>事业单位1个，为：北京市大兴区瀛海镇社区卫生服务中心。</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（二）部门整体绩效目标设立情况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瀛海镇政府部门整体绩效目标是结合部门职能、2024年度重点工作任务、相关政策等内容进行设置的，瀛海镇政府分四个方面对整体绩效情况进行了分项设置，分别为：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负责公共安全管理组织协调工作；通过开展辖区安全维稳工作，做好综合治理、重点安保、重点区域、突发应急等方面工作，提升辖区群众安全感和安全防范意识；保障辖区不发生涉恐维稳等事件，维护辖区稳定和谐。</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2.通过开展法律政策宣传、镇域内管理整治、接诉即办等工作，强化瀛海镇综合管理，推动瀛海镇管理工作更加科学化、规范化和标准化，增强辖区居民的幸福感、获得感。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通过开展民生、养老、助残、拥军、卫生等各项社会事务管理工作，构筑基层治理体系，更好地服务辖区居民，提升居民的归属感、幸福感。建立镇级“枢纽型”社会组织工作体系，培育、指导、监督社区社会组织，加强社区标准化建设。</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4.统筹辖区党建、组织人事、精神文明建设、人大、妇联等工作，为瀛海镇提供后勤保障，推动瀛海镇工作开展，保障机关正常运转。</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黑体" w:hAnsi="黑体" w:eastAsia="黑体" w:cs="宋体"/>
          <w:color w:val="auto"/>
          <w:kern w:val="0"/>
          <w:sz w:val="28"/>
          <w:szCs w:val="28"/>
          <w:highlight w:val="none"/>
        </w:rPr>
      </w:pPr>
      <w:r>
        <w:rPr>
          <w:rFonts w:hint="eastAsia" w:ascii="黑体" w:hAnsi="黑体" w:eastAsia="黑体" w:cs="宋体"/>
          <w:color w:val="auto"/>
          <w:kern w:val="0"/>
          <w:sz w:val="28"/>
          <w:szCs w:val="28"/>
          <w:highlight w:val="none"/>
        </w:rPr>
        <w:t>二</w:t>
      </w:r>
      <w:r>
        <w:rPr>
          <w:rFonts w:ascii="黑体" w:hAnsi="黑体" w:eastAsia="黑体" w:cs="宋体"/>
          <w:color w:val="auto"/>
          <w:kern w:val="0"/>
          <w:sz w:val="28"/>
          <w:szCs w:val="28"/>
          <w:highlight w:val="none"/>
        </w:rPr>
        <w:t>、</w:t>
      </w:r>
      <w:r>
        <w:rPr>
          <w:rFonts w:hint="eastAsia" w:ascii="黑体" w:hAnsi="黑体" w:eastAsia="黑体" w:cs="宋体"/>
          <w:color w:val="auto"/>
          <w:kern w:val="0"/>
          <w:sz w:val="28"/>
          <w:szCs w:val="28"/>
          <w:highlight w:val="none"/>
        </w:rPr>
        <w:t>当年</w:t>
      </w:r>
      <w:r>
        <w:rPr>
          <w:rFonts w:ascii="黑体" w:hAnsi="黑体" w:eastAsia="黑体" w:cs="宋体"/>
          <w:color w:val="auto"/>
          <w:kern w:val="0"/>
          <w:sz w:val="28"/>
          <w:szCs w:val="28"/>
          <w:highlight w:val="none"/>
        </w:rPr>
        <w:t>预算执行情况</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2024年全年预算数50463.4</w:t>
      </w:r>
      <w:r>
        <w:rPr>
          <w:rFonts w:hint="eastAsia" w:ascii="仿宋_GB2312" w:hAnsi="仿宋_GB2312" w:eastAsia="仿宋_GB2312" w:cs="仿宋_GB2312"/>
          <w:color w:val="auto"/>
          <w:kern w:val="0"/>
          <w:sz w:val="28"/>
          <w:szCs w:val="28"/>
          <w:highlight w:val="none"/>
          <w:lang w:val="en-US" w:eastAsia="zh-CN"/>
        </w:rPr>
        <w:t>7</w:t>
      </w:r>
      <w:r>
        <w:rPr>
          <w:rFonts w:hint="eastAsia" w:ascii="仿宋_GB2312" w:hAnsi="仿宋_GB2312" w:eastAsia="仿宋_GB2312" w:cs="仿宋_GB2312"/>
          <w:color w:val="auto"/>
          <w:kern w:val="0"/>
          <w:sz w:val="28"/>
          <w:szCs w:val="28"/>
          <w:highlight w:val="none"/>
        </w:rPr>
        <w:t>万元，其中，基本支出预算数17874.2</w:t>
      </w:r>
      <w:r>
        <w:rPr>
          <w:rFonts w:hint="eastAsia" w:ascii="仿宋_GB2312" w:hAnsi="仿宋_GB2312" w:eastAsia="仿宋_GB2312" w:cs="仿宋_GB2312"/>
          <w:color w:val="auto"/>
          <w:kern w:val="0"/>
          <w:sz w:val="28"/>
          <w:szCs w:val="28"/>
          <w:highlight w:val="none"/>
          <w:lang w:val="en-US" w:eastAsia="zh-CN"/>
        </w:rPr>
        <w:t>2</w:t>
      </w:r>
      <w:r>
        <w:rPr>
          <w:rFonts w:hint="eastAsia" w:ascii="仿宋_GB2312" w:hAnsi="仿宋_GB2312" w:eastAsia="仿宋_GB2312" w:cs="仿宋_GB2312"/>
          <w:color w:val="auto"/>
          <w:kern w:val="0"/>
          <w:sz w:val="28"/>
          <w:szCs w:val="28"/>
          <w:highlight w:val="none"/>
        </w:rPr>
        <w:t>万元，项目支出预算数32589.25万元，其他支出预算数0.00万元。资金总体支出51492.18万元，其中，基本支出17146.4</w:t>
      </w:r>
      <w:r>
        <w:rPr>
          <w:rFonts w:hint="eastAsia" w:ascii="仿宋_GB2312" w:hAnsi="仿宋_GB2312" w:eastAsia="仿宋_GB2312" w:cs="仿宋_GB2312"/>
          <w:color w:val="auto"/>
          <w:kern w:val="0"/>
          <w:sz w:val="28"/>
          <w:szCs w:val="28"/>
          <w:highlight w:val="none"/>
          <w:lang w:val="en-US" w:eastAsia="zh-CN"/>
        </w:rPr>
        <w:t>1</w:t>
      </w:r>
      <w:r>
        <w:rPr>
          <w:rFonts w:hint="eastAsia" w:ascii="仿宋_GB2312" w:hAnsi="仿宋_GB2312" w:eastAsia="仿宋_GB2312" w:cs="仿宋_GB2312"/>
          <w:color w:val="auto"/>
          <w:kern w:val="0"/>
          <w:sz w:val="28"/>
          <w:szCs w:val="28"/>
          <w:highlight w:val="none"/>
        </w:rPr>
        <w:t>万元，项目支出34345.77万元，其他支出0.00万元。预算执行率为102.04%。</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ascii="黑体" w:hAnsi="黑体" w:eastAsia="黑体" w:cs="宋体"/>
          <w:color w:val="auto"/>
          <w:kern w:val="0"/>
          <w:sz w:val="28"/>
          <w:szCs w:val="28"/>
          <w:highlight w:val="none"/>
        </w:rPr>
      </w:pPr>
      <w:r>
        <w:rPr>
          <w:rFonts w:hint="eastAsia" w:ascii="黑体" w:hAnsi="黑体" w:eastAsia="黑体" w:cs="宋体"/>
          <w:color w:val="auto"/>
          <w:kern w:val="0"/>
          <w:sz w:val="28"/>
          <w:szCs w:val="28"/>
          <w:highlight w:val="none"/>
        </w:rPr>
        <w:t>三</w:t>
      </w:r>
      <w:r>
        <w:rPr>
          <w:rFonts w:ascii="黑体" w:hAnsi="黑体" w:eastAsia="黑体" w:cs="宋体"/>
          <w:color w:val="auto"/>
          <w:kern w:val="0"/>
          <w:sz w:val="28"/>
          <w:szCs w:val="28"/>
          <w:highlight w:val="none"/>
        </w:rPr>
        <w:t>、整体绩效目标实现情况</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（一）安全应急管理任务完成情况分析</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公共安全管理组织协调、辖区安全维稳、综合治理、重点安保、重点区域、突发应急等方面工作完成情况：切实做好汛期的汛情应对工作，为镇防汛指挥部部分应急救援任务的成员单位购置防汛物资674个。建设镇域内电动自行车集中充电设施，保障人民群众生命财产安全，实现安全充电。做好规范化队伍建设，提高生产经营单位对安全生产工作重视度。通过开展对垃圾中转站的运行管理工作以及生活垃圾清运工作，保障镇域内产生的生活垃圾日产日清，营造洁净、整齐、美丽的人居环境。做好镇政府和党群服务中心秩序维护工作，印制新修订行政处罚文书模板，保障执法部门日常工作开展。完成对镇域内乡村公路进行养护，保障居民出行安全。</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（二）公共综合管理任务完成情况分析</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法律政策宣传、镇域内管理整治、接诉即办等工作完成情况：通过对镇域内居民开展法律、法规的宣传培训，提高居民法律意识。对2条镇域背街小巷环境进行精细化治理，提升背街小巷的环境水平。治理提升区域面积18000㎡，提升原姜场村周边环境，减少裸露土地面积，有效控制南海子公园空气质量监测站点周边一公里范围内扬尘污染源。治理提升区域面积68431.4㎡，提升社区周边环境，减少裸露土地面积，有效控制南海家园七里空气质量监测站点周边一公里范围内扬尘污染源。完成了接诉即办奖励经费以及专项资金的发放。通过开展对外宣传活动，完成了65篇信息发布，信息被北京电视台报道2篇。</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（三）社会事务管理任务完成情况分析</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民生、养老、助残、拥军、卫生等各项社会事务管理工作完成情况：即时为社救对象、见义勇为人员发放养老院住院费、集中供暖补贴、清洁能源补贴、两节慰问金。通过对镇域内残疾人情况进行需求调查，共为1235人发放补助，应补尽补率100%。在春节前，向96位重残人员发放补贴，提升残疾人的生活质量及对生活的信心。为8名瀛海镇户籍义务兵发放义务兵奖励金，为优抚对象发放医疗救助金、取暖补贴。为957名瀛海户籍退役军人发放慰问品，为39名优抚对象、现役义务兵家属发放慰问品。通过对406名适龄女性进行体检，完成瀛海镇三分之一适龄女性的两癌筛查和长效体检工作。完成基本药物制度补助经费发放，保障地区百姓基本医疗服务，降低百姓就医成本，实现对6名乡村医生的补助发放。</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（四）精神文明建设任务完成情况分析</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统筹辖区党建、组织人事、精神文明建设、人大、妇联等工作完成情况：“瀛海社区报”公众号每周推送一次视频信息，记录群众生活的幸福样态。“瀛海爱生活”微信公众号每个工作日推送一次公众号信息，为居民提供社区信息，宣扬社区正能量。编写《瀛海镇社区志》，购置宣传提示牌、展板、条幅、小区平面图册等，覆盖16个社区、社区党委完成日常工作和宣传活动。为基层治理体系和治理能力现代化提供扎实的史料依据和参考借鉴。开展大兴区庆祝人民代表大会成立70周年活动，宣传人民代表大会制度优势，展示大兴人大发展生动实践，进一步激发全区人民的政治热情。通过制作1000册人代会培训材料，开展活动，提升人大代表履职能力。慰问30名贫困妇女、困境儿童，及时传递关心和关爱，提高妇女儿童幸福感。开展10余次重要及传统节日的庆祝活动，制作5份妇女报，丰富群众生活，弘扬中华传统文化。</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年度工作任务完成情况较好，通过各项目的实施，基本完成了预期既定的目标，但需进一步加强项目完成情况的资料归集和总结分析。</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黑体" w:hAnsi="黑体" w:eastAsia="黑体" w:cs="宋体"/>
          <w:color w:val="auto"/>
          <w:kern w:val="0"/>
          <w:sz w:val="28"/>
          <w:szCs w:val="28"/>
          <w:highlight w:val="none"/>
        </w:rPr>
      </w:pPr>
      <w:r>
        <w:rPr>
          <w:rFonts w:hint="eastAsia" w:ascii="黑体" w:hAnsi="黑体" w:eastAsia="黑体" w:cs="宋体"/>
          <w:color w:val="auto"/>
          <w:kern w:val="0"/>
          <w:sz w:val="28"/>
          <w:szCs w:val="28"/>
          <w:highlight w:val="none"/>
        </w:rPr>
        <w:t>四</w:t>
      </w:r>
      <w:r>
        <w:rPr>
          <w:rFonts w:ascii="黑体" w:hAnsi="黑体" w:eastAsia="黑体" w:cs="宋体"/>
          <w:color w:val="auto"/>
          <w:kern w:val="0"/>
          <w:sz w:val="28"/>
          <w:szCs w:val="28"/>
          <w:highlight w:val="none"/>
        </w:rPr>
        <w:t>、预算管理</w:t>
      </w:r>
      <w:r>
        <w:rPr>
          <w:rFonts w:hint="eastAsia" w:ascii="黑体" w:hAnsi="黑体" w:eastAsia="黑体" w:cs="宋体"/>
          <w:color w:val="auto"/>
          <w:kern w:val="0"/>
          <w:sz w:val="28"/>
          <w:szCs w:val="28"/>
          <w:highlight w:val="none"/>
        </w:rPr>
        <w:t>情况分</w:t>
      </w:r>
      <w:r>
        <w:rPr>
          <w:rFonts w:ascii="黑体" w:hAnsi="黑体" w:eastAsia="黑体" w:cs="宋体"/>
          <w:color w:val="auto"/>
          <w:kern w:val="0"/>
          <w:sz w:val="28"/>
          <w:szCs w:val="28"/>
          <w:highlight w:val="none"/>
        </w:rPr>
        <w:t>析</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（一）财务管理</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1.财务管理制度健全性</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我镇编制了《大兴区瀛海镇财政财务管理办法》等，在财政资金的使用、部门和预算单位的财务管理等方面进行了规范，对部门和预算单位的财政财务管理、经济业务活动等起到了指导、规范、控制和监督作用。</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2.资金使用合规性和安全性</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为了进一步保障资金安全、高效运行，提高资金使用效益，</w:t>
      </w:r>
      <w:r>
        <w:rPr>
          <w:rFonts w:hint="eastAsia" w:ascii="仿宋_GB2312" w:hAnsi="仿宋_GB2312" w:eastAsia="仿宋_GB2312" w:cs="仿宋_GB2312"/>
          <w:color w:val="auto"/>
          <w:sz w:val="28"/>
          <w:szCs w:val="28"/>
          <w:highlight w:val="none"/>
          <w:lang w:val="en-US" w:eastAsia="zh-CN"/>
        </w:rPr>
        <w:t>我镇</w:t>
      </w:r>
      <w:r>
        <w:rPr>
          <w:rFonts w:hint="eastAsia" w:ascii="仿宋_GB2312" w:hAnsi="仿宋_GB2312" w:eastAsia="仿宋_GB2312" w:cs="仿宋_GB2312"/>
          <w:color w:val="auto"/>
          <w:sz w:val="28"/>
          <w:szCs w:val="28"/>
          <w:highlight w:val="none"/>
        </w:rPr>
        <w:t>在资金使用过程中，贯彻执行国家法律法规和财政部门有关管理要求，执行《大兴区瀛海镇财政财务管理办法》</w:t>
      </w:r>
      <w:r>
        <w:rPr>
          <w:rFonts w:hint="eastAsia" w:ascii="仿宋_GB2312" w:hAnsi="仿宋_GB2312" w:eastAsia="仿宋_GB2312" w:cs="仿宋_GB2312"/>
          <w:color w:val="auto"/>
          <w:sz w:val="28"/>
          <w:szCs w:val="28"/>
          <w:highlight w:val="none"/>
          <w:lang w:eastAsia="zh-CN"/>
        </w:rPr>
        <w:t>，各类财政资金的使用严格按照相关规定和制度执行。</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3.会计基础信息完善性</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我镇会计基础信息较为完善，会计凭证、财务报表、相关账簿、文件、记录等会计信息齐备，对项目开展过程中的各项财产物资能够及时做好原始记录，保证日常支出记录的完整性，按照规定向有关部门报送财务报表。</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（二）资产管理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0000FF"/>
          <w:sz w:val="28"/>
          <w:szCs w:val="28"/>
          <w:highlight w:val="none"/>
        </w:rPr>
      </w:pPr>
      <w:r>
        <w:rPr>
          <w:rFonts w:hint="eastAsia" w:ascii="仿宋_GB2312" w:hAnsi="仿宋_GB2312" w:eastAsia="仿宋_GB2312" w:cs="仿宋_GB2312"/>
          <w:color w:val="auto"/>
          <w:sz w:val="28"/>
          <w:szCs w:val="28"/>
          <w:highlight w:val="none"/>
        </w:rPr>
        <w:t>部门资产管理工作较为规范，能够及时清点固定资产，进行定期更新、核对和上传数据。</w:t>
      </w:r>
      <w:r>
        <w:rPr>
          <w:rFonts w:hint="eastAsia" w:ascii="仿宋_GB2312" w:hAnsi="仿宋_GB2312" w:eastAsia="仿宋_GB2312" w:cs="仿宋_GB2312"/>
          <w:color w:val="auto"/>
          <w:sz w:val="28"/>
          <w:szCs w:val="28"/>
          <w:lang w:val="en-US" w:eastAsia="zh-CN"/>
        </w:rPr>
        <w:t>严格遵守固定资产管理制度，加强对资产构建、处置的检查监督，完善管理办法。</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（三）绩效管理</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按照区财政局预算绩效管理的相关要求，各项目资金支出设置相应的绩效目标，并在项目完成时开展自评工作。对于重点项目开展财政评价工作</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做到及时对绩效信息进行汇总分析整理，并对绩效目标偏离情况及时进行矫正。</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（四）部门预决算差异率</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瀛海镇政府2024年度部门预算金额为50463.4</w:t>
      </w:r>
      <w:r>
        <w:rPr>
          <w:rFonts w:hint="eastAsia" w:ascii="仿宋_GB2312" w:hAnsi="仿宋_GB2312" w:eastAsia="仿宋_GB2312" w:cs="仿宋_GB2312"/>
          <w:color w:val="auto"/>
          <w:sz w:val="28"/>
          <w:szCs w:val="28"/>
          <w:highlight w:val="none"/>
          <w:lang w:val="en-US" w:eastAsia="zh-CN"/>
        </w:rPr>
        <w:t>7</w:t>
      </w:r>
      <w:r>
        <w:rPr>
          <w:rFonts w:hint="eastAsia" w:ascii="仿宋_GB2312" w:hAnsi="仿宋_GB2312" w:eastAsia="仿宋_GB2312" w:cs="仿宋_GB2312"/>
          <w:color w:val="auto"/>
          <w:sz w:val="28"/>
          <w:szCs w:val="28"/>
          <w:highlight w:val="none"/>
        </w:rPr>
        <w:t>万元，年度部门决算金额为51,492.182571万元，2024年部门预决算差异率为-2.04%。</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ascii="黑体" w:hAnsi="黑体" w:eastAsia="黑体"/>
          <w:color w:val="auto"/>
          <w:sz w:val="28"/>
          <w:szCs w:val="28"/>
          <w:highlight w:val="none"/>
        </w:rPr>
      </w:pPr>
      <w:r>
        <w:rPr>
          <w:rFonts w:hint="eastAsia" w:ascii="黑体" w:hAnsi="黑体" w:eastAsia="黑体"/>
          <w:color w:val="auto"/>
          <w:sz w:val="28"/>
          <w:szCs w:val="28"/>
          <w:highlight w:val="none"/>
        </w:rPr>
        <w:t>五、总体</w:t>
      </w:r>
      <w:r>
        <w:rPr>
          <w:rFonts w:ascii="黑体" w:hAnsi="黑体" w:eastAsia="黑体"/>
          <w:color w:val="auto"/>
          <w:sz w:val="28"/>
          <w:szCs w:val="28"/>
          <w:highlight w:val="none"/>
        </w:rPr>
        <w:t>评价结论</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（一）评价得分情况</w:t>
      </w:r>
    </w:p>
    <w:p>
      <w:pPr>
        <w:pStyle w:val="2"/>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2024年度北京市大兴区瀛海镇人民政府部门整体支出绩效评价综合得分96.20分，部门整体绩效评价等级为“优”。其中，当年预算执行情况20.00分，整体绩效目标实现情况57.70分，预算管理情况18.50分。</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（二）存在的问题及原因分析</w:t>
      </w:r>
    </w:p>
    <w:p>
      <w:pPr>
        <w:pStyle w:val="2"/>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一是绩效管理有待加强，绩效目标设置的全面性、细化程度不足；二是预算及资金管理有待加强，预算管理科学性可进一步加强，预算测算依据和资金使用计划的合理性有待提升，部分项目相关预算不够细化；三是过程管理有待加强</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，部分项目过程资料归集不够充分。我单位项目绩效目标编制水平仍有待提升，下一步我们将认真梳理，规范预算编制，不断提升绩效管理水平。</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color w:val="auto"/>
        </w:rPr>
      </w:pPr>
      <w:r>
        <w:rPr>
          <w:rFonts w:hint="eastAsia" w:ascii="黑体" w:hAnsi="黑体" w:eastAsia="黑体" w:cs="宋体"/>
          <w:color w:val="auto"/>
          <w:kern w:val="0"/>
          <w:sz w:val="28"/>
          <w:szCs w:val="28"/>
          <w:highlight w:val="none"/>
        </w:rPr>
        <w:t>六、措施建议</w:t>
      </w:r>
    </w:p>
    <w:p>
      <w:pPr>
        <w:pStyle w:val="2"/>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1.加强绩效管理</w:t>
      </w:r>
    </w:p>
    <w:p>
      <w:pPr>
        <w:pStyle w:val="2"/>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一是科学合理设置部门整体绩效目标，依据部门职责及年度重点工作合理设置部门整体绩效目标；二是科学合理量化设置项目绩效指标，根据项目实际情况，绩效指标设置尽量细化量化，数量指标明确项目实施的主要产出内容，质量指标要对应项目数量指标内容进行设置，时效指标体现项目实施的具体时间节点，成本指标尽量明确各分项成本或单位成本控制要求，效益指标应尽量提炼量化指标，服务对象满意度指标要尽量明确具体的服务对象。</w:t>
      </w:r>
    </w:p>
    <w:p>
      <w:pPr>
        <w:pStyle w:val="2"/>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加强部门履职绩效成果的收集，如通过对可以反映部门履职情况的相关数据进行横向、纵向的对比分析，充分反映年度履职情况，充分展现部门年度绩效成果、效益。重视满意度调查工作，科学合理设置服务对象满意度调查体系。明确项目实施过程中存在的不足，持续改进工作。</w:t>
      </w:r>
    </w:p>
    <w:p>
      <w:pPr>
        <w:pStyle w:val="2"/>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2.加强预算管理及资金管理</w:t>
      </w:r>
    </w:p>
    <w:p>
      <w:pPr>
        <w:pStyle w:val="2"/>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提高预算编制的科学性、合理性，根据项目实际情况，进一步明确项目预算内容，细化项目预算测算明细，明确预算编制依据。提高预算的刚性约束，着力提高财政资源配置效率和使用效益。</w:t>
      </w:r>
    </w:p>
    <w:p>
      <w:pPr>
        <w:pStyle w:val="2"/>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3.加强过程管理</w:t>
      </w:r>
    </w:p>
    <w:p>
      <w:pPr>
        <w:pStyle w:val="2"/>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加强项目过程资料整理归档，完善监督管理资料，完善重点项目前期执行完成情况、相关成果、执行过程以及验收完成情况资料。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宋体"/>
          <w:color w:val="0000FF"/>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宋体"/>
          <w:color w:val="0000FF"/>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宋体"/>
          <w:color w:val="0000FF"/>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宋体"/>
          <w:color w:val="0000FF"/>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宋体"/>
          <w:color w:val="0000FF"/>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FF"/>
          <w:kern w:val="0"/>
          <w:sz w:val="32"/>
          <w:szCs w:val="32"/>
          <w:highlight w:val="none"/>
        </w:rPr>
      </w:pPr>
    </w:p>
    <w:p>
      <w:pPr>
        <w:spacing w:line="480" w:lineRule="exact"/>
        <w:rPr>
          <w:rFonts w:hint="eastAsia" w:ascii="仿宋_GB2312" w:hAnsi="宋体" w:eastAsia="仿宋_GB2312" w:cs="宋体"/>
          <w:color w:val="0000FF"/>
          <w:kern w:val="0"/>
          <w:sz w:val="32"/>
          <w:szCs w:val="32"/>
          <w:highlight w:val="none"/>
        </w:rPr>
      </w:pPr>
    </w:p>
    <w:p>
      <w:pPr>
        <w:jc w:val="both"/>
        <w:rPr>
          <w:rFonts w:hint="default" w:ascii="黑体" w:hAnsi="黑体" w:eastAsia="黑体" w:cs="Times New Roman"/>
          <w:sz w:val="30"/>
          <w:szCs w:val="30"/>
          <w:highlight w:val="none"/>
          <w:lang w:val="en-US" w:eastAsia="zh-CN"/>
        </w:rPr>
      </w:pPr>
      <w:r>
        <w:rPr>
          <w:rFonts w:hint="eastAsia" w:ascii="黑体" w:hAnsi="黑体" w:eastAsia="黑体" w:cs="Times New Roman"/>
          <w:sz w:val="30"/>
          <w:szCs w:val="30"/>
          <w:highlight w:val="none"/>
          <w:lang w:val="en-US" w:eastAsia="zh-CN"/>
        </w:rPr>
        <w:t>附件3-2</w:t>
      </w:r>
    </w:p>
    <w:tbl>
      <w:tblPr>
        <w:tblStyle w:val="13"/>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8"/>
        <w:gridCol w:w="342"/>
        <w:gridCol w:w="930"/>
        <w:gridCol w:w="170"/>
        <w:gridCol w:w="1142"/>
        <w:gridCol w:w="233"/>
        <w:gridCol w:w="1791"/>
        <w:gridCol w:w="1259"/>
        <w:gridCol w:w="3425"/>
        <w:gridCol w:w="1037"/>
        <w:gridCol w:w="914"/>
        <w:gridCol w:w="703"/>
        <w:gridCol w:w="716"/>
        <w:gridCol w:w="7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14174" w:type="dxa"/>
            <w:gridSpan w:val="14"/>
            <w:tcBorders>
              <w:top w:val="nil"/>
              <w:left w:val="nil"/>
              <w:bottom w:val="single" w:color="auto"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br w:type="page"/>
            </w:r>
            <w:r>
              <w:rPr>
                <w:rFonts w:hint="eastAsia" w:ascii="宋体" w:hAnsi="宋体" w:eastAsia="宋体" w:cs="宋体"/>
                <w:b/>
                <w:bCs/>
                <w:i w:val="0"/>
                <w:iCs w:val="0"/>
                <w:color w:val="000000"/>
                <w:kern w:val="0"/>
                <w:sz w:val="24"/>
                <w:szCs w:val="24"/>
                <w:highlight w:val="none"/>
                <w:u w:val="none"/>
                <w:lang w:val="en-US" w:eastAsia="zh-CN" w:bidi="ar"/>
              </w:rPr>
              <w:t>2024年度部门整体绩效评价表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0" w:hRule="atLeast"/>
        </w:trPr>
        <w:tc>
          <w:tcPr>
            <w:tcW w:w="14174" w:type="dxa"/>
            <w:gridSpan w:val="1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0" w:hRule="atLeast"/>
        </w:trPr>
        <w:tc>
          <w:tcPr>
            <w:tcW w:w="11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11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二级指标</w:t>
            </w:r>
          </w:p>
        </w:tc>
        <w:tc>
          <w:tcPr>
            <w:tcW w:w="13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三级指标</w:t>
            </w:r>
          </w:p>
        </w:tc>
        <w:tc>
          <w:tcPr>
            <w:tcW w:w="3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指标解释</w:t>
            </w:r>
          </w:p>
        </w:tc>
        <w:tc>
          <w:tcPr>
            <w:tcW w:w="3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评分标准</w:t>
            </w:r>
          </w:p>
        </w:tc>
        <w:tc>
          <w:tcPr>
            <w:tcW w:w="10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预算数（万元）</w:t>
            </w:r>
          </w:p>
        </w:tc>
        <w:tc>
          <w:tcPr>
            <w:tcW w:w="9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执行数（万元）</w:t>
            </w:r>
          </w:p>
        </w:tc>
        <w:tc>
          <w:tcPr>
            <w:tcW w:w="7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7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96" w:hRule="atLeast"/>
        </w:trPr>
        <w:tc>
          <w:tcPr>
            <w:tcW w:w="110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当年预算执行情况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（20分）</w:t>
            </w:r>
          </w:p>
        </w:tc>
        <w:tc>
          <w:tcPr>
            <w:tcW w:w="110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当年预算执行情况（20）</w:t>
            </w:r>
          </w:p>
        </w:tc>
        <w:tc>
          <w:tcPr>
            <w:tcW w:w="13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资金总体</w:t>
            </w:r>
          </w:p>
        </w:tc>
        <w:tc>
          <w:tcPr>
            <w:tcW w:w="305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部门全年执行数与全年预算数的比率。资金总体=基本支出+项目支出+其他</w:t>
            </w:r>
          </w:p>
        </w:tc>
        <w:tc>
          <w:tcPr>
            <w:tcW w:w="342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①得分一档最高不能超过该指标分值上限（20分）。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②该指标若为正向指标，得分计算方法为：执行数/预算数*20；</w:t>
            </w:r>
          </w:p>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③该指标得分计算资金总体即可，分类支出填写预算数及执行数，无需计算分项执行率；</w:t>
            </w:r>
          </w:p>
          <w:p>
            <w:pPr>
              <w:keepNext w:val="0"/>
              <w:keepLines w:val="0"/>
              <w:widowControl/>
              <w:suppressLineNumbers w:val="0"/>
              <w:jc w:val="left"/>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④若由于年初预算数编制不准确导致执行率过高，在200%-300%（含200%）区间，则按照该指标分值的10%扣分，计算得分率在300%-500%（含300%）区间，则按照该指标分值的20%扣分，计算得分率高于500%（含500%），则按照该指标分值的30%扣分。</w:t>
            </w:r>
          </w:p>
        </w:tc>
        <w:tc>
          <w:tcPr>
            <w:tcW w:w="10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50,463.467948</w:t>
            </w:r>
          </w:p>
        </w:tc>
        <w:tc>
          <w:tcPr>
            <w:tcW w:w="9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51,492.182571</w:t>
            </w:r>
          </w:p>
        </w:tc>
        <w:tc>
          <w:tcPr>
            <w:tcW w:w="70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100.00%</w:t>
            </w:r>
          </w:p>
        </w:tc>
        <w:tc>
          <w:tcPr>
            <w:tcW w:w="75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72" w:hRule="atLeast"/>
        </w:trPr>
        <w:tc>
          <w:tcPr>
            <w:tcW w:w="1100" w:type="dxa"/>
            <w:gridSpan w:val="2"/>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gridSpan w:val="2"/>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基本支出</w:t>
            </w:r>
          </w:p>
        </w:tc>
        <w:tc>
          <w:tcPr>
            <w:tcW w:w="3050" w:type="dxa"/>
            <w:gridSpan w:val="2"/>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3425"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1037"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17,874.216583</w:t>
            </w:r>
          </w:p>
        </w:tc>
        <w:tc>
          <w:tcPr>
            <w:tcW w:w="91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17,146.406902</w:t>
            </w:r>
          </w:p>
        </w:tc>
        <w:tc>
          <w:tcPr>
            <w:tcW w:w="703"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716"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754" w:type="dxa"/>
            <w:vMerge w:val="continue"/>
            <w:tcBorders>
              <w:top w:val="single" w:color="auto"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366" w:hRule="atLeast"/>
        </w:trPr>
        <w:tc>
          <w:tcPr>
            <w:tcW w:w="1100"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项目支出</w:t>
            </w:r>
          </w:p>
        </w:tc>
        <w:tc>
          <w:tcPr>
            <w:tcW w:w="30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34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32,589.251365</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34,345.775669</w:t>
            </w: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754"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016" w:hRule="atLeast"/>
        </w:trPr>
        <w:tc>
          <w:tcPr>
            <w:tcW w:w="1100"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其他</w:t>
            </w:r>
          </w:p>
        </w:tc>
        <w:tc>
          <w:tcPr>
            <w:tcW w:w="30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34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0.000000</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0.000000</w:t>
            </w: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754"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0" w:hRule="atLeast"/>
        </w:trPr>
        <w:tc>
          <w:tcPr>
            <w:tcW w:w="1100"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0901" w:type="dxa"/>
            <w:gridSpan w:val="9"/>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0" w:hRule="atLeast"/>
        </w:trPr>
        <w:tc>
          <w:tcPr>
            <w:tcW w:w="14174"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0"/>
                <w:szCs w:val="20"/>
                <w:u w:val="none"/>
                <w:lang w:val="en-US" w:eastAsia="zh-CN" w:bidi="ar"/>
              </w:rPr>
              <w:t>二、整体绩效目标实现情况（60分）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0" w:hRule="atLeast"/>
        </w:trPr>
        <w:tc>
          <w:tcPr>
            <w:tcW w:w="75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0"/>
                <w:szCs w:val="20"/>
                <w:u w:val="none"/>
                <w:lang w:val="en-US" w:eastAsia="zh-CN" w:bidi="ar"/>
              </w:rPr>
              <w:t>一级指标</w:t>
            </w:r>
          </w:p>
        </w:tc>
        <w:tc>
          <w:tcPr>
            <w:tcW w:w="1272"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0"/>
                <w:szCs w:val="20"/>
                <w:u w:val="none"/>
                <w:lang w:val="en-US" w:eastAsia="zh-CN" w:bidi="ar"/>
              </w:rPr>
              <w:t>任务名称</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0"/>
                <w:szCs w:val="20"/>
                <w:u w:val="none"/>
                <w:lang w:val="en-US" w:eastAsia="zh-CN" w:bidi="ar"/>
              </w:rPr>
              <w:t>指标名称</w:t>
            </w:r>
          </w:p>
        </w:tc>
        <w:tc>
          <w:tcPr>
            <w:tcW w:w="20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0"/>
                <w:szCs w:val="20"/>
                <w:u w:val="none"/>
                <w:lang w:val="en-US" w:eastAsia="zh-CN" w:bidi="ar"/>
              </w:rPr>
              <w:t>指标内容和指标值</w:t>
            </w:r>
          </w:p>
        </w:tc>
        <w:tc>
          <w:tcPr>
            <w:tcW w:w="46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0"/>
                <w:szCs w:val="20"/>
                <w:u w:val="none"/>
                <w:lang w:val="en-US" w:eastAsia="zh-CN" w:bidi="ar"/>
              </w:rPr>
              <w:t>年度完成情况</w:t>
            </w:r>
          </w:p>
        </w:tc>
        <w:tc>
          <w:tcPr>
            <w:tcW w:w="26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0"/>
                <w:szCs w:val="20"/>
                <w:u w:val="none"/>
                <w:lang w:val="en-US" w:eastAsia="zh-CN" w:bidi="ar"/>
              </w:rPr>
              <w:t>分值</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0"/>
                <w:szCs w:val="20"/>
                <w:u w:val="none"/>
                <w:lang w:val="en-US" w:eastAsia="zh-CN" w:bidi="ar"/>
              </w:rPr>
              <w:t>得分率</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186" w:hRule="atLeast"/>
        </w:trPr>
        <w:tc>
          <w:tcPr>
            <w:tcW w:w="75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整体绩效目标实现情况（60分）</w:t>
            </w:r>
          </w:p>
        </w:tc>
        <w:tc>
          <w:tcPr>
            <w:tcW w:w="127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kern w:val="0"/>
                <w:sz w:val="20"/>
                <w:szCs w:val="20"/>
                <w:u w:val="none"/>
                <w:lang w:val="en-US" w:eastAsia="zh-CN" w:bidi="ar"/>
              </w:rPr>
              <w:t>安全应急管理</w:t>
            </w:r>
          </w:p>
        </w:tc>
        <w:tc>
          <w:tcPr>
            <w:tcW w:w="1312"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公共安全管理组织协调、辖区安全维稳、综合治理、重点安保、重点区域、突发应急等方面工作</w:t>
            </w:r>
          </w:p>
        </w:tc>
        <w:tc>
          <w:tcPr>
            <w:tcW w:w="20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通过开展辖区安全维稳工作，做好综合治理、重点安保、重点区域、突发应急等方面工作，提升辖区群众安全感和安全防范意识；保障辖区不发生涉恐维稳等事件，维护辖区稳定和谐</w:t>
            </w:r>
          </w:p>
        </w:tc>
        <w:tc>
          <w:tcPr>
            <w:tcW w:w="46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切实做好汛期的汛情应对工作，为镇防汛指挥部部分应急救援任务的成员单位购置防汛物资674个。建设镇域内电动自行车集中充电设施，保障人民群众生命财产安全，实现安全充电。做好规范化队伍建设，提高生产经营单位对安全生产工作重视度。通过开展对垃圾中转站的运行管理工作以及生活垃圾清运工作，保障镇域内产生的生活垃圾日产日清，营造洁净、整齐、美丽的人居环境。做好镇政府和党群服务中心秩序维护工作，印制新修订行政处罚文书模板，保障执法部门日常工作开展。完成对镇域内乡村公路进行养护，保障居民出行安全。</w:t>
            </w:r>
          </w:p>
        </w:tc>
        <w:tc>
          <w:tcPr>
            <w:tcW w:w="26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kern w:val="0"/>
                <w:sz w:val="20"/>
                <w:szCs w:val="20"/>
                <w:u w:val="none"/>
                <w:lang w:val="en-US" w:eastAsia="zh-CN" w:bidi="ar"/>
              </w:rPr>
              <w:t>15</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94.67%</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 xml:space="preserve">14.20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4" w:hRule="atLeast"/>
        </w:trPr>
        <w:tc>
          <w:tcPr>
            <w:tcW w:w="75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27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公共综合管理</w:t>
            </w:r>
          </w:p>
        </w:tc>
        <w:tc>
          <w:tcPr>
            <w:tcW w:w="1312"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法律政策宣传、镇域内管理整治、接诉即办等工作</w:t>
            </w:r>
          </w:p>
        </w:tc>
        <w:tc>
          <w:tcPr>
            <w:tcW w:w="20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通过开展法律政策宣传、镇域内管理整治、接诉即办等工作，强化瀛海镇综合管理，推动瀛海镇管理工作更加科学化、规范化和标准化，增强辖区居民的幸福感、获得感。</w:t>
            </w:r>
          </w:p>
        </w:tc>
        <w:tc>
          <w:tcPr>
            <w:tcW w:w="46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通过对镇域内居民开展法律、法规的宣传培训，提高居民法律意识。对2条镇域背街小巷环境进行精细化治理，提升背街小巷的环境水平。治理提升区域面积18000㎡，提升原姜场村周边环境，减少裸露土地面积，有效控制南海子公园空气质量监测站点周边一公里范围内扬尘污染源。治理提升区域面积68431.4㎡，提升社区周边环境，减少裸露土地面积，有效控制南海家园七里空气质量监测站点周边一公里范围内扬尘污染源。完成了接诉即办奖励经费以及专项资金的发放。通过开展对外宣传活动，完成了65篇信息发布，信息被北京电视台报道2篇。</w:t>
            </w:r>
          </w:p>
        </w:tc>
        <w:tc>
          <w:tcPr>
            <w:tcW w:w="26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kern w:val="0"/>
                <w:sz w:val="20"/>
                <w:szCs w:val="20"/>
                <w:u w:val="none"/>
                <w:lang w:val="en-US" w:eastAsia="zh-CN" w:bidi="ar"/>
              </w:rPr>
              <w:t>15</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98.67%</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 xml:space="preserve">14.80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75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272"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社会事务管理</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民生、养老、助残、拥军、卫生等各项社会事务管理工作</w:t>
            </w:r>
          </w:p>
        </w:tc>
        <w:tc>
          <w:tcPr>
            <w:tcW w:w="20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通过开展民生、养老、助残、拥军、卫生等各项社会事务管理工作，构筑基层治理体系，更好地服务辖区居民，提升居民的归属感、幸福感。建立镇级“枢纽型”社会组织工作体系，培育、指导、监督社区社会组织，加强社区标准化建设。</w:t>
            </w:r>
          </w:p>
        </w:tc>
        <w:tc>
          <w:tcPr>
            <w:tcW w:w="46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即时为社救对象、见义勇为人员发放养老院住院费、集中供暖补贴、清洁能源补贴、两节慰问金。通过对镇域内残疾人情况进行需求调查，共为1235人发放补助，应补尽补率100%。在春节前，向96位重残人员发放补贴，提升残疾人的生活质量及对生活的信心。为8名瀛海镇户籍义务兵发放义务兵奖励金，为优抚对象发放医疗救助金、取暖补贴。为957名瀛海户籍退役军人发放慰问品，为39名优抚对象、现役义务兵家属发放慰问品。通过对406名适龄女性进行体检，完成瀛海镇三分之一适龄女性的两癌筛查和长效体检工作。完成基本药物制度补助经费发放，保障地区百姓基本医疗服务，降低百姓就医成本，实现对6名乡村医生的补助发放。</w:t>
            </w:r>
          </w:p>
        </w:tc>
        <w:tc>
          <w:tcPr>
            <w:tcW w:w="26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kern w:val="0"/>
                <w:sz w:val="20"/>
                <w:szCs w:val="20"/>
                <w:u w:val="none"/>
                <w:lang w:val="en-US" w:eastAsia="zh-CN" w:bidi="ar"/>
              </w:rPr>
              <w:t>15</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96.00%</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 xml:space="preserve">14.40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61" w:hRule="atLeast"/>
        </w:trPr>
        <w:tc>
          <w:tcPr>
            <w:tcW w:w="75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27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精神文明建设</w:t>
            </w:r>
          </w:p>
        </w:tc>
        <w:tc>
          <w:tcPr>
            <w:tcW w:w="1312"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统筹做好辖区党建、组织人事、精神文明建设、人大、妇联等工作</w:t>
            </w:r>
          </w:p>
        </w:tc>
        <w:tc>
          <w:tcPr>
            <w:tcW w:w="20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统筹辖区党建、组织人事、精神文明建设、人大、妇联工作，为瀛海镇提供后勤保障，推动瀛海镇工作开展，保障机关正常运转。</w:t>
            </w:r>
          </w:p>
        </w:tc>
        <w:tc>
          <w:tcPr>
            <w:tcW w:w="46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瀛海社区报”公众号每周推送一次视频信息，记录群众生活的幸福样态。“瀛海爱生活”微信公众号每个工作日推送一次公众号信息，为居民提供社区信息,宣扬社区正能量。编写《瀛海镇社区志》，购置宣传提示牌、展板、条幅、小区平面图册等，覆盖16个社区、社区党委完成日常工作和宣传活动。为基层治理体系和治理能力现代化提供扎实的史料依据和参考借鉴。开展大兴区庆祝人民代表大会成立70周年活动，宣传人民代表大会制度优势，展示大兴人大发展生动实践，进一步激发全区人民的政治热情。通过制作1000册人代会培训材料，开展活动，提升人大代表履职能力。慰问30名贫困妇女、困境儿童，及时传递关心和关爱，提高妇女儿童幸福感。开展10余次重要及传统节日的庆祝活动，制作5份妇女报，丰富群众生活，弘扬中华传统文化。</w:t>
            </w:r>
          </w:p>
        </w:tc>
        <w:tc>
          <w:tcPr>
            <w:tcW w:w="26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95.33%</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14.30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0" w:hRule="atLeast"/>
        </w:trPr>
        <w:tc>
          <w:tcPr>
            <w:tcW w:w="75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9292" w:type="dxa"/>
            <w:gridSpan w:val="8"/>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0"/>
                <w:szCs w:val="20"/>
                <w:u w:val="none"/>
                <w:lang w:val="en-US" w:eastAsia="zh-CN" w:bidi="ar"/>
              </w:rPr>
              <w:t>小计</w:t>
            </w:r>
          </w:p>
        </w:tc>
        <w:tc>
          <w:tcPr>
            <w:tcW w:w="2654"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rPr>
            </w:pPr>
            <w:r>
              <w:rPr>
                <w:rFonts w:hint="eastAsia" w:ascii="宋体" w:hAnsi="宋体" w:eastAsia="宋体" w:cs="宋体"/>
                <w:b/>
                <w:bCs/>
                <w:i w:val="0"/>
                <w:iCs w:val="0"/>
                <w:color w:val="000000"/>
                <w:kern w:val="0"/>
                <w:sz w:val="20"/>
                <w:szCs w:val="20"/>
                <w:u w:val="none"/>
                <w:lang w:val="en-US" w:eastAsia="zh-CN" w:bidi="ar"/>
              </w:rPr>
              <w:t>60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kern w:val="0"/>
                <w:sz w:val="20"/>
                <w:szCs w:val="20"/>
                <w:u w:val="none"/>
                <w:lang w:val="en-US" w:eastAsia="zh-CN" w:bidi="ar"/>
              </w:rPr>
              <w:t xml:space="preserve">57.70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0" w:hRule="atLeast"/>
        </w:trPr>
        <w:tc>
          <w:tcPr>
            <w:tcW w:w="14174"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0" w:hRule="atLeast"/>
        </w:trPr>
        <w:tc>
          <w:tcPr>
            <w:tcW w:w="1100"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1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二级指标</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三级指标</w:t>
            </w:r>
          </w:p>
        </w:tc>
        <w:tc>
          <w:tcPr>
            <w:tcW w:w="3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指标解释</w:t>
            </w:r>
          </w:p>
        </w:tc>
        <w:tc>
          <w:tcPr>
            <w:tcW w:w="3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评分标准</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2023年数据</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2024年数据</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110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预算管理情况（20分）</w:t>
            </w:r>
          </w:p>
        </w:tc>
        <w:tc>
          <w:tcPr>
            <w:tcW w:w="1100" w:type="dxa"/>
            <w:gridSpan w:val="2"/>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财务管理（6）</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财务管理制度健全性</w:t>
            </w:r>
          </w:p>
        </w:tc>
        <w:tc>
          <w:tcPr>
            <w:tcW w:w="3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财务管理制度健全性：部门（单位）为加强财务管理、规范财务行为而制定的管理制度。</w:t>
            </w:r>
          </w:p>
        </w:tc>
        <w:tc>
          <w:tcPr>
            <w:tcW w:w="3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①预算资金管理办法、绩效跟踪管理办法、资产管理办法等各项制度是否健全；</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②部门内部财务管理制度是否完善、合规；</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③会计核算制度是否完整、合规。</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50.00%</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 xml:space="preserve">1.00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640" w:hRule="atLeast"/>
        </w:trPr>
        <w:tc>
          <w:tcPr>
            <w:tcW w:w="110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资金使用合规性和安全性</w:t>
            </w:r>
          </w:p>
        </w:tc>
        <w:tc>
          <w:tcPr>
            <w:tcW w:w="3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资金使用合规性和安全性：部门（单位）使用预算资金是否符合相关的预算财务管理制度的规定，是否符合相关规定的开支范围，用以反映考核部门（单位）预算资金的规范运行和安全运行情况。</w:t>
            </w:r>
          </w:p>
        </w:tc>
        <w:tc>
          <w:tcPr>
            <w:tcW w:w="3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①是否符合国家财经法规和财务管理制度规定以及有关专项资金管理办法的规定；</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②资金的拨付是否有完整的审批程序和手续；</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③项目的重大开支是否经过评估论证；</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④是否符合部门预算批复的用途；</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⑤是否存在截留、挤占、挪用情况；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⑥资金使用是否符合政府采购的程序和流程；</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⑦资金使用是否符合公务卡结算相关制度和规定。</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每有一项不合格扣0.5分，扣完为止。</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75.00%</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 xml:space="preserve">1.50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110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会计基础信息完善性</w:t>
            </w:r>
          </w:p>
        </w:tc>
        <w:tc>
          <w:tcPr>
            <w:tcW w:w="3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会计基础信息完善性：部门（单位）会计基础信息情况。</w:t>
            </w:r>
          </w:p>
        </w:tc>
        <w:tc>
          <w:tcPr>
            <w:tcW w:w="3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①基础数据信息和会计信息资料是否真实；</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②基础数据信息和会计信息资料是否完整；</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③基础数据信息和会计信息资料是否准确。</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100.00%</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 xml:space="preserve">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87" w:hRule="atLeast"/>
        </w:trPr>
        <w:tc>
          <w:tcPr>
            <w:tcW w:w="110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资产管理（5）</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资产管理规范性</w:t>
            </w:r>
          </w:p>
        </w:tc>
        <w:tc>
          <w:tcPr>
            <w:tcW w:w="3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资产管理规范性：部门（单位）的资产是否保持安全完整，资产配置是否合理，资产使用和资产处理是否规范，用以反映和考核部门（单位）资产管理的整体水平。</w:t>
            </w:r>
          </w:p>
        </w:tc>
        <w:tc>
          <w:tcPr>
            <w:tcW w:w="3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①对外投资行为是否经审批，是否存在投资亏损；</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②是否有因管理不当发生严重资产损失和丢失情况；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③是否存在超标准配置资产；</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④资产使用是否规范，是否存在未经批准擅自出租、出借资产行为；</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⑤资产处置是否规范，是否存在不按要求进行报批或资产不公开处置行为；</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⑥其他资产管理制度办法执行情况。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100.00%</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 xml:space="preserve">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60" w:hRule="atLeast"/>
        </w:trPr>
        <w:tc>
          <w:tcPr>
            <w:tcW w:w="110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绩效管理（5）</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绩效管理情况</w:t>
            </w:r>
          </w:p>
        </w:tc>
        <w:tc>
          <w:tcPr>
            <w:tcW w:w="3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绩效管理情况：考核部门（单位）在绩效管理信息的汇总和应用情况。</w:t>
            </w:r>
          </w:p>
        </w:tc>
        <w:tc>
          <w:tcPr>
            <w:tcW w:w="3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①部门（单位）是否及时对绩效信息进行汇总分析整理；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②部门（单位）是否对绩效目标偏离情况及时进行矫正。</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每有一项不合格扣2.5分。</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100.00%</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 xml:space="preserve">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200" w:hRule="atLeast"/>
        </w:trPr>
        <w:tc>
          <w:tcPr>
            <w:tcW w:w="110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部门预决算差异率（4）</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部门预决算差异率</w:t>
            </w:r>
          </w:p>
        </w:tc>
        <w:tc>
          <w:tcPr>
            <w:tcW w:w="3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通过年度部门决算与年初部门预算对比，对部门的年度支出情况进行考核，衡量部门预算的约束力。</w:t>
            </w:r>
          </w:p>
        </w:tc>
        <w:tc>
          <w:tcPr>
            <w:tcW w:w="3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部门预决算差异率（绝对值）低于上年的不扣分；高于上年部门预决算差异率，每高出1个百分点扣0.4分，扣完为止。</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34.99%</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2.04%</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100.00%</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 xml:space="preserve">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20" w:hRule="atLeast"/>
        </w:trPr>
        <w:tc>
          <w:tcPr>
            <w:tcW w:w="110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0901" w:type="dxa"/>
            <w:gridSpan w:val="9"/>
            <w:tcBorders>
              <w:top w:val="single" w:color="000000" w:sz="4" w:space="0"/>
              <w:left w:val="single" w:color="auto"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0"/>
                <w:szCs w:val="20"/>
                <w:u w:val="none"/>
                <w:lang w:val="en-US" w:eastAsia="zh-CN" w:bidi="ar"/>
              </w:rPr>
              <w:t xml:space="preserve">18.50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20" w:hRule="atLeast"/>
        </w:trPr>
        <w:tc>
          <w:tcPr>
            <w:tcW w:w="12001"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合计</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rPr>
            </w:pPr>
            <w:r>
              <w:rPr>
                <w:rFonts w:hint="eastAsia" w:ascii="宋体" w:hAnsi="宋体" w:eastAsia="宋体" w:cs="宋体"/>
                <w:b/>
                <w:bCs/>
                <w:i w:val="0"/>
                <w:iCs w:val="0"/>
                <w:color w:val="000000"/>
                <w:kern w:val="0"/>
                <w:sz w:val="21"/>
                <w:szCs w:val="21"/>
                <w:highlight w:val="none"/>
                <w:u w:val="none"/>
                <w:lang w:val="en-US" w:eastAsia="zh-CN" w:bidi="ar"/>
              </w:rPr>
              <w:t>100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96.20</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b/>
          <w:bCs/>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填报说明：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both"/>
        <w:textAlignment w:val="auto"/>
        <w:outlineLvl w:val="9"/>
        <w:rPr>
          <w:rFonts w:hint="default" w:ascii="仿宋_GB2312" w:hAnsi="仿宋_GB2312" w:eastAsia="仿宋_GB2312" w:cs="仿宋_GB2312"/>
          <w:b/>
          <w:bCs/>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1.此表分为三个部分，各部分总体分值已经确定，第一部分总分20分，第二部分总分60分，第三部分总分20分，无需更改。根据各部分得分情况加总得到最终自评得分。资金支出金额应当为部门本级和所属单位2024年度全部支出金额（与决算保持一致）。</w:t>
      </w:r>
      <w:r>
        <w:rPr>
          <w:rFonts w:hint="eastAsia" w:ascii="仿宋_GB2312" w:hAnsi="仿宋_GB2312" w:eastAsia="仿宋_GB2312" w:cs="仿宋_GB2312"/>
          <w:b/>
          <w:bCs/>
          <w:i w:val="0"/>
          <w:iCs w:val="0"/>
          <w:color w:val="auto"/>
          <w:kern w:val="0"/>
          <w:sz w:val="24"/>
          <w:szCs w:val="24"/>
          <w:highlight w:val="none"/>
          <w:u w:val="none"/>
          <w:lang w:val="en-US" w:eastAsia="zh-CN" w:bidi="ar"/>
        </w:rPr>
        <w:t>预算数=年初预算+年中追加-12月1日前追减数。差异率=（预算数-决算数）/预算数*100%，打分时用2024年差异率（绝对值）-2023年差异率（绝对值），相减结果为1%（含）-2%，扣0.4分，2%（含）-3%，扣0.8分，以此类推，每高出1个百分点扣0.4分，扣完为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both"/>
        <w:textAlignment w:val="auto"/>
        <w:outlineLvl w:val="9"/>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2.第一部分“当年预算执行情况”与第三部分“预算管理情况”各级指标、指标解释、评分标准、单项指标分值均已确定，填报部门（单位）根据本部门对应年度执行情况进行自我评价打分，评分方式详见指标对应评分标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第二部分“整体绩效目标实现情况”填报分为四步。</w:t>
      </w:r>
      <w:r>
        <w:rPr>
          <w:rFonts w:hint="eastAsia" w:ascii="仿宋_GB2312" w:hAnsi="仿宋_GB2312" w:eastAsia="仿宋_GB2312" w:cs="仿宋_GB2312"/>
          <w:b/>
          <w:bCs/>
          <w:i w:val="0"/>
          <w:iCs w:val="0"/>
          <w:color w:val="auto"/>
          <w:kern w:val="0"/>
          <w:sz w:val="24"/>
          <w:szCs w:val="24"/>
          <w:highlight w:val="none"/>
          <w:u w:val="none"/>
          <w:lang w:val="en-US" w:eastAsia="zh-CN" w:bidi="ar"/>
        </w:rPr>
        <w:t>第一步：</w:t>
      </w:r>
      <w:r>
        <w:rPr>
          <w:rFonts w:hint="eastAsia" w:ascii="仿宋_GB2312" w:hAnsi="仿宋_GB2312" w:eastAsia="仿宋_GB2312" w:cs="仿宋_GB2312"/>
          <w:i w:val="0"/>
          <w:iCs w:val="0"/>
          <w:color w:val="auto"/>
          <w:kern w:val="0"/>
          <w:sz w:val="24"/>
          <w:szCs w:val="24"/>
          <w:highlight w:val="none"/>
          <w:u w:val="none"/>
          <w:lang w:val="en-US" w:eastAsia="zh-CN" w:bidi="ar"/>
        </w:rPr>
        <w:t>“任务名称”“指标名称”“指标内容和指标值”为当年度整体绩效目标申报表中对应内容，即年初申报的目标内容及指标值，将年初申报内容复制到表格中。</w:t>
      </w:r>
      <w:r>
        <w:rPr>
          <w:rFonts w:hint="eastAsia" w:ascii="仿宋_GB2312" w:hAnsi="仿宋_GB2312" w:eastAsia="仿宋_GB2312" w:cs="仿宋_GB2312"/>
          <w:b/>
          <w:bCs/>
          <w:i w:val="0"/>
          <w:iCs w:val="0"/>
          <w:color w:val="auto"/>
          <w:kern w:val="0"/>
          <w:sz w:val="24"/>
          <w:szCs w:val="24"/>
          <w:highlight w:val="none"/>
          <w:u w:val="none"/>
          <w:lang w:val="en-US" w:eastAsia="zh-CN" w:bidi="ar"/>
        </w:rPr>
        <w:t>第二步：</w:t>
      </w:r>
      <w:r>
        <w:rPr>
          <w:rFonts w:hint="eastAsia" w:ascii="仿宋_GB2312" w:hAnsi="仿宋_GB2312" w:eastAsia="仿宋_GB2312" w:cs="仿宋_GB2312"/>
          <w:i w:val="0"/>
          <w:iCs w:val="0"/>
          <w:color w:val="auto"/>
          <w:kern w:val="0"/>
          <w:sz w:val="24"/>
          <w:szCs w:val="24"/>
          <w:highlight w:val="none"/>
          <w:u w:val="none"/>
          <w:lang w:val="en-US" w:eastAsia="zh-CN" w:bidi="ar"/>
        </w:rPr>
        <w:t>“年度完成情况”填写当年度该项指标实际完成情况，完成情况应与指标内容和指标值对应。</w:t>
      </w:r>
      <w:r>
        <w:rPr>
          <w:rFonts w:hint="eastAsia" w:ascii="仿宋_GB2312" w:hAnsi="仿宋_GB2312" w:eastAsia="仿宋_GB2312" w:cs="仿宋_GB2312"/>
          <w:b/>
          <w:bCs/>
          <w:i w:val="0"/>
          <w:iCs w:val="0"/>
          <w:color w:val="auto"/>
          <w:kern w:val="0"/>
          <w:sz w:val="24"/>
          <w:szCs w:val="24"/>
          <w:highlight w:val="none"/>
          <w:u w:val="none"/>
          <w:lang w:val="en-US" w:eastAsia="zh-CN" w:bidi="ar"/>
        </w:rPr>
        <w:t>第三步：</w:t>
      </w:r>
      <w:r>
        <w:rPr>
          <w:rFonts w:hint="eastAsia" w:ascii="仿宋_GB2312" w:hAnsi="仿宋_GB2312" w:eastAsia="仿宋_GB2312" w:cs="仿宋_GB2312"/>
          <w:i w:val="0"/>
          <w:iCs w:val="0"/>
          <w:color w:val="auto"/>
          <w:kern w:val="0"/>
          <w:sz w:val="24"/>
          <w:szCs w:val="24"/>
          <w:highlight w:val="none"/>
          <w:u w:val="none"/>
          <w:lang w:val="en-US" w:eastAsia="zh-CN" w:bidi="ar"/>
        </w:rPr>
        <w:t>为每项指标赋予权重分值，该部分总体分值为60分，各项指标权重分值加和应等于60分。分值分配应体现突出重点、兼顾平均原则，各项指标分值可存在差异但不应差异过大。</w:t>
      </w:r>
      <w:r>
        <w:rPr>
          <w:rFonts w:hint="eastAsia" w:ascii="仿宋_GB2312" w:hAnsi="仿宋_GB2312" w:eastAsia="仿宋_GB2312" w:cs="仿宋_GB2312"/>
          <w:b/>
          <w:bCs/>
          <w:i w:val="0"/>
          <w:iCs w:val="0"/>
          <w:color w:val="auto"/>
          <w:kern w:val="0"/>
          <w:sz w:val="24"/>
          <w:szCs w:val="24"/>
          <w:highlight w:val="none"/>
          <w:u w:val="none"/>
          <w:lang w:val="en-US" w:eastAsia="zh-CN" w:bidi="ar"/>
        </w:rPr>
        <w:t>第四步：</w:t>
      </w:r>
      <w:r>
        <w:rPr>
          <w:rFonts w:hint="eastAsia" w:ascii="仿宋_GB2312" w:hAnsi="仿宋_GB2312" w:eastAsia="仿宋_GB2312" w:cs="仿宋_GB2312"/>
          <w:i w:val="0"/>
          <w:iCs w:val="0"/>
          <w:color w:val="auto"/>
          <w:kern w:val="0"/>
          <w:sz w:val="24"/>
          <w:szCs w:val="24"/>
          <w:highlight w:val="none"/>
          <w:u w:val="none"/>
          <w:lang w:val="en-US" w:eastAsia="zh-CN" w:bidi="ar"/>
        </w:rPr>
        <w:t>根据年度完成情况与年初设置目标进行对比，计算得分率，每项指标分值*得分率即为该项指标最终得分。计算规则如下</w:t>
      </w:r>
      <w:r>
        <w:rPr>
          <w:rFonts w:hint="eastAsia" w:ascii="仿宋_GB2312" w:hAnsi="仿宋_GB2312" w:eastAsia="仿宋_GB2312" w:cs="仿宋_GB2312"/>
          <w:b/>
          <w:bCs/>
          <w:i w:val="0"/>
          <w:iCs w:val="0"/>
          <w:color w:val="auto"/>
          <w:kern w:val="0"/>
          <w:sz w:val="24"/>
          <w:szCs w:val="24"/>
          <w:highlight w:val="none"/>
          <w:u w:val="none"/>
          <w:lang w:val="en-US" w:eastAsia="zh-CN" w:bidi="ar"/>
        </w:rPr>
        <w:t>①</w:t>
      </w:r>
      <w:r>
        <w:rPr>
          <w:rFonts w:hint="eastAsia" w:ascii="仿宋_GB2312" w:hAnsi="仿宋_GB2312" w:eastAsia="仿宋_GB2312" w:cs="仿宋_GB2312"/>
          <w:color w:val="auto"/>
          <w:sz w:val="24"/>
          <w:szCs w:val="24"/>
          <w:highlight w:val="none"/>
          <w:lang w:val="en-US" w:eastAsia="zh-CN"/>
        </w:rPr>
        <w:t>若</w:t>
      </w:r>
      <w:r>
        <w:rPr>
          <w:rFonts w:hint="eastAsia" w:ascii="仿宋_GB2312" w:hAnsi="仿宋_GB2312" w:eastAsia="仿宋_GB2312" w:cs="仿宋_GB2312"/>
          <w:i w:val="0"/>
          <w:iCs w:val="0"/>
          <w:color w:val="auto"/>
          <w:kern w:val="0"/>
          <w:sz w:val="24"/>
          <w:szCs w:val="24"/>
          <w:highlight w:val="none"/>
          <w:u w:val="none"/>
          <w:lang w:val="en-US" w:eastAsia="zh-CN" w:bidi="ar"/>
        </w:rPr>
        <w:t>指标为定量正向指标，则得分率计算方法应用全年实际值（B）/年度指标值（A），若指标为定量反向指标，则得分率计算方法应用年度指标值（A）/全年实际值（B）。</w:t>
      </w:r>
      <w:r>
        <w:rPr>
          <w:rFonts w:hint="eastAsia" w:ascii="仿宋_GB2312" w:hAnsi="仿宋_GB2312" w:eastAsia="仿宋_GB2312" w:cs="仿宋_GB2312"/>
          <w:b/>
          <w:bCs/>
          <w:i w:val="0"/>
          <w:iCs w:val="0"/>
          <w:color w:val="auto"/>
          <w:kern w:val="0"/>
          <w:sz w:val="24"/>
          <w:szCs w:val="24"/>
          <w:highlight w:val="none"/>
          <w:u w:val="none"/>
          <w:lang w:val="en-US" w:eastAsia="zh-CN" w:bidi="ar"/>
        </w:rPr>
        <w:t>②</w:t>
      </w:r>
      <w:r>
        <w:rPr>
          <w:rFonts w:hint="eastAsia" w:ascii="仿宋_GB2312" w:hAnsi="仿宋_GB2312" w:eastAsia="仿宋_GB2312" w:cs="仿宋_GB2312"/>
          <w:i w:val="0"/>
          <w:iCs w:val="0"/>
          <w:color w:val="auto"/>
          <w:kern w:val="0"/>
          <w:sz w:val="24"/>
          <w:szCs w:val="24"/>
          <w:highlight w:val="none"/>
          <w:u w:val="none"/>
          <w:lang w:val="en-US" w:eastAsia="zh-CN" w:bidi="ar"/>
        </w:rPr>
        <w:t>若年初指标值设定偏低导致得分率在200%-300%（含200%）区间，则按照该指标分值的10%扣分，计算得分率在300%-500%（含300%）区间，则按照该指标分值的20%扣分，计算得分率高于500%（含500%），则按照该指标分值的30%扣分。</w:t>
      </w:r>
      <w:r>
        <w:rPr>
          <w:rFonts w:hint="eastAsia" w:ascii="仿宋_GB2312" w:hAnsi="仿宋_GB2312" w:eastAsia="仿宋_GB2312" w:cs="仿宋_GB2312"/>
          <w:b/>
          <w:bCs/>
          <w:i w:val="0"/>
          <w:iCs w:val="0"/>
          <w:color w:val="auto"/>
          <w:kern w:val="0"/>
          <w:sz w:val="24"/>
          <w:szCs w:val="24"/>
          <w:highlight w:val="none"/>
          <w:u w:val="none"/>
          <w:lang w:val="en-US" w:eastAsia="zh-CN" w:bidi="ar"/>
        </w:rPr>
        <w:t>③</w:t>
      </w:r>
      <w:r>
        <w:rPr>
          <w:rFonts w:hint="eastAsia" w:ascii="仿宋_GB2312" w:hAnsi="仿宋_GB2312" w:eastAsia="仿宋_GB2312" w:cs="仿宋_GB2312"/>
          <w:i w:val="0"/>
          <w:iCs w:val="0"/>
          <w:color w:val="auto"/>
          <w:kern w:val="0"/>
          <w:sz w:val="24"/>
          <w:szCs w:val="24"/>
          <w:highlight w:val="none"/>
          <w:u w:val="none"/>
          <w:lang w:val="en-US" w:eastAsia="zh-CN" w:bidi="ar"/>
        </w:rPr>
        <w:t>若为定性指标，则根据完成情况分为“优、良、中、差”四等，“优”获得该项分值90%-100%，“良”获得该项分值80%-90%，“中”获得该项分值60%-80%，“差”获得该项分值0%-60%。</w:t>
      </w:r>
    </w:p>
    <w:p>
      <w:pPr>
        <w:pageBreakBefore w:val="0"/>
        <w:widowControl w:val="0"/>
        <w:kinsoku/>
        <w:wordWrap/>
        <w:overflowPunct/>
        <w:topLinePunct w:val="0"/>
        <w:autoSpaceDE/>
        <w:autoSpaceDN/>
        <w:bidi w:val="0"/>
        <w:spacing w:beforeAutospacing="0" w:afterAutospacing="0" w:line="560" w:lineRule="exact"/>
        <w:jc w:val="center"/>
        <w:textAlignment w:val="auto"/>
        <w:rPr>
          <w:rFonts w:hint="eastAsia" w:ascii="方正小标宋简体" w:hAnsi="方正小标宋简体" w:eastAsia="方正小标宋简体" w:cs="方正小标宋简体"/>
          <w:b w:val="0"/>
          <w:bCs w:val="0"/>
          <w:sz w:val="44"/>
          <w:szCs w:val="44"/>
          <w:highlight w:val="none"/>
        </w:rPr>
      </w:pPr>
      <w:r>
        <w:rPr>
          <w:rFonts w:hint="eastAsia" w:ascii="楷体_GB2312" w:hAnsi="楷体_GB2312" w:eastAsia="楷体_GB2312" w:cs="楷体_GB2312"/>
          <w:b/>
          <w:bCs/>
          <w:color w:val="0000FF"/>
          <w:sz w:val="44"/>
          <w:szCs w:val="44"/>
          <w:highlight w:val="none"/>
        </w:rPr>
        <w:br w:type="page"/>
      </w:r>
      <w:r>
        <w:rPr>
          <w:rFonts w:hint="eastAsia" w:ascii="方正小标宋简体" w:hAnsi="方正小标宋简体" w:eastAsia="方正小标宋简体" w:cs="方正小标宋简体"/>
          <w:b w:val="0"/>
          <w:bCs w:val="0"/>
          <w:sz w:val="44"/>
          <w:szCs w:val="44"/>
          <w:highlight w:val="none"/>
          <w:lang w:eastAsia="zh-CN"/>
        </w:rPr>
        <w:t>项目</w:t>
      </w:r>
      <w:r>
        <w:rPr>
          <w:rFonts w:hint="eastAsia" w:ascii="方正小标宋简体" w:hAnsi="方正小标宋简体" w:eastAsia="方正小标宋简体" w:cs="方正小标宋简体"/>
          <w:b w:val="0"/>
          <w:bCs w:val="0"/>
          <w:sz w:val="44"/>
          <w:szCs w:val="44"/>
          <w:highlight w:val="none"/>
        </w:rPr>
        <w:t>绩效评价报告</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eastAsia" w:ascii="仿宋_GB2312" w:hAnsi="Times New Roman" w:eastAsia="仿宋_GB2312" w:cs="Times New Roman"/>
          <w:bCs w:val="0"/>
          <w:kern w:val="44"/>
          <w:sz w:val="28"/>
          <w:szCs w:val="28"/>
          <w:lang w:val="en-US" w:eastAsia="zh-CN" w:bidi="ar-SA"/>
        </w:rPr>
      </w:pPr>
      <w:r>
        <w:rPr>
          <w:rFonts w:hint="eastAsia" w:ascii="仿宋_GB2312" w:hAnsi="Times New Roman" w:eastAsia="仿宋_GB2312" w:cs="Times New Roman"/>
          <w:bCs w:val="0"/>
          <w:kern w:val="44"/>
          <w:sz w:val="28"/>
          <w:szCs w:val="28"/>
          <w:lang w:val="en-US" w:eastAsia="zh-CN" w:bidi="ar-SA"/>
        </w:rPr>
        <w:t>202</w:t>
      </w:r>
      <w:r>
        <w:rPr>
          <w:rFonts w:hint="eastAsia" w:ascii="仿宋_GB2312" w:eastAsia="仿宋_GB2312" w:cs="Times New Roman"/>
          <w:bCs w:val="0"/>
          <w:kern w:val="44"/>
          <w:sz w:val="28"/>
          <w:szCs w:val="28"/>
          <w:lang w:val="en-US" w:eastAsia="zh-CN" w:bidi="ar-SA"/>
        </w:rPr>
        <w:t>4</w:t>
      </w:r>
      <w:r>
        <w:rPr>
          <w:rFonts w:hint="eastAsia" w:ascii="仿宋_GB2312" w:hAnsi="Times New Roman" w:eastAsia="仿宋_GB2312" w:cs="Times New Roman"/>
          <w:bCs w:val="0"/>
          <w:kern w:val="44"/>
          <w:sz w:val="28"/>
          <w:szCs w:val="28"/>
          <w:lang w:val="en-US" w:eastAsia="zh-CN" w:bidi="ar-SA"/>
        </w:rPr>
        <w:t>年度</w:t>
      </w:r>
      <w:r>
        <w:rPr>
          <w:rFonts w:hint="eastAsia" w:ascii="仿宋_GB2312" w:eastAsia="仿宋_GB2312" w:cs="Times New Roman"/>
          <w:bCs w:val="0"/>
          <w:kern w:val="44"/>
          <w:sz w:val="28"/>
          <w:szCs w:val="28"/>
          <w:lang w:val="en-US" w:eastAsia="zh-CN" w:bidi="ar-SA"/>
        </w:rPr>
        <w:t>我镇</w:t>
      </w:r>
      <w:r>
        <w:rPr>
          <w:rFonts w:hint="eastAsia" w:ascii="仿宋_GB2312" w:hAnsi="Times New Roman" w:eastAsia="仿宋_GB2312" w:cs="Times New Roman"/>
          <w:bCs w:val="0"/>
          <w:kern w:val="44"/>
          <w:sz w:val="28"/>
          <w:szCs w:val="28"/>
          <w:lang w:val="en-US" w:eastAsia="zh-CN" w:bidi="ar-SA"/>
        </w:rPr>
        <w:t>组织开展了项目支出财政评价，评价情况如下：</w:t>
      </w:r>
    </w:p>
    <w:p>
      <w:pPr>
        <w:pStyle w:val="3"/>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ascii="黑体" w:hAnsi="黑体" w:eastAsia="黑体"/>
          <w:b w:val="0"/>
          <w:sz w:val="28"/>
          <w:szCs w:val="28"/>
        </w:rPr>
      </w:pPr>
      <w:bookmarkStart w:id="13" w:name="_Toc15919"/>
      <w:bookmarkStart w:id="14" w:name="_Toc455492203"/>
      <w:r>
        <w:rPr>
          <w:rFonts w:ascii="黑体" w:hAnsi="黑体" w:eastAsia="黑体"/>
          <w:b w:val="0"/>
          <w:sz w:val="28"/>
          <w:szCs w:val="28"/>
        </w:rPr>
        <w:t>一、</w:t>
      </w:r>
      <w:r>
        <w:rPr>
          <w:rFonts w:hint="eastAsia" w:ascii="黑体" w:hAnsi="黑体" w:eastAsia="黑体"/>
          <w:b w:val="0"/>
          <w:sz w:val="28"/>
          <w:szCs w:val="28"/>
        </w:rPr>
        <w:t>基本情况</w:t>
      </w:r>
      <w:bookmarkEnd w:id="13"/>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楷体_GB2312" w:hAnsi="楷体_GB2312" w:eastAsia="楷体_GB2312" w:cs="楷体_GB2312"/>
          <w:b w:val="0"/>
          <w:bCs w:val="0"/>
          <w:sz w:val="28"/>
          <w:szCs w:val="28"/>
        </w:rPr>
      </w:pPr>
      <w:bookmarkStart w:id="15" w:name="_Toc18434"/>
      <w:r>
        <w:rPr>
          <w:rFonts w:hint="eastAsia" w:ascii="楷体_GB2312" w:hAnsi="楷体_GB2312" w:eastAsia="楷体_GB2312" w:cs="楷体_GB2312"/>
          <w:b w:val="0"/>
          <w:bCs w:val="0"/>
          <w:sz w:val="28"/>
          <w:szCs w:val="28"/>
        </w:rPr>
        <w:t>（一）项目概况</w:t>
      </w:r>
      <w:bookmarkEnd w:id="14"/>
      <w:bookmarkEnd w:id="15"/>
    </w:p>
    <w:p>
      <w:pPr>
        <w:pStyle w:val="25"/>
        <w:pageBreakBefore w:val="0"/>
        <w:widowControl w:val="0"/>
        <w:kinsoku/>
        <w:wordWrap/>
        <w:overflowPunct/>
        <w:topLinePunct w:val="0"/>
        <w:autoSpaceDE/>
        <w:autoSpaceDN/>
        <w:bidi w:val="0"/>
        <w:spacing w:beforeAutospacing="0" w:afterAutospacing="0" w:line="560" w:lineRule="exact"/>
        <w:ind w:firstLine="640"/>
        <w:textAlignment w:val="auto"/>
        <w:rPr>
          <w:rFonts w:hint="eastAsia" w:ascii="仿宋_GB2312" w:eastAsia="仿宋_GB2312"/>
          <w:bCs/>
          <w:kern w:val="44"/>
          <w:sz w:val="28"/>
          <w:szCs w:val="28"/>
        </w:rPr>
      </w:pPr>
      <w:r>
        <w:rPr>
          <w:rFonts w:hint="eastAsia" w:ascii="仿宋_GB2312" w:eastAsia="仿宋_GB2312"/>
          <w:bCs/>
          <w:kern w:val="44"/>
          <w:sz w:val="28"/>
          <w:szCs w:val="28"/>
        </w:rPr>
        <w:t>1.项目背景</w:t>
      </w:r>
    </w:p>
    <w:p>
      <w:pPr>
        <w:pStyle w:val="11"/>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ascii="仿宋_GB2312"/>
          <w:kern w:val="44"/>
          <w:sz w:val="28"/>
          <w:szCs w:val="28"/>
        </w:rPr>
      </w:pPr>
      <w:r>
        <w:rPr>
          <w:rFonts w:hint="eastAsia" w:ascii="仿宋_GB2312"/>
          <w:bCs w:val="0"/>
          <w:kern w:val="44"/>
          <w:sz w:val="28"/>
          <w:szCs w:val="28"/>
          <w:lang w:eastAsia="zh-CN"/>
        </w:rPr>
        <w:t>该项目</w:t>
      </w:r>
      <w:r>
        <w:rPr>
          <w:rFonts w:hint="eastAsia" w:ascii="仿宋_GB2312"/>
          <w:bCs w:val="0"/>
          <w:kern w:val="44"/>
          <w:sz w:val="28"/>
          <w:szCs w:val="28"/>
        </w:rPr>
        <w:t>依据《中共北京市大兴区瀛海镇委员会瀛海镇创建国家卫生区综合工作方案》（兴瀛发〔2022〕12号）、《病媒生物综合管理技术规范城镇》（GB/T27775—2011）、《病媒生物密度控制水平——（蚊蝇鼠蟑）》等文件要求设立，为持续有效降低“四害”密度，达到“国家卫生镇”创建病媒生物防制（蚊蝇鼠蟑）C级标准，北京市大兴区瀛海镇人民政府</w:t>
      </w:r>
      <w:r>
        <w:rPr>
          <w:rFonts w:hint="eastAsia" w:ascii="仿宋_GB2312"/>
          <w:bCs w:val="0"/>
          <w:kern w:val="44"/>
          <w:sz w:val="28"/>
          <w:szCs w:val="28"/>
          <w:lang w:eastAsia="zh-CN"/>
        </w:rPr>
        <w:t>（</w:t>
      </w:r>
      <w:r>
        <w:rPr>
          <w:rFonts w:hint="eastAsia" w:ascii="仿宋_GB2312"/>
          <w:bCs w:val="0"/>
          <w:kern w:val="44"/>
          <w:sz w:val="28"/>
          <w:szCs w:val="28"/>
          <w:lang w:val="en-US" w:eastAsia="zh-CN"/>
        </w:rPr>
        <w:t>以下简称“</w:t>
      </w:r>
      <w:r>
        <w:rPr>
          <w:rFonts w:hint="eastAsia" w:ascii="仿宋_GB2312"/>
          <w:bCs w:val="0"/>
          <w:kern w:val="44"/>
          <w:sz w:val="28"/>
          <w:szCs w:val="28"/>
        </w:rPr>
        <w:t>瀛海镇</w:t>
      </w:r>
      <w:r>
        <w:rPr>
          <w:rFonts w:hint="eastAsia" w:ascii="仿宋_GB2312"/>
          <w:bCs w:val="0"/>
          <w:kern w:val="44"/>
          <w:sz w:val="28"/>
          <w:szCs w:val="28"/>
          <w:lang w:val="en-US" w:eastAsia="zh-CN"/>
        </w:rPr>
        <w:t>”</w:t>
      </w:r>
      <w:r>
        <w:rPr>
          <w:rFonts w:hint="eastAsia" w:ascii="仿宋_GB2312"/>
          <w:bCs w:val="0"/>
          <w:kern w:val="44"/>
          <w:sz w:val="28"/>
          <w:szCs w:val="28"/>
          <w:lang w:eastAsia="zh-CN"/>
        </w:rPr>
        <w:t>）需</w:t>
      </w:r>
      <w:r>
        <w:rPr>
          <w:rFonts w:hint="eastAsia" w:ascii="仿宋_GB2312"/>
          <w:bCs w:val="0"/>
          <w:kern w:val="44"/>
          <w:sz w:val="28"/>
          <w:szCs w:val="28"/>
        </w:rPr>
        <w:t>聘用专业病媒防制机构对全镇公共区域外环境进行规范防制</w:t>
      </w:r>
      <w:r>
        <w:rPr>
          <w:rFonts w:hint="eastAsia" w:ascii="仿宋_GB2312"/>
          <w:kern w:val="44"/>
          <w:sz w:val="28"/>
          <w:szCs w:val="28"/>
        </w:rPr>
        <w:t>。</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eastAsia" w:ascii="仿宋_GB2312" w:eastAsia="仿宋_GB2312"/>
          <w:bCs/>
          <w:kern w:val="44"/>
          <w:sz w:val="28"/>
          <w:szCs w:val="28"/>
        </w:rPr>
      </w:pPr>
      <w:r>
        <w:rPr>
          <w:rFonts w:hint="eastAsia" w:ascii="仿宋_GB2312" w:eastAsia="仿宋_GB2312"/>
          <w:bCs/>
          <w:kern w:val="44"/>
          <w:sz w:val="28"/>
          <w:szCs w:val="28"/>
        </w:rPr>
        <w:t>2.主要内容及实施情况</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eastAsia" w:ascii="仿宋_GB2312" w:hAnsi="Times New Roman" w:eastAsia="仿宋_GB2312" w:cs="Times New Roman"/>
          <w:bCs/>
          <w:kern w:val="44"/>
          <w:sz w:val="28"/>
          <w:szCs w:val="28"/>
          <w:lang w:eastAsia="zh-CN"/>
        </w:rPr>
      </w:pPr>
      <w:r>
        <w:rPr>
          <w:rFonts w:hint="eastAsia" w:ascii="仿宋_GB2312" w:eastAsia="仿宋_GB2312"/>
          <w:bCs/>
          <w:kern w:val="44"/>
          <w:sz w:val="28"/>
          <w:szCs w:val="28"/>
          <w:lang w:eastAsia="zh-CN"/>
        </w:rPr>
        <w:t>该项目</w:t>
      </w:r>
      <w:r>
        <w:rPr>
          <w:rFonts w:hint="eastAsia" w:ascii="仿宋_GB2312" w:eastAsia="仿宋_GB2312"/>
          <w:bCs/>
          <w:kern w:val="44"/>
          <w:sz w:val="28"/>
          <w:szCs w:val="28"/>
          <w:lang w:val="en-US" w:eastAsia="zh-CN"/>
        </w:rPr>
        <w:t>由</w:t>
      </w:r>
      <w:r>
        <w:rPr>
          <w:rFonts w:hint="eastAsia" w:ascii="仿宋_GB2312" w:eastAsia="仿宋_GB2312"/>
          <w:bCs/>
          <w:kern w:val="44"/>
          <w:sz w:val="28"/>
          <w:szCs w:val="28"/>
        </w:rPr>
        <w:t>瀛海镇申报并负责项目实施。项目实施内容与部门职责中“领导本辖区传染病防制工作，组织开展群众性卫生活动，进行预防传染病的健康教育”内容相符</w:t>
      </w:r>
      <w:r>
        <w:rPr>
          <w:rFonts w:hint="eastAsia" w:ascii="仿宋_GB2312" w:hAnsi="Times New Roman" w:eastAsia="仿宋_GB2312" w:cs="Times New Roman"/>
          <w:bCs/>
          <w:kern w:val="44"/>
          <w:sz w:val="28"/>
          <w:szCs w:val="28"/>
          <w:lang w:eastAsia="zh-CN"/>
        </w:rPr>
        <w:t>。该项目由瀛海镇负责总体统筹，项目实施主要内容为消杀服务，主要是针对大兴区瀛海镇范围内的街道、绿化带、文化广场、健身广场、公园绿地、地下管井、垃圾桶（站）、公共卫生间等公共区域外环境，开展春季、冬季灭鼠、夏季、秋季灭蚊蝇、水体灭蚊幼及地下管井灭蟑等防制工作。使防制范围内四害生物密度达到C级标准以上。有效降低四害生物对人民群众生活的滋扰，营造舒适的生活环境，并且预防四害生物传播疾病的发生，降低病媒传染疾病的风险。</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eastAsia" w:ascii="仿宋_GB2312" w:eastAsia="仿宋_GB2312"/>
          <w:bCs/>
          <w:kern w:val="44"/>
          <w:sz w:val="28"/>
          <w:szCs w:val="28"/>
        </w:rPr>
      </w:pPr>
      <w:r>
        <w:rPr>
          <w:rFonts w:hint="eastAsia" w:ascii="仿宋_GB2312" w:eastAsia="仿宋_GB2312"/>
          <w:bCs/>
          <w:kern w:val="44"/>
          <w:sz w:val="28"/>
          <w:szCs w:val="28"/>
        </w:rPr>
        <w:t>3.资金投入和使用情况</w:t>
      </w:r>
    </w:p>
    <w:p>
      <w:pPr>
        <w:pageBreakBefore w:val="0"/>
        <w:widowControl w:val="0"/>
        <w:kinsoku/>
        <w:wordWrap/>
        <w:overflowPunct/>
        <w:topLinePunct w:val="0"/>
        <w:autoSpaceDE/>
        <w:autoSpaceDN/>
        <w:bidi w:val="0"/>
        <w:spacing w:beforeAutospacing="0" w:afterAutospacing="0" w:line="560" w:lineRule="exact"/>
        <w:ind w:firstLine="640"/>
        <w:textAlignment w:val="auto"/>
        <w:rPr>
          <w:rFonts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lang w:eastAsia="zh-CN"/>
        </w:rPr>
        <w:t>该项目</w:t>
      </w:r>
      <w:r>
        <w:rPr>
          <w:rFonts w:hint="eastAsia" w:ascii="仿宋_GB2312" w:hAnsi="仿宋_GB2312" w:eastAsia="仿宋_GB2312" w:cs="仿宋_GB2312"/>
          <w:bCs/>
          <w:sz w:val="28"/>
          <w:szCs w:val="28"/>
          <w:highlight w:val="none"/>
        </w:rPr>
        <w:t>申报预算金额为4,334,434.46元，预算批复金额为4,334,434.46元，实际到位资金为4,334,434.46元，均为区级财政资金。截至2024年12月31日，实际支出金额为4,334,434.46元，预算执行率为100.00%。支出内容主要为病媒生物防制专项工作费用。</w:t>
      </w:r>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楷体_GB2312" w:hAnsi="楷体_GB2312" w:eastAsia="楷体_GB2312" w:cs="楷体_GB2312"/>
          <w:b w:val="0"/>
          <w:bCs w:val="0"/>
          <w:sz w:val="28"/>
          <w:szCs w:val="28"/>
        </w:rPr>
      </w:pPr>
      <w:bookmarkStart w:id="16" w:name="_Toc11090"/>
      <w:bookmarkStart w:id="17" w:name="_Toc455492205"/>
      <w:r>
        <w:rPr>
          <w:rFonts w:hint="eastAsia" w:ascii="楷体_GB2312" w:hAnsi="楷体_GB2312" w:eastAsia="楷体_GB2312" w:cs="楷体_GB2312"/>
          <w:b w:val="0"/>
          <w:bCs w:val="0"/>
          <w:sz w:val="28"/>
          <w:szCs w:val="28"/>
        </w:rPr>
        <w:t>（二）绩效目标</w:t>
      </w:r>
      <w:bookmarkEnd w:id="16"/>
      <w:bookmarkEnd w:id="17"/>
    </w:p>
    <w:p>
      <w:pPr>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eastAsia="仿宋_GB2312"/>
          <w:bCs/>
          <w:kern w:val="44"/>
          <w:sz w:val="28"/>
          <w:szCs w:val="28"/>
        </w:rPr>
      </w:pPr>
      <w:r>
        <w:rPr>
          <w:rFonts w:hint="eastAsia" w:ascii="仿宋_GB2312" w:eastAsia="仿宋_GB2312"/>
          <w:bCs/>
          <w:kern w:val="44"/>
          <w:sz w:val="28"/>
          <w:szCs w:val="28"/>
          <w:lang w:eastAsia="zh-CN"/>
        </w:rPr>
        <w:t>该项目</w:t>
      </w:r>
      <w:r>
        <w:rPr>
          <w:rFonts w:hint="eastAsia" w:ascii="仿宋_GB2312" w:eastAsia="仿宋_GB2312"/>
          <w:bCs/>
          <w:kern w:val="44"/>
          <w:sz w:val="28"/>
          <w:szCs w:val="28"/>
        </w:rPr>
        <w:t>总体目标为：</w:t>
      </w:r>
      <w:r>
        <w:rPr>
          <w:rFonts w:hint="eastAsia" w:ascii="仿宋_GB2312" w:hAnsi="宋体" w:eastAsia="仿宋_GB2312" w:cs="宋体"/>
          <w:kern w:val="0"/>
          <w:sz w:val="28"/>
          <w:szCs w:val="28"/>
        </w:rPr>
        <w:t>为进一步加大环境卫生整治力度，创造一个安全、卫生、舒适的生活环境，努力提升镇域人居环境卫生质量，维护群众的健康权益。</w:t>
      </w:r>
    </w:p>
    <w:p>
      <w:pPr>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eastAsia="仿宋_GB2312"/>
          <w:bCs/>
          <w:kern w:val="44"/>
          <w:sz w:val="28"/>
          <w:szCs w:val="28"/>
        </w:rPr>
      </w:pPr>
      <w:r>
        <w:rPr>
          <w:rFonts w:hint="eastAsia" w:ascii="仿宋_GB2312" w:eastAsia="仿宋_GB2312"/>
          <w:bCs/>
          <w:kern w:val="44"/>
          <w:sz w:val="28"/>
          <w:szCs w:val="28"/>
          <w:lang w:eastAsia="zh-CN"/>
        </w:rPr>
        <w:t>该项目</w:t>
      </w:r>
      <w:r>
        <w:rPr>
          <w:rFonts w:hint="eastAsia" w:ascii="仿宋_GB2312" w:eastAsia="仿宋_GB2312"/>
          <w:bCs/>
          <w:kern w:val="44"/>
          <w:sz w:val="28"/>
          <w:szCs w:val="28"/>
        </w:rPr>
        <w:t>阶段性目标为：</w:t>
      </w:r>
      <w:r>
        <w:rPr>
          <w:rFonts w:hint="eastAsia" w:ascii="仿宋_GB2312" w:hAnsi="宋体" w:eastAsia="仿宋_GB2312" w:cs="宋体"/>
          <w:kern w:val="0"/>
          <w:sz w:val="28"/>
          <w:szCs w:val="28"/>
        </w:rPr>
        <w:t>为进一步加大环境卫生整治力度，创造一个安全、卫生、舒适的生活环境，努力提升镇域人居环境卫生质量，维护群众的健康权益。</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eastAsia" w:ascii="仿宋_GB2312" w:eastAsia="仿宋_GB2312"/>
          <w:bCs/>
          <w:kern w:val="44"/>
          <w:sz w:val="28"/>
          <w:szCs w:val="28"/>
          <w:highlight w:val="none"/>
        </w:rPr>
      </w:pPr>
      <w:r>
        <w:rPr>
          <w:rFonts w:hint="eastAsia" w:ascii="仿宋_GB2312" w:hAnsi="仿宋_GB2312" w:eastAsia="仿宋_GB2312" w:cs="仿宋_GB2312"/>
          <w:bCs/>
          <w:kern w:val="44"/>
          <w:sz w:val="28"/>
          <w:szCs w:val="28"/>
          <w:highlight w:val="none"/>
        </w:rPr>
        <w:t>1.</w:t>
      </w:r>
      <w:r>
        <w:rPr>
          <w:rFonts w:hint="eastAsia" w:ascii="仿宋_GB2312" w:eastAsia="仿宋_GB2312"/>
          <w:bCs/>
          <w:kern w:val="44"/>
          <w:sz w:val="28"/>
          <w:szCs w:val="28"/>
          <w:highlight w:val="none"/>
        </w:rPr>
        <w:t>数量指标：</w:t>
      </w:r>
      <w:r>
        <w:rPr>
          <w:rFonts w:hint="eastAsia" w:ascii="仿宋_GB2312" w:hAnsi="Arial" w:eastAsia="仿宋_GB2312" w:cs="Arial"/>
          <w:bCs/>
          <w:sz w:val="28"/>
          <w:szCs w:val="28"/>
        </w:rPr>
        <w:t>病媒生物防制专项工作</w:t>
      </w:r>
      <w:r>
        <w:rPr>
          <w:rFonts w:hint="eastAsia" w:ascii="仿宋_GB2312" w:hAnsi="Arial" w:eastAsia="仿宋_GB2312" w:cs="Arial"/>
          <w:bCs/>
          <w:sz w:val="28"/>
          <w:szCs w:val="28"/>
          <w:lang w:val="en-US" w:eastAsia="zh-CN"/>
        </w:rPr>
        <w:t>=12次</w:t>
      </w:r>
      <w:r>
        <w:rPr>
          <w:rFonts w:hint="eastAsia" w:ascii="仿宋_GB2312" w:hAnsi="Arial" w:eastAsia="仿宋_GB2312" w:cs="Arial"/>
          <w:bCs/>
          <w:sz w:val="28"/>
          <w:szCs w:val="28"/>
        </w:rPr>
        <w:t>，制作各类宣传材料和宣传品≤</w:t>
      </w:r>
      <w:r>
        <w:rPr>
          <w:rFonts w:hint="eastAsia" w:ascii="仿宋_GB2312" w:hAnsi="Arial" w:eastAsia="仿宋_GB2312" w:cs="Arial"/>
          <w:bCs/>
          <w:sz w:val="28"/>
          <w:szCs w:val="28"/>
          <w:lang w:val="en-US" w:eastAsia="zh-CN"/>
        </w:rPr>
        <w:t>20万份。</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default" w:ascii="仿宋_GB2312" w:eastAsia="仿宋_GB2312"/>
          <w:bCs/>
          <w:kern w:val="44"/>
          <w:sz w:val="28"/>
          <w:szCs w:val="28"/>
          <w:highlight w:val="none"/>
          <w:lang w:val="en-US" w:eastAsia="zh-CN"/>
        </w:rPr>
      </w:pPr>
      <w:r>
        <w:rPr>
          <w:rFonts w:hint="eastAsia" w:ascii="仿宋_GB2312" w:hAnsi="仿宋_GB2312" w:eastAsia="仿宋_GB2312" w:cs="仿宋_GB2312"/>
          <w:bCs/>
          <w:kern w:val="44"/>
          <w:sz w:val="28"/>
          <w:szCs w:val="28"/>
          <w:highlight w:val="none"/>
        </w:rPr>
        <w:t>2.</w:t>
      </w:r>
      <w:r>
        <w:rPr>
          <w:rFonts w:hint="eastAsia" w:ascii="仿宋_GB2312" w:eastAsia="仿宋_GB2312"/>
          <w:bCs/>
          <w:kern w:val="44"/>
          <w:sz w:val="28"/>
          <w:szCs w:val="28"/>
          <w:highlight w:val="none"/>
        </w:rPr>
        <w:t>质量指标：</w:t>
      </w:r>
      <w:r>
        <w:rPr>
          <w:rFonts w:hint="eastAsia" w:ascii="仿宋_GB2312" w:hAnsi="Arial" w:eastAsia="仿宋_GB2312" w:cs="Arial"/>
          <w:bCs/>
          <w:sz w:val="28"/>
          <w:szCs w:val="28"/>
        </w:rPr>
        <w:t>病媒生物防制专项工作四害密度达到C级以上</w:t>
      </w:r>
      <w:r>
        <w:rPr>
          <w:rFonts w:hint="eastAsia" w:ascii="仿宋_GB2312" w:hAnsi="Arial" w:eastAsia="仿宋_GB2312" w:cs="Arial"/>
          <w:bCs/>
          <w:sz w:val="28"/>
          <w:szCs w:val="28"/>
          <w:lang w:eastAsia="zh-CN"/>
        </w:rPr>
        <w:t>、制作各类宣传材料和宣传品</w:t>
      </w:r>
      <w:r>
        <w:rPr>
          <w:rFonts w:hint="eastAsia" w:ascii="仿宋_GB2312" w:hAnsi="Arial" w:eastAsia="仿宋_GB2312" w:cs="Arial"/>
          <w:bCs/>
          <w:sz w:val="28"/>
          <w:szCs w:val="28"/>
          <w:lang w:val="en-US" w:eastAsia="zh-CN"/>
        </w:rPr>
        <w:t>≥97%。</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eastAsia" w:ascii="仿宋_GB2312" w:hAnsi="仿宋_GB2312" w:eastAsia="仿宋_GB2312" w:cs="仿宋_GB2312"/>
          <w:bCs/>
          <w:kern w:val="44"/>
          <w:sz w:val="28"/>
          <w:szCs w:val="28"/>
          <w:highlight w:val="none"/>
        </w:rPr>
      </w:pPr>
      <w:r>
        <w:rPr>
          <w:rFonts w:hint="eastAsia" w:ascii="仿宋_GB2312" w:hAnsi="仿宋_GB2312" w:eastAsia="仿宋_GB2312" w:cs="仿宋_GB2312"/>
          <w:bCs/>
          <w:kern w:val="44"/>
          <w:sz w:val="28"/>
          <w:szCs w:val="28"/>
          <w:highlight w:val="none"/>
        </w:rPr>
        <w:t>3.时效指标：</w:t>
      </w:r>
      <w:r>
        <w:rPr>
          <w:rFonts w:hint="eastAsia" w:ascii="仿宋_GB2312" w:hAnsi="Arial" w:eastAsia="仿宋_GB2312" w:cs="Arial"/>
          <w:bCs/>
          <w:sz w:val="28"/>
          <w:szCs w:val="28"/>
        </w:rPr>
        <w:t>病媒生物防制专项工作</w:t>
      </w:r>
      <w:r>
        <w:rPr>
          <w:rFonts w:hint="eastAsia" w:ascii="仿宋_GB2312" w:hAnsi="Arial" w:eastAsia="仿宋_GB2312" w:cs="Arial"/>
          <w:bCs/>
          <w:sz w:val="28"/>
          <w:szCs w:val="28"/>
          <w:lang w:val="en-US" w:eastAsia="zh-CN"/>
        </w:rPr>
        <w:t>12月底，制作各类宣传材料和宣传品12月底。</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default" w:ascii="仿宋_GB2312" w:eastAsia="仿宋_GB2312"/>
          <w:bCs/>
          <w:kern w:val="44"/>
          <w:sz w:val="28"/>
          <w:szCs w:val="28"/>
          <w:highlight w:val="none"/>
          <w:lang w:val="en-US" w:eastAsia="zh-CN"/>
        </w:rPr>
      </w:pPr>
      <w:r>
        <w:rPr>
          <w:rFonts w:hint="eastAsia" w:ascii="仿宋_GB2312" w:hAnsi="仿宋_GB2312" w:eastAsia="仿宋_GB2312" w:cs="仿宋_GB2312"/>
          <w:bCs/>
          <w:kern w:val="44"/>
          <w:sz w:val="28"/>
          <w:szCs w:val="28"/>
          <w:highlight w:val="none"/>
        </w:rPr>
        <w:t>4.</w:t>
      </w:r>
      <w:r>
        <w:rPr>
          <w:rFonts w:hint="eastAsia" w:ascii="仿宋_GB2312" w:eastAsia="仿宋_GB2312"/>
          <w:bCs/>
          <w:kern w:val="44"/>
          <w:sz w:val="28"/>
          <w:szCs w:val="28"/>
          <w:highlight w:val="none"/>
        </w:rPr>
        <w:t>成本指标：</w:t>
      </w:r>
      <w:r>
        <w:rPr>
          <w:rFonts w:hint="eastAsia" w:ascii="仿宋_GB2312" w:eastAsia="仿宋_GB2312"/>
          <w:bCs/>
          <w:kern w:val="44"/>
          <w:sz w:val="28"/>
          <w:szCs w:val="28"/>
          <w:highlight w:val="none"/>
          <w:lang w:val="en-US" w:eastAsia="zh-CN"/>
        </w:rPr>
        <w:t>讲座制作各类宣传材料和宣传品≤10元/张，项目预算控制总额433.443446万元，病媒生物防制专项工作≤25万元/项目。</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eastAsia" w:ascii="仿宋_GB2312" w:hAnsi="仿宋_GB2312" w:eastAsia="仿宋_GB2312" w:cs="仿宋_GB2312"/>
          <w:bCs/>
          <w:kern w:val="44"/>
          <w:sz w:val="28"/>
          <w:szCs w:val="28"/>
          <w:highlight w:val="none"/>
          <w:lang w:eastAsia="zh-CN"/>
        </w:rPr>
      </w:pPr>
      <w:r>
        <w:rPr>
          <w:rFonts w:hint="eastAsia" w:ascii="仿宋_GB2312" w:hAnsi="仿宋_GB2312" w:eastAsia="仿宋_GB2312" w:cs="仿宋_GB2312"/>
          <w:bCs/>
          <w:kern w:val="44"/>
          <w:sz w:val="28"/>
          <w:szCs w:val="28"/>
          <w:highlight w:val="none"/>
        </w:rPr>
        <w:t>5.效益指标：全面做好国家卫生区创建工作，不断提高辖区内居民“创卫”意识，进一步营造浓厚的创卫宣传氛围。</w:t>
      </w:r>
      <w:r>
        <w:rPr>
          <w:rFonts w:hint="eastAsia" w:ascii="仿宋_GB2312" w:hAnsi="仿宋_GB2312" w:eastAsia="仿宋_GB2312" w:cs="仿宋_GB2312"/>
          <w:bCs/>
          <w:kern w:val="44"/>
          <w:sz w:val="28"/>
          <w:szCs w:val="28"/>
          <w:highlight w:val="none"/>
          <w:lang w:eastAsia="zh-CN"/>
        </w:rPr>
        <w:t>营造浓厚的创卫宣传氛围、改善人居环境，提高创卫工作知晓率，降低密度。</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default" w:ascii="仿宋_GB2312" w:hAnsi="仿宋_GB2312" w:eastAsia="仿宋_GB2312" w:cs="仿宋_GB2312"/>
          <w:bCs/>
          <w:kern w:val="44"/>
          <w:sz w:val="28"/>
          <w:szCs w:val="28"/>
          <w:highlight w:val="none"/>
          <w:lang w:val="en-US" w:eastAsia="zh-CN"/>
        </w:rPr>
      </w:pPr>
      <w:r>
        <w:rPr>
          <w:rFonts w:hint="eastAsia" w:ascii="仿宋_GB2312" w:hAnsi="仿宋_GB2312" w:eastAsia="仿宋_GB2312" w:cs="仿宋_GB2312"/>
          <w:bCs/>
          <w:kern w:val="44"/>
          <w:sz w:val="28"/>
          <w:szCs w:val="28"/>
          <w:highlight w:val="none"/>
        </w:rPr>
        <w:t>6.服务对象满意度指标：群众满意度</w:t>
      </w:r>
      <w:bookmarkStart w:id="18" w:name="_Toc455492206"/>
      <w:bookmarkStart w:id="19" w:name="_Toc14649"/>
      <w:r>
        <w:rPr>
          <w:rFonts w:hint="eastAsia" w:ascii="仿宋_GB2312" w:hAnsi="仿宋_GB2312" w:eastAsia="仿宋_GB2312" w:cs="仿宋_GB2312"/>
          <w:bCs/>
          <w:kern w:val="44"/>
          <w:sz w:val="28"/>
          <w:szCs w:val="28"/>
          <w:highlight w:val="none"/>
          <w:lang w:val="en-US" w:eastAsia="zh-CN"/>
        </w:rPr>
        <w:t>100%</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ascii="黑体" w:hAnsi="黑体" w:eastAsia="黑体"/>
          <w:b/>
          <w:sz w:val="28"/>
          <w:szCs w:val="28"/>
          <w:highlight w:val="none"/>
        </w:rPr>
      </w:pPr>
      <w:r>
        <w:rPr>
          <w:rFonts w:hint="eastAsia" w:ascii="黑体" w:hAnsi="黑体" w:eastAsia="黑体"/>
          <w:b/>
          <w:sz w:val="28"/>
          <w:szCs w:val="28"/>
          <w:highlight w:val="none"/>
        </w:rPr>
        <w:t>二、</w:t>
      </w:r>
      <w:bookmarkEnd w:id="18"/>
      <w:r>
        <w:rPr>
          <w:rFonts w:hint="eastAsia" w:ascii="黑体" w:hAnsi="黑体" w:eastAsia="黑体"/>
          <w:b/>
          <w:sz w:val="28"/>
          <w:szCs w:val="28"/>
          <w:highlight w:val="none"/>
        </w:rPr>
        <w:t>绩效评价工作开展情况</w:t>
      </w:r>
      <w:bookmarkEnd w:id="19"/>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楷体_GB2312" w:hAnsi="楷体_GB2312" w:eastAsia="楷体_GB2312" w:cs="楷体_GB2312"/>
          <w:b w:val="0"/>
          <w:bCs w:val="0"/>
          <w:sz w:val="28"/>
          <w:szCs w:val="28"/>
        </w:rPr>
      </w:pPr>
      <w:bookmarkStart w:id="20" w:name="_Toc136459677"/>
      <w:bookmarkStart w:id="21" w:name="_Toc31090"/>
      <w:bookmarkStart w:id="22" w:name="_Toc455492207"/>
      <w:r>
        <w:rPr>
          <w:rFonts w:hint="eastAsia" w:ascii="楷体_GB2312" w:hAnsi="楷体_GB2312" w:eastAsia="楷体_GB2312" w:cs="楷体_GB2312"/>
          <w:b w:val="0"/>
          <w:bCs w:val="0"/>
          <w:sz w:val="28"/>
          <w:szCs w:val="28"/>
        </w:rPr>
        <w:t>（一）绩效评价目的、对象和范围</w:t>
      </w:r>
      <w:bookmarkEnd w:id="20"/>
      <w:bookmarkEnd w:id="21"/>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eastAsia" w:ascii="仿宋_GB2312" w:eastAsia="仿宋_GB2312"/>
          <w:bCs/>
          <w:kern w:val="44"/>
          <w:sz w:val="28"/>
          <w:szCs w:val="28"/>
        </w:rPr>
      </w:pPr>
      <w:r>
        <w:rPr>
          <w:rFonts w:hint="eastAsia" w:ascii="仿宋_GB2312" w:eastAsia="仿宋_GB2312"/>
          <w:bCs/>
          <w:kern w:val="44"/>
          <w:sz w:val="28"/>
          <w:szCs w:val="28"/>
        </w:rPr>
        <w:t>为加强预算绩效管理，强化支出责任，提高财政资金使用效益，对</w:t>
      </w:r>
      <w:r>
        <w:rPr>
          <w:rFonts w:hint="eastAsia" w:ascii="仿宋_GB2312" w:eastAsia="仿宋_GB2312"/>
          <w:bCs/>
          <w:kern w:val="44"/>
          <w:sz w:val="28"/>
          <w:szCs w:val="28"/>
          <w:lang w:eastAsia="zh-CN"/>
        </w:rPr>
        <w:t>瀛海镇</w:t>
      </w:r>
      <w:r>
        <w:rPr>
          <w:rFonts w:hint="eastAsia" w:ascii="仿宋_GB2312" w:eastAsia="仿宋_GB2312"/>
          <w:bCs/>
          <w:kern w:val="44"/>
          <w:sz w:val="28"/>
          <w:szCs w:val="28"/>
        </w:rPr>
        <w:t>“</w:t>
      </w:r>
      <w:r>
        <w:rPr>
          <w:rFonts w:hint="eastAsia" w:ascii="仿宋_GB2312" w:eastAsia="仿宋_GB2312"/>
          <w:color w:val="000000"/>
          <w:kern w:val="0"/>
          <w:sz w:val="28"/>
          <w:szCs w:val="28"/>
          <w:lang w:eastAsia="zh-CN"/>
        </w:rPr>
        <w:t>教科文体病媒生物防制工作</w:t>
      </w:r>
      <w:r>
        <w:rPr>
          <w:rFonts w:hint="eastAsia" w:ascii="仿宋_GB2312" w:eastAsia="仿宋_GB2312"/>
          <w:bCs/>
          <w:kern w:val="44"/>
          <w:sz w:val="28"/>
          <w:szCs w:val="28"/>
        </w:rPr>
        <w:t>”实施绩效评价，进一步总结和分析项目资金的实施效果，检验财政支出预期目标实现程度，考核财政支出效率和综合效果。</w:t>
      </w:r>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楷体_GB2312" w:hAnsi="楷体_GB2312" w:eastAsia="楷体_GB2312" w:cs="楷体_GB2312"/>
          <w:b w:val="0"/>
          <w:bCs w:val="0"/>
          <w:sz w:val="28"/>
          <w:szCs w:val="28"/>
        </w:rPr>
      </w:pPr>
      <w:bookmarkStart w:id="23" w:name="_Toc1706"/>
      <w:bookmarkStart w:id="24" w:name="_Toc136459678"/>
      <w:r>
        <w:rPr>
          <w:rFonts w:hint="eastAsia" w:ascii="楷体_GB2312" w:hAnsi="楷体_GB2312" w:eastAsia="楷体_GB2312" w:cs="楷体_GB2312"/>
          <w:b w:val="0"/>
          <w:bCs w:val="0"/>
          <w:sz w:val="28"/>
          <w:szCs w:val="28"/>
        </w:rPr>
        <w:t>（二）绩效评价原则、评价指标体系、评价方法、评价标准等</w:t>
      </w:r>
      <w:bookmarkEnd w:id="23"/>
      <w:bookmarkEnd w:id="24"/>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eastAsia" w:ascii="仿宋_GB2312" w:eastAsia="仿宋_GB2312"/>
          <w:bCs/>
          <w:kern w:val="44"/>
          <w:sz w:val="28"/>
          <w:szCs w:val="28"/>
        </w:rPr>
      </w:pPr>
      <w:r>
        <w:rPr>
          <w:rFonts w:hint="eastAsia" w:ascii="仿宋_GB2312" w:eastAsia="仿宋_GB2312"/>
          <w:bCs/>
          <w:kern w:val="44"/>
          <w:sz w:val="28"/>
          <w:szCs w:val="28"/>
        </w:rPr>
        <w:t>本次绩效评价遵循“客观、公正、科学、规范”的原则，采取定性与定量相结合的方式，结合项目的特点，采用案卷研究法、目标预定与实施效果比较法等方法，定性与定量相结合，从项目决策、项目过程、项目产出、项目效益4个方面对</w:t>
      </w:r>
      <w:r>
        <w:rPr>
          <w:rFonts w:hint="eastAsia" w:ascii="仿宋_GB2312" w:eastAsia="仿宋_GB2312"/>
          <w:bCs/>
          <w:kern w:val="44"/>
          <w:sz w:val="28"/>
          <w:szCs w:val="28"/>
          <w:lang w:eastAsia="zh-CN"/>
        </w:rPr>
        <w:t>该项目</w:t>
      </w:r>
      <w:r>
        <w:rPr>
          <w:rFonts w:hint="eastAsia" w:ascii="仿宋_GB2312" w:eastAsia="仿宋_GB2312"/>
          <w:bCs/>
          <w:kern w:val="44"/>
          <w:sz w:val="28"/>
          <w:szCs w:val="28"/>
        </w:rPr>
        <w:t>开展绩效评价。</w:t>
      </w:r>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楷体_GB2312" w:hAnsi="楷体_GB2312" w:eastAsia="楷体_GB2312" w:cs="楷体_GB2312"/>
          <w:b w:val="0"/>
          <w:bCs w:val="0"/>
          <w:sz w:val="28"/>
          <w:szCs w:val="28"/>
        </w:rPr>
      </w:pPr>
      <w:bookmarkStart w:id="25" w:name="_Toc4682"/>
      <w:r>
        <w:rPr>
          <w:rFonts w:hint="eastAsia" w:ascii="楷体_GB2312" w:hAnsi="楷体_GB2312" w:eastAsia="楷体_GB2312" w:cs="楷体_GB2312"/>
          <w:b w:val="0"/>
          <w:bCs w:val="0"/>
          <w:sz w:val="28"/>
          <w:szCs w:val="28"/>
        </w:rPr>
        <w:t>（三）绩效评价工作过程</w:t>
      </w:r>
      <w:bookmarkEnd w:id="25"/>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eastAsia" w:ascii="仿宋_GB2312" w:hAnsi="仿宋_GB2312" w:eastAsia="仿宋_GB2312" w:cs="仿宋_GB2312"/>
          <w:bCs/>
          <w:kern w:val="44"/>
          <w:sz w:val="28"/>
          <w:szCs w:val="28"/>
        </w:rPr>
      </w:pPr>
      <w:r>
        <w:rPr>
          <w:rFonts w:hint="eastAsia" w:ascii="仿宋_GB2312" w:eastAsia="仿宋_GB2312"/>
          <w:bCs/>
          <w:kern w:val="44"/>
          <w:sz w:val="28"/>
          <w:szCs w:val="28"/>
        </w:rPr>
        <w:t>本次绩效评价</w:t>
      </w:r>
      <w:r>
        <w:rPr>
          <w:rFonts w:hint="eastAsia" w:ascii="仿宋_GB2312" w:hAnsi="仿宋_GB2312" w:eastAsia="仿宋_GB2312" w:cs="仿宋_GB2312"/>
          <w:bCs/>
          <w:kern w:val="44"/>
          <w:sz w:val="28"/>
          <w:szCs w:val="28"/>
        </w:rPr>
        <w:t>依据项目资料</w:t>
      </w:r>
      <w:r>
        <w:rPr>
          <w:rFonts w:hint="eastAsia" w:ascii="仿宋_GB2312" w:hAnsi="仿宋_GB2312" w:eastAsia="仿宋_GB2312" w:cs="仿宋_GB2312"/>
          <w:bCs/>
          <w:kern w:val="44"/>
          <w:sz w:val="28"/>
          <w:szCs w:val="28"/>
          <w:lang w:val="en-US" w:eastAsia="zh-CN"/>
        </w:rPr>
        <w:t>形成绩效评价报告</w:t>
      </w:r>
      <w:r>
        <w:rPr>
          <w:rFonts w:hint="eastAsia" w:ascii="仿宋_GB2312" w:hAnsi="仿宋_GB2312" w:eastAsia="仿宋_GB2312" w:cs="仿宋_GB2312"/>
          <w:bCs/>
          <w:kern w:val="44"/>
          <w:sz w:val="28"/>
          <w:szCs w:val="28"/>
        </w:rPr>
        <w:t>，</w:t>
      </w:r>
      <w:r>
        <w:rPr>
          <w:rFonts w:hint="eastAsia" w:ascii="仿宋_GB2312" w:hAnsi="仿宋_GB2312" w:eastAsia="仿宋_GB2312" w:cs="仿宋_GB2312"/>
          <w:bCs/>
          <w:kern w:val="44"/>
          <w:sz w:val="28"/>
          <w:szCs w:val="28"/>
          <w:lang w:val="en-US" w:eastAsia="zh-CN"/>
        </w:rPr>
        <w:t>经</w:t>
      </w:r>
      <w:r>
        <w:rPr>
          <w:rFonts w:hint="eastAsia" w:ascii="仿宋_GB2312" w:hAnsi="仿宋_GB2312" w:eastAsia="仿宋_GB2312" w:cs="仿宋_GB2312"/>
          <w:bCs/>
          <w:kern w:val="44"/>
          <w:sz w:val="28"/>
          <w:szCs w:val="28"/>
        </w:rPr>
        <w:t>征</w:t>
      </w:r>
      <w:r>
        <w:rPr>
          <w:rFonts w:hint="eastAsia" w:ascii="仿宋_GB2312" w:hAnsi="仿宋_GB2312" w:eastAsia="仿宋_GB2312" w:cs="仿宋_GB2312"/>
          <w:bCs/>
          <w:kern w:val="44"/>
          <w:sz w:val="28"/>
          <w:szCs w:val="28"/>
          <w:lang w:val="en-US" w:eastAsia="zh-CN"/>
        </w:rPr>
        <w:t>求各方意见</w:t>
      </w:r>
      <w:r>
        <w:rPr>
          <w:rFonts w:hint="eastAsia" w:ascii="仿宋_GB2312" w:hAnsi="仿宋_GB2312" w:eastAsia="仿宋_GB2312" w:cs="仿宋_GB2312"/>
          <w:bCs/>
          <w:kern w:val="44"/>
          <w:sz w:val="28"/>
          <w:szCs w:val="28"/>
        </w:rPr>
        <w:t>，形成最终报告。</w:t>
      </w:r>
    </w:p>
    <w:bookmarkEnd w:id="22"/>
    <w:p>
      <w:pPr>
        <w:pStyle w:val="3"/>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ascii="黑体" w:hAnsi="黑体" w:eastAsia="黑体"/>
          <w:b w:val="0"/>
          <w:sz w:val="28"/>
          <w:szCs w:val="28"/>
          <w:highlight w:val="none"/>
        </w:rPr>
      </w:pPr>
      <w:bookmarkStart w:id="26" w:name="_Toc16065"/>
      <w:r>
        <w:rPr>
          <w:rFonts w:hint="eastAsia" w:ascii="黑体" w:hAnsi="黑体" w:eastAsia="黑体"/>
          <w:b w:val="0"/>
          <w:sz w:val="28"/>
          <w:szCs w:val="28"/>
          <w:highlight w:val="none"/>
        </w:rPr>
        <w:t>三、综合评价情况及评价结论</w:t>
      </w:r>
      <w:bookmarkEnd w:id="26"/>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楷体_GB2312" w:hAnsi="楷体_GB2312" w:eastAsia="楷体_GB2312" w:cs="楷体_GB2312"/>
          <w:b w:val="0"/>
          <w:bCs w:val="0"/>
          <w:sz w:val="28"/>
          <w:szCs w:val="28"/>
        </w:rPr>
      </w:pPr>
      <w:bookmarkStart w:id="27" w:name="_Toc20425"/>
      <w:r>
        <w:rPr>
          <w:rFonts w:hint="eastAsia" w:ascii="楷体_GB2312" w:hAnsi="楷体_GB2312" w:eastAsia="楷体_GB2312" w:cs="楷体_GB2312"/>
          <w:b w:val="0"/>
          <w:bCs w:val="0"/>
          <w:sz w:val="28"/>
          <w:szCs w:val="28"/>
        </w:rPr>
        <w:t>（一）综合评价情况</w:t>
      </w:r>
      <w:bookmarkEnd w:id="27"/>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仿宋_GB2312" w:hAnsi="Times New Roman" w:eastAsia="仿宋_GB2312" w:cs="Times New Roman"/>
          <w:b w:val="0"/>
          <w:bCs/>
          <w:kern w:val="44"/>
          <w:sz w:val="28"/>
          <w:szCs w:val="28"/>
          <w:lang w:val="en-US" w:eastAsia="zh-CN" w:bidi="ar-SA"/>
        </w:rPr>
      </w:pPr>
      <w:r>
        <w:rPr>
          <w:rFonts w:hint="eastAsia" w:ascii="仿宋_GB2312" w:hAnsi="Times New Roman" w:eastAsia="仿宋_GB2312" w:cs="Times New Roman"/>
          <w:b w:val="0"/>
          <w:bCs/>
          <w:kern w:val="44"/>
          <w:sz w:val="28"/>
          <w:szCs w:val="28"/>
          <w:lang w:val="en-US" w:eastAsia="zh-CN" w:bidi="ar-SA"/>
        </w:rPr>
        <w:t>经专家评议，该项目综合评价得分85.00分，其中：项目决策得分为7.50分、项目过程得分为19.00分、项目产出得分为35.50分、项目效益得分为23.00分，绩效级别评定为“良”。</w:t>
      </w:r>
      <w:bookmarkStart w:id="28" w:name="_Toc3098"/>
      <w:bookmarkStart w:id="29" w:name="_Toc455492209"/>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楷体_GB2312" w:hAnsi="楷体_GB2312" w:eastAsia="楷体_GB2312" w:cs="楷体_GB2312"/>
          <w:b w:val="0"/>
          <w:bCs w:val="0"/>
          <w:sz w:val="28"/>
          <w:szCs w:val="28"/>
        </w:rPr>
      </w:pPr>
      <w:r>
        <w:rPr>
          <w:rFonts w:hint="eastAsia" w:ascii="楷体_GB2312" w:hAnsi="楷体_GB2312" w:eastAsia="楷体_GB2312" w:cs="楷体_GB2312"/>
          <w:b w:val="0"/>
          <w:bCs w:val="0"/>
          <w:sz w:val="28"/>
          <w:szCs w:val="28"/>
        </w:rPr>
        <w:t>（二）评价结论</w:t>
      </w:r>
      <w:bookmarkEnd w:id="28"/>
    </w:p>
    <w:p>
      <w:pPr>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ascii="仿宋_GB2312" w:hAnsi="仿宋_GB2312" w:eastAsia="仿宋_GB2312" w:cs="仿宋_GB2312"/>
          <w:kern w:val="44"/>
          <w:sz w:val="28"/>
          <w:szCs w:val="28"/>
        </w:rPr>
      </w:pPr>
      <w:bookmarkStart w:id="30" w:name="_Toc27134"/>
      <w:bookmarkStart w:id="31" w:name="_Toc12506"/>
      <w:r>
        <w:rPr>
          <w:rFonts w:hint="eastAsia" w:ascii="仿宋_GB2312" w:hAnsi="仿宋_GB2312" w:eastAsia="仿宋_GB2312" w:cs="仿宋_GB2312"/>
          <w:kern w:val="44"/>
          <w:sz w:val="28"/>
          <w:szCs w:val="28"/>
          <w:lang w:eastAsia="zh-CN"/>
        </w:rPr>
        <w:t>该项目</w:t>
      </w:r>
      <w:r>
        <w:rPr>
          <w:rFonts w:hint="eastAsia" w:ascii="仿宋_GB2312" w:hAnsi="仿宋_GB2312" w:eastAsia="仿宋_GB2312" w:cs="仿宋_GB2312"/>
          <w:kern w:val="44"/>
          <w:sz w:val="28"/>
          <w:szCs w:val="28"/>
        </w:rPr>
        <w:t>的实施，</w:t>
      </w:r>
      <w:r>
        <w:rPr>
          <w:rFonts w:hint="eastAsia" w:ascii="仿宋_GB2312" w:hAnsi="仿宋_GB2312" w:eastAsia="仿宋_GB2312" w:cs="仿宋_GB2312"/>
          <w:kern w:val="44"/>
          <w:sz w:val="28"/>
          <w:szCs w:val="28"/>
          <w:lang w:val="en-US" w:eastAsia="zh-CN"/>
        </w:rPr>
        <w:t>为</w:t>
      </w:r>
      <w:r>
        <w:rPr>
          <w:rFonts w:hint="eastAsia" w:ascii="仿宋_GB2312" w:hAnsi="仿宋_GB2312" w:eastAsia="仿宋_GB2312" w:cs="仿宋_GB2312"/>
          <w:kern w:val="44"/>
          <w:sz w:val="28"/>
          <w:szCs w:val="28"/>
        </w:rPr>
        <w:t>全面做好国家卫生区创建工作，不断提高辖区内居民“创卫”意识，进一步营造浓厚的创卫宣传氛围、改善人居环境，提高创卫工作知晓率，降低密度</w:t>
      </w:r>
      <w:r>
        <w:rPr>
          <w:rFonts w:hint="eastAsia" w:ascii="仿宋_GB2312" w:hAnsi="仿宋_GB2312" w:eastAsia="仿宋_GB2312" w:cs="仿宋_GB2312"/>
          <w:kern w:val="44"/>
          <w:sz w:val="28"/>
          <w:szCs w:val="28"/>
          <w:lang w:val="en-US" w:eastAsia="zh-CN"/>
        </w:rPr>
        <w:t>起到重要作用</w:t>
      </w:r>
      <w:r>
        <w:rPr>
          <w:rFonts w:hint="eastAsia" w:ascii="仿宋_GB2312" w:hAnsi="仿宋_GB2312" w:eastAsia="仿宋_GB2312" w:cs="仿宋_GB2312"/>
          <w:kern w:val="44"/>
          <w:sz w:val="28"/>
          <w:szCs w:val="28"/>
        </w:rPr>
        <w:t>。但项目前期论证不充分，绩效目标设置</w:t>
      </w:r>
      <w:r>
        <w:rPr>
          <w:rFonts w:hint="eastAsia" w:ascii="仿宋_GB2312" w:hAnsi="仿宋_GB2312" w:eastAsia="仿宋_GB2312" w:cs="仿宋_GB2312"/>
          <w:kern w:val="44"/>
          <w:sz w:val="28"/>
          <w:szCs w:val="28"/>
          <w:lang w:val="en-US" w:eastAsia="zh-CN"/>
        </w:rPr>
        <w:t>及</w:t>
      </w:r>
      <w:r>
        <w:rPr>
          <w:rFonts w:hint="eastAsia" w:ascii="仿宋_GB2312" w:hAnsi="仿宋_GB2312" w:eastAsia="仿宋_GB2312" w:cs="仿宋_GB2312"/>
          <w:kern w:val="44"/>
          <w:sz w:val="28"/>
          <w:szCs w:val="28"/>
        </w:rPr>
        <w:t>项目过程管理不规范，项目绩效呈现不够充分。</w:t>
      </w:r>
    </w:p>
    <w:p>
      <w:pPr>
        <w:pStyle w:val="3"/>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黑体" w:hAnsi="黑体" w:eastAsia="黑体"/>
          <w:b w:val="0"/>
          <w:sz w:val="28"/>
          <w:szCs w:val="28"/>
          <w:highlight w:val="none"/>
        </w:rPr>
      </w:pPr>
      <w:r>
        <w:rPr>
          <w:rFonts w:hint="eastAsia" w:ascii="黑体" w:hAnsi="黑体" w:eastAsia="黑体"/>
          <w:b w:val="0"/>
          <w:sz w:val="28"/>
          <w:szCs w:val="28"/>
          <w:highlight w:val="none"/>
        </w:rPr>
        <w:t>四、绩效评价指标分析</w:t>
      </w:r>
      <w:bookmarkEnd w:id="30"/>
      <w:bookmarkEnd w:id="31"/>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楷体_GB2312" w:hAnsi="楷体_GB2312" w:eastAsia="楷体_GB2312" w:cs="楷体_GB2312"/>
          <w:b w:val="0"/>
          <w:bCs w:val="0"/>
          <w:sz w:val="28"/>
          <w:szCs w:val="28"/>
        </w:rPr>
      </w:pPr>
      <w:bookmarkStart w:id="32" w:name="_Toc20222"/>
      <w:bookmarkStart w:id="33" w:name="_Toc32173"/>
      <w:r>
        <w:rPr>
          <w:rFonts w:hint="eastAsia" w:ascii="楷体_GB2312" w:hAnsi="楷体_GB2312" w:eastAsia="楷体_GB2312" w:cs="楷体_GB2312"/>
          <w:b w:val="0"/>
          <w:bCs w:val="0"/>
          <w:sz w:val="28"/>
          <w:szCs w:val="28"/>
        </w:rPr>
        <w:t>（一）项目决策情况</w:t>
      </w:r>
      <w:bookmarkEnd w:id="32"/>
      <w:bookmarkEnd w:id="33"/>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outlineLvl w:val="2"/>
        <w:rPr>
          <w:rFonts w:hint="eastAsia" w:ascii="仿宋_GB2312" w:hAnsi="仿宋_GB2312" w:eastAsia="仿宋_GB2312" w:cs="仿宋_GB2312"/>
          <w:bCs/>
          <w:kern w:val="44"/>
          <w:sz w:val="28"/>
          <w:szCs w:val="28"/>
        </w:rPr>
      </w:pPr>
      <w:bookmarkStart w:id="34" w:name="_Toc9002"/>
      <w:bookmarkStart w:id="35" w:name="_Toc19819"/>
      <w:bookmarkStart w:id="36" w:name="_Toc72244420"/>
      <w:r>
        <w:rPr>
          <w:rFonts w:hint="eastAsia" w:ascii="仿宋_GB2312" w:hAnsi="仿宋_GB2312" w:eastAsia="仿宋_GB2312" w:cs="仿宋_GB2312"/>
          <w:bCs/>
          <w:kern w:val="44"/>
          <w:sz w:val="28"/>
          <w:szCs w:val="28"/>
        </w:rPr>
        <w:t>1.项目立项情况</w:t>
      </w:r>
      <w:bookmarkEnd w:id="34"/>
      <w:bookmarkEnd w:id="35"/>
      <w:bookmarkEnd w:id="36"/>
    </w:p>
    <w:p>
      <w:pPr>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bCs/>
          <w:kern w:val="44"/>
          <w:sz w:val="28"/>
          <w:szCs w:val="28"/>
        </w:rPr>
      </w:pPr>
      <w:r>
        <w:rPr>
          <w:rFonts w:hint="eastAsia" w:ascii="仿宋_GB2312" w:hAnsi="Arial" w:eastAsia="仿宋_GB2312" w:cs="Arial"/>
          <w:bCs/>
          <w:sz w:val="28"/>
          <w:szCs w:val="28"/>
          <w:lang w:eastAsia="zh-CN"/>
        </w:rPr>
        <w:t>该项目</w:t>
      </w:r>
      <w:r>
        <w:rPr>
          <w:rFonts w:hint="eastAsia" w:ascii="仿宋_GB2312" w:hAnsi="Arial" w:eastAsia="仿宋_GB2312" w:cs="Arial"/>
          <w:bCs/>
          <w:sz w:val="28"/>
          <w:szCs w:val="28"/>
        </w:rPr>
        <w:t>依据《中共北京市大兴区瀛海镇委员会瀛海镇创建国家卫生区综合工作方案》（兴瀛发〔2022〕12号）</w:t>
      </w:r>
      <w:r>
        <w:rPr>
          <w:rFonts w:hint="eastAsia" w:ascii="仿宋_GB2312" w:hAnsi="Arial" w:eastAsia="仿宋_GB2312" w:cs="Arial"/>
          <w:bCs/>
          <w:sz w:val="28"/>
          <w:szCs w:val="28"/>
          <w:lang w:eastAsia="zh-CN"/>
        </w:rPr>
        <w:t>、</w:t>
      </w:r>
      <w:r>
        <w:rPr>
          <w:rFonts w:hint="eastAsia" w:ascii="仿宋_GB2312" w:hAnsi="Arial" w:eastAsia="仿宋_GB2312" w:cs="Arial"/>
          <w:bCs/>
          <w:sz w:val="28"/>
          <w:szCs w:val="28"/>
        </w:rPr>
        <w:t>《病媒生物综合管理技术规范城镇》（GB/T27775—2011）</w:t>
      </w:r>
      <w:r>
        <w:rPr>
          <w:rFonts w:hint="eastAsia" w:ascii="仿宋_GB2312" w:hAnsi="Arial" w:eastAsia="仿宋_GB2312" w:cs="Arial"/>
          <w:bCs/>
          <w:sz w:val="28"/>
          <w:szCs w:val="28"/>
          <w:lang w:eastAsia="zh-CN"/>
        </w:rPr>
        <w:t>、《病媒生物密度控制水平——（蚊蝇鼠蟑）》</w:t>
      </w:r>
      <w:r>
        <w:rPr>
          <w:rFonts w:hint="eastAsia" w:ascii="仿宋_GB2312" w:hAnsi="Arial" w:eastAsia="仿宋_GB2312" w:cs="Arial"/>
          <w:bCs/>
          <w:sz w:val="28"/>
          <w:szCs w:val="28"/>
        </w:rPr>
        <w:t>等文件要求设立，为持续有效降低“四害”密度，达到“国家卫生镇”创建病媒生物防制（蚊蝇鼠蟑）C级标准，瀛海镇</w:t>
      </w:r>
      <w:r>
        <w:rPr>
          <w:rFonts w:hint="eastAsia" w:ascii="仿宋_GB2312" w:hAnsi="Arial" w:eastAsia="仿宋_GB2312" w:cs="Arial"/>
          <w:bCs/>
          <w:sz w:val="28"/>
          <w:szCs w:val="28"/>
          <w:lang w:val="en-US" w:eastAsia="zh-CN"/>
        </w:rPr>
        <w:t>需</w:t>
      </w:r>
      <w:r>
        <w:rPr>
          <w:rFonts w:hint="eastAsia" w:ascii="仿宋_GB2312" w:hAnsi="Arial" w:eastAsia="仿宋_GB2312" w:cs="Arial"/>
          <w:bCs/>
          <w:sz w:val="28"/>
          <w:szCs w:val="28"/>
        </w:rPr>
        <w:t>聘用专业病媒防制机构对全镇公共区域外环境进行规范防制。</w:t>
      </w:r>
      <w:r>
        <w:rPr>
          <w:rFonts w:hint="eastAsia" w:ascii="仿宋_GB2312" w:eastAsia="仿宋_GB2312"/>
          <w:bCs/>
          <w:kern w:val="44"/>
          <w:sz w:val="28"/>
          <w:szCs w:val="28"/>
          <w:lang w:eastAsia="zh-CN"/>
        </w:rPr>
        <w:t>瀛海镇</w:t>
      </w:r>
      <w:r>
        <w:rPr>
          <w:rFonts w:hint="eastAsia" w:ascii="仿宋_GB2312" w:eastAsia="仿宋_GB2312"/>
          <w:bCs/>
          <w:kern w:val="44"/>
          <w:sz w:val="28"/>
          <w:szCs w:val="28"/>
        </w:rPr>
        <w:t>依据相关文件设立</w:t>
      </w:r>
      <w:r>
        <w:rPr>
          <w:rFonts w:hint="eastAsia" w:ascii="仿宋_GB2312" w:eastAsia="仿宋_GB2312"/>
          <w:bCs/>
          <w:kern w:val="44"/>
          <w:sz w:val="28"/>
          <w:szCs w:val="28"/>
          <w:lang w:eastAsia="zh-CN"/>
        </w:rPr>
        <w:t>该项目</w:t>
      </w:r>
      <w:r>
        <w:rPr>
          <w:rFonts w:hint="eastAsia" w:ascii="仿宋_GB2312" w:hAnsi="仿宋_GB2312" w:eastAsia="仿宋_GB2312" w:cs="仿宋_GB2312"/>
          <w:bCs/>
          <w:kern w:val="44"/>
          <w:sz w:val="28"/>
          <w:szCs w:val="28"/>
        </w:rPr>
        <w:t>，项目立项依据较为充分。</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eastAsia" w:ascii="仿宋_GB2312" w:eastAsia="仿宋_GB2312"/>
          <w:bCs/>
          <w:kern w:val="44"/>
          <w:sz w:val="28"/>
          <w:szCs w:val="28"/>
          <w:highlight w:val="yellow"/>
        </w:rPr>
      </w:pPr>
      <w:r>
        <w:rPr>
          <w:rFonts w:hint="eastAsia" w:ascii="仿宋_GB2312" w:hAnsi="仿宋_GB2312" w:eastAsia="仿宋_GB2312" w:cs="仿宋_GB2312"/>
          <w:bCs/>
          <w:kern w:val="44"/>
          <w:sz w:val="28"/>
          <w:szCs w:val="28"/>
          <w:highlight w:val="none"/>
          <w:lang w:eastAsia="zh-CN"/>
        </w:rPr>
        <w:t>该项目</w:t>
      </w:r>
      <w:r>
        <w:rPr>
          <w:rFonts w:hint="eastAsia" w:ascii="仿宋_GB2312" w:hAnsi="仿宋_GB2312" w:eastAsia="仿宋_GB2312" w:cs="仿宋_GB2312"/>
          <w:bCs/>
          <w:kern w:val="44"/>
          <w:sz w:val="28"/>
          <w:szCs w:val="28"/>
          <w:highlight w:val="none"/>
        </w:rPr>
        <w:t>由</w:t>
      </w:r>
      <w:r>
        <w:rPr>
          <w:rFonts w:hint="eastAsia" w:ascii="仿宋_GB2312" w:eastAsia="仿宋_GB2312"/>
          <w:bCs/>
          <w:kern w:val="44"/>
          <w:sz w:val="28"/>
          <w:szCs w:val="28"/>
          <w:highlight w:val="none"/>
          <w:lang w:eastAsia="zh-CN"/>
        </w:rPr>
        <w:t>瀛海镇</w:t>
      </w:r>
      <w:r>
        <w:rPr>
          <w:rFonts w:hint="eastAsia" w:ascii="仿宋_GB2312" w:eastAsia="仿宋_GB2312"/>
          <w:bCs/>
          <w:kern w:val="44"/>
          <w:sz w:val="28"/>
          <w:szCs w:val="28"/>
          <w:highlight w:val="none"/>
          <w:lang w:val="en-US" w:eastAsia="zh-CN"/>
        </w:rPr>
        <w:t>教科文体办</w:t>
      </w:r>
      <w:r>
        <w:rPr>
          <w:rFonts w:hint="eastAsia" w:ascii="仿宋_GB2312" w:eastAsia="仿宋_GB2312"/>
          <w:bCs/>
          <w:kern w:val="44"/>
          <w:sz w:val="28"/>
          <w:szCs w:val="28"/>
          <w:highlight w:val="none"/>
        </w:rPr>
        <w:t>负责，</w:t>
      </w:r>
      <w:r>
        <w:rPr>
          <w:rFonts w:hint="eastAsia" w:ascii="仿宋_GB2312" w:eastAsia="仿宋_GB2312"/>
          <w:bCs/>
          <w:kern w:val="44"/>
          <w:sz w:val="28"/>
          <w:szCs w:val="28"/>
          <w:highlight w:val="none"/>
          <w:lang w:eastAsia="zh-CN"/>
        </w:rPr>
        <w:t>瀛海镇</w:t>
      </w:r>
      <w:r>
        <w:rPr>
          <w:rFonts w:hint="eastAsia" w:ascii="仿宋_GB2312" w:eastAsia="仿宋_GB2312"/>
          <w:bCs/>
          <w:kern w:val="44"/>
          <w:sz w:val="28"/>
          <w:szCs w:val="28"/>
          <w:highlight w:val="none"/>
          <w:lang w:val="en-US" w:eastAsia="zh-CN"/>
        </w:rPr>
        <w:t>教科文体办</w:t>
      </w:r>
      <w:r>
        <w:rPr>
          <w:rFonts w:hint="eastAsia" w:ascii="仿宋_GB2312" w:eastAsia="仿宋_GB2312"/>
          <w:bCs/>
          <w:kern w:val="44"/>
          <w:sz w:val="28"/>
          <w:szCs w:val="28"/>
          <w:highlight w:val="none"/>
        </w:rPr>
        <w:t>职责是</w:t>
      </w:r>
      <w:r>
        <w:rPr>
          <w:rFonts w:hint="eastAsia" w:ascii="仿宋_GB2312" w:hAnsi="仿宋_GB2312" w:eastAsia="仿宋_GB2312" w:cs="仿宋_GB2312"/>
          <w:bCs/>
          <w:kern w:val="44"/>
          <w:sz w:val="28"/>
          <w:szCs w:val="28"/>
          <w:highlight w:val="none"/>
        </w:rPr>
        <w:t>负责</w:t>
      </w:r>
      <w:r>
        <w:rPr>
          <w:rFonts w:hint="eastAsia" w:ascii="仿宋_GB2312" w:hAnsi="Arial" w:eastAsia="仿宋_GB2312" w:cs="Arial"/>
          <w:bCs/>
          <w:sz w:val="28"/>
          <w:szCs w:val="28"/>
          <w:lang w:eastAsia="zh-CN"/>
        </w:rPr>
        <w:t>领导本辖区传染病</w:t>
      </w:r>
      <w:r>
        <w:rPr>
          <w:rFonts w:hint="eastAsia" w:ascii="仿宋_GB2312" w:hAnsi="Arial" w:eastAsia="仿宋_GB2312" w:cs="Arial"/>
          <w:bCs/>
          <w:sz w:val="28"/>
          <w:szCs w:val="28"/>
          <w:lang w:val="en-US" w:eastAsia="zh-CN"/>
        </w:rPr>
        <w:t>防制</w:t>
      </w:r>
      <w:r>
        <w:rPr>
          <w:rFonts w:hint="eastAsia" w:ascii="仿宋_GB2312" w:hAnsi="Arial" w:eastAsia="仿宋_GB2312" w:cs="Arial"/>
          <w:bCs/>
          <w:sz w:val="28"/>
          <w:szCs w:val="28"/>
          <w:lang w:eastAsia="zh-CN"/>
        </w:rPr>
        <w:t>工作，组织开展群众性卫生活动，进行预防传染病的健康教育，</w:t>
      </w:r>
      <w:r>
        <w:rPr>
          <w:rFonts w:hint="eastAsia" w:ascii="仿宋_GB2312" w:hAnsi="仿宋_GB2312" w:eastAsia="仿宋_GB2312" w:cs="仿宋_GB2312"/>
          <w:bCs/>
          <w:kern w:val="44"/>
          <w:sz w:val="28"/>
          <w:szCs w:val="28"/>
          <w:highlight w:val="none"/>
        </w:rPr>
        <w:t>项目实施内容具有职能相关性。</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outlineLvl w:val="2"/>
        <w:rPr>
          <w:rFonts w:hint="eastAsia" w:ascii="仿宋_GB2312" w:hAnsi="仿宋_GB2312" w:eastAsia="仿宋_GB2312" w:cs="仿宋_GB2312"/>
          <w:bCs/>
          <w:kern w:val="44"/>
          <w:sz w:val="28"/>
          <w:szCs w:val="28"/>
          <w:highlight w:val="none"/>
        </w:rPr>
      </w:pPr>
      <w:bookmarkStart w:id="37" w:name="_Toc17234"/>
      <w:bookmarkStart w:id="38" w:name="_Toc72244421"/>
      <w:bookmarkStart w:id="39" w:name="_Toc17725"/>
      <w:r>
        <w:rPr>
          <w:rFonts w:hint="eastAsia" w:ascii="仿宋_GB2312" w:hAnsi="仿宋_GB2312" w:eastAsia="仿宋_GB2312" w:cs="仿宋_GB2312"/>
          <w:bCs/>
          <w:kern w:val="44"/>
          <w:sz w:val="28"/>
          <w:szCs w:val="28"/>
          <w:highlight w:val="none"/>
        </w:rPr>
        <w:t>2.绩效目标情况</w:t>
      </w:r>
      <w:bookmarkEnd w:id="37"/>
      <w:bookmarkEnd w:id="38"/>
      <w:bookmarkEnd w:id="39"/>
    </w:p>
    <w:p>
      <w:pPr>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ascii="宋体" w:hAnsi="宋体" w:eastAsia="仿宋_GB2312" w:cs="宋体"/>
          <w:sz w:val="28"/>
          <w:szCs w:val="28"/>
          <w:highlight w:val="yellow"/>
        </w:rPr>
      </w:pPr>
      <w:r>
        <w:rPr>
          <w:rFonts w:hint="eastAsia" w:ascii="仿宋_GB2312" w:hAnsi="仿宋_GB2312" w:eastAsia="仿宋_GB2312" w:cs="仿宋_GB2312"/>
          <w:bCs/>
          <w:kern w:val="44"/>
          <w:sz w:val="28"/>
          <w:szCs w:val="28"/>
          <w:highlight w:val="none"/>
          <w:lang w:eastAsia="zh-CN"/>
        </w:rPr>
        <w:t>该项目</w:t>
      </w:r>
      <w:r>
        <w:rPr>
          <w:rFonts w:hint="eastAsia" w:ascii="仿宋_GB2312" w:hAnsi="仿宋_GB2312" w:eastAsia="仿宋_GB2312" w:cs="仿宋_GB2312"/>
          <w:bCs/>
          <w:kern w:val="44"/>
          <w:sz w:val="28"/>
          <w:szCs w:val="28"/>
          <w:highlight w:val="none"/>
        </w:rPr>
        <w:t>设置了总体绩效目标和绩效指标，</w:t>
      </w:r>
      <w:r>
        <w:rPr>
          <w:rFonts w:hint="eastAsia" w:ascii="仿宋_GB2312" w:hAnsi="仿宋_GB2312" w:eastAsia="仿宋_GB2312" w:cs="仿宋_GB2312"/>
          <w:bCs/>
          <w:kern w:val="44"/>
          <w:sz w:val="28"/>
          <w:szCs w:val="28"/>
          <w:highlight w:val="none"/>
          <w:lang w:val="en-US" w:eastAsia="zh-CN"/>
        </w:rPr>
        <w:t>总体</w:t>
      </w:r>
      <w:r>
        <w:rPr>
          <w:rFonts w:hint="eastAsia" w:ascii="仿宋_GB2312" w:hAnsi="仿宋_GB2312" w:eastAsia="仿宋_GB2312" w:cs="仿宋_GB2312"/>
          <w:bCs/>
          <w:kern w:val="44"/>
          <w:sz w:val="28"/>
          <w:szCs w:val="28"/>
          <w:highlight w:val="none"/>
        </w:rPr>
        <w:t>绩效目标明确了项目实施内容，但未明确项目实施效益。部分绩效指标设置的细化、量化程度不足</w:t>
      </w:r>
      <w:r>
        <w:rPr>
          <w:rFonts w:hint="eastAsia" w:ascii="仿宋_GB2312" w:hAnsi="Arial" w:eastAsia="仿宋_GB2312" w:cs="Arial"/>
          <w:bCs/>
          <w:sz w:val="28"/>
          <w:szCs w:val="28"/>
          <w:lang w:eastAsia="zh-CN"/>
        </w:rPr>
        <w:t>。</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outlineLvl w:val="2"/>
        <w:rPr>
          <w:rFonts w:hint="eastAsia" w:ascii="仿宋_GB2312" w:hAnsi="仿宋_GB2312" w:eastAsia="仿宋_GB2312" w:cs="仿宋_GB2312"/>
          <w:bCs/>
          <w:kern w:val="44"/>
          <w:sz w:val="28"/>
          <w:szCs w:val="28"/>
          <w:highlight w:val="none"/>
        </w:rPr>
      </w:pPr>
      <w:bookmarkStart w:id="40" w:name="_Toc6307"/>
      <w:bookmarkStart w:id="41" w:name="_Toc19347"/>
      <w:bookmarkStart w:id="42" w:name="_Toc72244422"/>
      <w:r>
        <w:rPr>
          <w:rFonts w:hint="eastAsia" w:ascii="仿宋_GB2312" w:hAnsi="仿宋_GB2312" w:eastAsia="仿宋_GB2312" w:cs="仿宋_GB2312"/>
          <w:bCs/>
          <w:kern w:val="44"/>
          <w:sz w:val="28"/>
          <w:szCs w:val="28"/>
          <w:highlight w:val="none"/>
        </w:rPr>
        <w:t>3.资金投入情况</w:t>
      </w:r>
      <w:bookmarkEnd w:id="40"/>
      <w:bookmarkEnd w:id="41"/>
      <w:bookmarkEnd w:id="42"/>
    </w:p>
    <w:p>
      <w:pPr>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ascii="仿宋_GB2312" w:hAnsi="Arial" w:eastAsia="仿宋_GB2312" w:cs="Arial"/>
          <w:bCs/>
          <w:sz w:val="28"/>
          <w:szCs w:val="28"/>
        </w:rPr>
      </w:pPr>
      <w:r>
        <w:rPr>
          <w:rFonts w:hint="eastAsia" w:ascii="仿宋_GB2312" w:hAnsi="仿宋_GB2312" w:eastAsia="仿宋_GB2312" w:cs="仿宋_GB2312"/>
          <w:bCs/>
          <w:kern w:val="44"/>
          <w:sz w:val="28"/>
          <w:szCs w:val="28"/>
          <w:highlight w:val="none"/>
          <w:lang w:eastAsia="zh-CN"/>
        </w:rPr>
        <w:t>该项目</w:t>
      </w:r>
      <w:r>
        <w:rPr>
          <w:rFonts w:hint="eastAsia" w:ascii="仿宋_GB2312" w:hAnsi="仿宋_GB2312" w:eastAsia="仿宋_GB2312" w:cs="仿宋_GB2312"/>
          <w:bCs/>
          <w:kern w:val="44"/>
          <w:sz w:val="28"/>
          <w:szCs w:val="28"/>
          <w:highlight w:val="none"/>
        </w:rPr>
        <w:t>202</w:t>
      </w:r>
      <w:r>
        <w:rPr>
          <w:rFonts w:hint="eastAsia" w:ascii="仿宋_GB2312" w:hAnsi="仿宋_GB2312" w:eastAsia="仿宋_GB2312" w:cs="仿宋_GB2312"/>
          <w:bCs/>
          <w:kern w:val="44"/>
          <w:sz w:val="28"/>
          <w:szCs w:val="28"/>
          <w:highlight w:val="none"/>
          <w:lang w:val="en-US" w:eastAsia="zh-CN"/>
        </w:rPr>
        <w:t>4</w:t>
      </w:r>
      <w:r>
        <w:rPr>
          <w:rFonts w:hint="eastAsia" w:ascii="仿宋_GB2312" w:hAnsi="仿宋_GB2312" w:eastAsia="仿宋_GB2312" w:cs="仿宋_GB2312"/>
          <w:bCs/>
          <w:kern w:val="44"/>
          <w:sz w:val="28"/>
          <w:szCs w:val="28"/>
          <w:highlight w:val="none"/>
        </w:rPr>
        <w:t>年</w:t>
      </w:r>
      <w:r>
        <w:rPr>
          <w:rFonts w:hint="eastAsia" w:ascii="仿宋_GB2312" w:hAnsi="仿宋_GB2312" w:eastAsia="仿宋_GB2312" w:cs="仿宋_GB2312"/>
          <w:bCs/>
          <w:kern w:val="44"/>
          <w:sz w:val="28"/>
          <w:szCs w:val="28"/>
          <w:highlight w:val="none"/>
          <w:lang w:eastAsia="zh-CN"/>
        </w:rPr>
        <w:t>该项目</w:t>
      </w:r>
      <w:r>
        <w:rPr>
          <w:rFonts w:hint="eastAsia" w:ascii="仿宋_GB2312" w:hAnsi="仿宋_GB2312" w:eastAsia="仿宋_GB2312" w:cs="仿宋_GB2312"/>
          <w:bCs/>
          <w:kern w:val="44"/>
          <w:sz w:val="28"/>
          <w:szCs w:val="28"/>
          <w:highlight w:val="none"/>
        </w:rPr>
        <w:t>预算</w:t>
      </w:r>
      <w:r>
        <w:rPr>
          <w:rFonts w:hint="eastAsia" w:ascii="仿宋_GB2312" w:hAnsi="Arial" w:eastAsia="仿宋_GB2312" w:cs="Arial"/>
          <w:bCs/>
          <w:sz w:val="28"/>
          <w:szCs w:val="28"/>
          <w:lang w:val="en-US" w:eastAsia="zh-CN"/>
        </w:rPr>
        <w:t>4,334,434.46</w:t>
      </w:r>
      <w:r>
        <w:rPr>
          <w:rFonts w:hint="eastAsia" w:ascii="仿宋_GB2312" w:hAnsi="宋体" w:eastAsia="仿宋_GB2312" w:cs="宋体"/>
          <w:kern w:val="0"/>
          <w:sz w:val="28"/>
          <w:szCs w:val="28"/>
        </w:rPr>
        <w:t>元</w:t>
      </w:r>
      <w:r>
        <w:rPr>
          <w:rFonts w:hint="eastAsia" w:ascii="仿宋_GB2312" w:hAnsi="仿宋_GB2312" w:eastAsia="仿宋_GB2312" w:cs="仿宋_GB2312"/>
          <w:bCs/>
          <w:kern w:val="44"/>
          <w:sz w:val="28"/>
          <w:szCs w:val="28"/>
          <w:highlight w:val="none"/>
        </w:rPr>
        <w:t>，</w:t>
      </w:r>
      <w:r>
        <w:rPr>
          <w:rFonts w:hint="eastAsia" w:ascii="仿宋_GB2312" w:hAnsi="Arial" w:eastAsia="仿宋_GB2312" w:cs="Arial"/>
          <w:bCs/>
          <w:sz w:val="28"/>
          <w:szCs w:val="28"/>
        </w:rPr>
        <w:t>截至202</w:t>
      </w:r>
      <w:r>
        <w:rPr>
          <w:rFonts w:hint="eastAsia" w:ascii="仿宋_GB2312" w:hAnsi="Arial" w:eastAsia="仿宋_GB2312" w:cs="Arial"/>
          <w:bCs/>
          <w:sz w:val="28"/>
          <w:szCs w:val="28"/>
          <w:lang w:val="en-US" w:eastAsia="zh-CN"/>
        </w:rPr>
        <w:t>4</w:t>
      </w:r>
      <w:r>
        <w:rPr>
          <w:rFonts w:hint="eastAsia" w:ascii="仿宋_GB2312" w:hAnsi="Arial" w:eastAsia="仿宋_GB2312" w:cs="Arial"/>
          <w:bCs/>
          <w:sz w:val="28"/>
          <w:szCs w:val="28"/>
        </w:rPr>
        <w:t>年12月31日，实际支出金额为</w:t>
      </w:r>
      <w:r>
        <w:rPr>
          <w:rFonts w:hint="eastAsia" w:ascii="仿宋_GB2312" w:hAnsi="Arial" w:eastAsia="仿宋_GB2312" w:cs="Arial"/>
          <w:bCs/>
          <w:sz w:val="28"/>
          <w:szCs w:val="28"/>
          <w:lang w:val="en-US" w:eastAsia="zh-CN"/>
        </w:rPr>
        <w:t>4,334,434.46</w:t>
      </w:r>
      <w:r>
        <w:rPr>
          <w:rFonts w:hint="eastAsia" w:ascii="仿宋_GB2312" w:hAnsi="Arial" w:eastAsia="仿宋_GB2312" w:cs="Arial"/>
          <w:bCs/>
          <w:sz w:val="28"/>
          <w:szCs w:val="28"/>
        </w:rPr>
        <w:t>元，预算执行率为100.00%。支出内容</w:t>
      </w:r>
      <w:r>
        <w:rPr>
          <w:rFonts w:hint="eastAsia" w:ascii="仿宋_GB2312" w:hAnsi="Arial" w:eastAsia="仿宋_GB2312" w:cs="Arial"/>
          <w:bCs/>
          <w:sz w:val="28"/>
          <w:szCs w:val="28"/>
          <w:lang w:val="en-US" w:eastAsia="zh-CN"/>
        </w:rPr>
        <w:t>主要为病媒生物防制专项工作费用</w:t>
      </w:r>
      <w:r>
        <w:rPr>
          <w:rFonts w:hint="eastAsia" w:ascii="仿宋_GB2312" w:hAnsi="Arial" w:eastAsia="仿宋_GB2312" w:cs="Arial"/>
          <w:bCs/>
          <w:sz w:val="28"/>
          <w:szCs w:val="28"/>
        </w:rPr>
        <w:t>。</w:t>
      </w:r>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楷体_GB2312" w:hAnsi="楷体_GB2312" w:eastAsia="楷体_GB2312" w:cs="楷体_GB2312"/>
          <w:b w:val="0"/>
          <w:bCs w:val="0"/>
          <w:sz w:val="28"/>
          <w:szCs w:val="28"/>
          <w:highlight w:val="none"/>
        </w:rPr>
      </w:pPr>
      <w:bookmarkStart w:id="43" w:name="_Toc18013"/>
      <w:bookmarkStart w:id="44" w:name="_Toc12588"/>
      <w:r>
        <w:rPr>
          <w:rFonts w:hint="eastAsia" w:ascii="楷体_GB2312" w:hAnsi="楷体_GB2312" w:eastAsia="楷体_GB2312" w:cs="楷体_GB2312"/>
          <w:b w:val="0"/>
          <w:bCs w:val="0"/>
          <w:sz w:val="28"/>
          <w:szCs w:val="28"/>
          <w:highlight w:val="none"/>
        </w:rPr>
        <w:t>（二）项目过程情况</w:t>
      </w:r>
      <w:bookmarkEnd w:id="43"/>
      <w:bookmarkEnd w:id="44"/>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outlineLvl w:val="2"/>
        <w:rPr>
          <w:rFonts w:hint="eastAsia" w:ascii="仿宋_GB2312" w:hAnsi="仿宋_GB2312" w:eastAsia="仿宋_GB2312" w:cs="仿宋_GB2312"/>
          <w:bCs/>
          <w:kern w:val="44"/>
          <w:sz w:val="28"/>
          <w:szCs w:val="28"/>
          <w:highlight w:val="none"/>
        </w:rPr>
      </w:pPr>
      <w:bookmarkStart w:id="45" w:name="_Toc72244424"/>
      <w:bookmarkStart w:id="46" w:name="_Toc28141"/>
      <w:bookmarkStart w:id="47" w:name="_Toc26379"/>
      <w:r>
        <w:rPr>
          <w:rFonts w:hint="eastAsia" w:ascii="仿宋_GB2312" w:hAnsi="仿宋_GB2312" w:eastAsia="仿宋_GB2312" w:cs="仿宋_GB2312"/>
          <w:bCs/>
          <w:kern w:val="44"/>
          <w:sz w:val="28"/>
          <w:szCs w:val="28"/>
          <w:highlight w:val="none"/>
        </w:rPr>
        <w:t>1.资金管理情况</w:t>
      </w:r>
      <w:bookmarkEnd w:id="45"/>
      <w:bookmarkEnd w:id="46"/>
      <w:bookmarkEnd w:id="47"/>
    </w:p>
    <w:p>
      <w:pPr>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default" w:ascii="仿宋_GB2312" w:hAnsi="Arial" w:eastAsia="仿宋_GB2312" w:cs="Arial"/>
          <w:bCs/>
          <w:sz w:val="28"/>
          <w:szCs w:val="28"/>
          <w:lang w:val="en-US" w:eastAsia="zh-CN"/>
        </w:rPr>
      </w:pPr>
      <w:bookmarkStart w:id="48" w:name="_Toc72244425"/>
      <w:bookmarkStart w:id="49" w:name="_Toc24399"/>
      <w:bookmarkStart w:id="50" w:name="_Toc25228"/>
      <w:r>
        <w:rPr>
          <w:rFonts w:hint="eastAsia" w:ascii="仿宋_GB2312" w:hAnsi="Arial" w:eastAsia="仿宋_GB2312" w:cs="Arial"/>
          <w:bCs/>
          <w:sz w:val="28"/>
          <w:szCs w:val="28"/>
          <w:lang w:eastAsia="zh-CN"/>
        </w:rPr>
        <w:t>该项目</w:t>
      </w:r>
      <w:r>
        <w:rPr>
          <w:rFonts w:hint="eastAsia" w:ascii="仿宋_GB2312" w:hAnsi="Arial" w:eastAsia="仿宋_GB2312" w:cs="Arial"/>
          <w:bCs/>
          <w:sz w:val="28"/>
          <w:szCs w:val="28"/>
        </w:rPr>
        <w:t>资金支出按规定履行了单位内部审批程序，</w:t>
      </w:r>
      <w:r>
        <w:rPr>
          <w:rFonts w:hint="eastAsia" w:ascii="仿宋_GB2312" w:hAnsi="Arial" w:eastAsia="仿宋_GB2312" w:cs="Arial"/>
          <w:bCs/>
          <w:sz w:val="28"/>
          <w:szCs w:val="28"/>
          <w:lang w:val="en-US" w:eastAsia="zh-CN"/>
        </w:rPr>
        <w:t>按照合同约定分两期付款并在付款前获取有效发票，</w:t>
      </w:r>
      <w:r>
        <w:rPr>
          <w:rFonts w:hint="eastAsia" w:ascii="仿宋_GB2312" w:hAnsi="Arial" w:eastAsia="仿宋_GB2312" w:cs="Arial"/>
          <w:bCs/>
          <w:sz w:val="28"/>
          <w:szCs w:val="28"/>
        </w:rPr>
        <w:t>填写</w:t>
      </w:r>
      <w:r>
        <w:rPr>
          <w:rFonts w:hint="eastAsia" w:ascii="仿宋_GB2312" w:hAnsi="Arial" w:eastAsia="仿宋_GB2312" w:cs="Arial"/>
          <w:bCs/>
          <w:sz w:val="28"/>
          <w:szCs w:val="28"/>
          <w:lang w:eastAsia="zh-CN"/>
        </w:rPr>
        <w:t>了</w:t>
      </w:r>
      <w:r>
        <w:rPr>
          <w:rFonts w:hint="eastAsia" w:ascii="仿宋_GB2312" w:hAnsi="Arial" w:eastAsia="仿宋_GB2312" w:cs="Arial"/>
          <w:bCs/>
          <w:sz w:val="28"/>
          <w:szCs w:val="28"/>
        </w:rPr>
        <w:t>机关支出计划审批单，财务凭证后附资金支付申请及领导签批、合同、发票等资料。</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60" w:firstLineChars="200"/>
        <w:textAlignment w:val="auto"/>
        <w:outlineLvl w:val="2"/>
        <w:rPr>
          <w:rFonts w:hint="eastAsia" w:ascii="仿宋_GB2312" w:hAnsi="仿宋_GB2312" w:eastAsia="仿宋_GB2312" w:cs="仿宋_GB2312"/>
          <w:bCs/>
          <w:kern w:val="44"/>
          <w:sz w:val="28"/>
          <w:szCs w:val="28"/>
          <w:highlight w:val="none"/>
        </w:rPr>
      </w:pPr>
      <w:r>
        <w:rPr>
          <w:rFonts w:hint="eastAsia" w:ascii="仿宋_GB2312" w:hAnsi="仿宋_GB2312" w:eastAsia="仿宋_GB2312" w:cs="仿宋_GB2312"/>
          <w:bCs/>
          <w:kern w:val="44"/>
          <w:sz w:val="28"/>
          <w:szCs w:val="28"/>
          <w:highlight w:val="none"/>
        </w:rPr>
        <w:t>2.组织实施情况</w:t>
      </w:r>
      <w:bookmarkEnd w:id="48"/>
      <w:bookmarkEnd w:id="49"/>
      <w:bookmarkEnd w:id="50"/>
    </w:p>
    <w:p>
      <w:pPr>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default" w:ascii="仿宋_GB2312" w:hAnsi="Arial" w:eastAsia="仿宋_GB2312" w:cs="Arial"/>
          <w:bCs/>
          <w:sz w:val="28"/>
          <w:szCs w:val="28"/>
          <w:lang w:val="en-US" w:eastAsia="zh-CN"/>
        </w:rPr>
      </w:pPr>
      <w:r>
        <w:rPr>
          <w:rFonts w:hint="eastAsia" w:ascii="仿宋_GB2312" w:hAnsi="Arial" w:eastAsia="仿宋_GB2312" w:cs="Arial"/>
          <w:bCs/>
          <w:sz w:val="28"/>
          <w:szCs w:val="28"/>
        </w:rPr>
        <w:t>瀛海镇委托北京融慧信成建筑工程咨询服务有限公司负责“北京市大兴区瀛海镇病媒生物防制项目”公开招标事宜，经</w:t>
      </w:r>
      <w:r>
        <w:rPr>
          <w:rFonts w:hint="eastAsia" w:ascii="仿宋_GB2312" w:hAnsi="Arial" w:eastAsia="仿宋_GB2312" w:cs="Arial"/>
          <w:bCs/>
          <w:sz w:val="28"/>
          <w:szCs w:val="28"/>
          <w:lang w:val="en-US" w:eastAsia="zh-CN"/>
        </w:rPr>
        <w:t>采购</w:t>
      </w:r>
      <w:r>
        <w:rPr>
          <w:rFonts w:hint="eastAsia" w:ascii="仿宋_GB2312" w:hAnsi="Arial" w:eastAsia="仿宋_GB2312" w:cs="Arial"/>
          <w:bCs/>
          <w:sz w:val="28"/>
          <w:szCs w:val="28"/>
        </w:rPr>
        <w:t>程序选定利华中康(北京)制药有限公司确定为项目中标人</w:t>
      </w:r>
      <w:r>
        <w:rPr>
          <w:rFonts w:hint="eastAsia" w:ascii="仿宋_GB2312" w:hAnsi="Arial" w:eastAsia="仿宋_GB2312" w:cs="Arial"/>
          <w:bCs/>
          <w:sz w:val="28"/>
          <w:szCs w:val="28"/>
          <w:lang w:eastAsia="zh-CN"/>
        </w:rPr>
        <w:t>，</w:t>
      </w:r>
      <w:r>
        <w:rPr>
          <w:rFonts w:hint="eastAsia" w:ascii="仿宋_GB2312" w:hAnsi="Arial" w:eastAsia="仿宋_GB2312" w:cs="Arial"/>
          <w:bCs/>
          <w:sz w:val="28"/>
          <w:szCs w:val="28"/>
          <w:lang w:val="en-US" w:eastAsia="zh-CN"/>
        </w:rPr>
        <w:t>并约定服务期限为2023年8月7日-2025年8月6日。</w:t>
      </w:r>
    </w:p>
    <w:p>
      <w:pPr>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eastAsia="仿宋_GB2312"/>
          <w:bCs/>
          <w:kern w:val="44"/>
          <w:sz w:val="28"/>
          <w:szCs w:val="28"/>
          <w:highlight w:val="none"/>
        </w:rPr>
      </w:pPr>
      <w:r>
        <w:rPr>
          <w:rFonts w:hint="eastAsia" w:ascii="仿宋_GB2312" w:hAnsi="Arial" w:eastAsia="仿宋_GB2312" w:cs="Arial"/>
          <w:bCs/>
          <w:sz w:val="28"/>
          <w:szCs w:val="28"/>
          <w:lang w:val="en-US" w:eastAsia="zh-CN"/>
        </w:rPr>
        <w:t>在防制合同期限内对蚊、蝇、鼠、蟑密度达到国家规定的病媒生物密度控制水平C级标准，虫害滋扰降至最低，严格填写施工作业记录，春季3-5月、夏季6-8月、秋季9-11月、冬季12-2月每个防制季编写阶段性技术服务报告，3-4月每月一轮鼠蟑消杀，5-10月每月一轮蚊蝇鼠蟑消杀，11-2月每月一轮鼠消杀，服务期共计消杀12轮次，同时做好防制前、后的密度监测。建立质控体系和记录，如密度监测体系、质量管理及检查体系、登记记录体系，并形成详实、可追溯的资料。抽查范围及数量包括:自我抽查现场质量情况，每一轮次，每个重点区域全覆盖。针对孳生地清理、消杀程序规范性（含药物使用及重点区域处理）、蝇袋设置、防治效果自检（蚊蝇蟑螂指标）及发现问题及时上报协调处理。</w:t>
      </w:r>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楷体_GB2312" w:hAnsi="楷体_GB2312" w:eastAsia="楷体_GB2312" w:cs="楷体_GB2312"/>
          <w:b w:val="0"/>
          <w:bCs w:val="0"/>
          <w:sz w:val="28"/>
          <w:szCs w:val="28"/>
        </w:rPr>
      </w:pPr>
      <w:bookmarkStart w:id="51" w:name="_Toc25946"/>
      <w:bookmarkStart w:id="52" w:name="_Toc10564"/>
      <w:r>
        <w:rPr>
          <w:rFonts w:hint="eastAsia" w:ascii="楷体_GB2312" w:hAnsi="楷体_GB2312" w:eastAsia="楷体_GB2312" w:cs="楷体_GB2312"/>
          <w:b w:val="0"/>
          <w:bCs w:val="0"/>
          <w:sz w:val="28"/>
          <w:szCs w:val="28"/>
        </w:rPr>
        <w:t>（三）项目产出情况</w:t>
      </w:r>
      <w:bookmarkEnd w:id="51"/>
      <w:bookmarkEnd w:id="52"/>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仿宋_GB2312" w:hAnsi="Arial" w:eastAsia="仿宋_GB2312" w:cs="Arial"/>
          <w:b w:val="0"/>
          <w:bCs/>
          <w:kern w:val="2"/>
          <w:sz w:val="28"/>
          <w:szCs w:val="28"/>
          <w:lang w:val="en-US" w:eastAsia="zh-CN" w:bidi="ar-SA"/>
        </w:rPr>
      </w:pPr>
      <w:bookmarkStart w:id="53" w:name="_Toc4913"/>
      <w:bookmarkStart w:id="54" w:name="_Toc11907"/>
      <w:r>
        <w:rPr>
          <w:rFonts w:hint="eastAsia" w:ascii="仿宋_GB2312" w:hAnsi="Arial" w:eastAsia="仿宋_GB2312" w:cs="Arial"/>
          <w:b w:val="0"/>
          <w:bCs/>
          <w:kern w:val="2"/>
          <w:sz w:val="28"/>
          <w:szCs w:val="28"/>
          <w:lang w:val="en-US" w:eastAsia="zh-CN" w:bidi="ar-SA"/>
        </w:rPr>
        <w:t>2024年度，开展病媒生物防制专项工作12次，制作各类宣传材料和宣传品20万份；病媒生物防制专项工作四害密度达到C级以上；病媒生物防制专项工作在12月完成、制作各类宣传材料和宣传品在12月完成。</w:t>
      </w:r>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楷体_GB2312" w:hAnsi="楷体_GB2312" w:eastAsia="楷体_GB2312" w:cs="楷体_GB2312"/>
          <w:b w:val="0"/>
          <w:bCs w:val="0"/>
          <w:sz w:val="28"/>
          <w:szCs w:val="28"/>
          <w:lang w:val="en-US" w:eastAsia="zh-CN"/>
        </w:rPr>
      </w:pPr>
      <w:r>
        <w:rPr>
          <w:rFonts w:hint="eastAsia" w:ascii="楷体_GB2312" w:hAnsi="楷体_GB2312" w:eastAsia="楷体_GB2312" w:cs="楷体_GB2312"/>
          <w:b w:val="0"/>
          <w:bCs w:val="0"/>
          <w:sz w:val="28"/>
          <w:szCs w:val="28"/>
          <w:lang w:val="en-US" w:eastAsia="zh-CN"/>
        </w:rPr>
        <w:t>（四）项目效益情况</w:t>
      </w:r>
      <w:bookmarkEnd w:id="53"/>
      <w:bookmarkEnd w:id="54"/>
    </w:p>
    <w:bookmarkEnd w:id="29"/>
    <w:p>
      <w:pPr>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Arial" w:eastAsia="仿宋_GB2312" w:cs="Arial"/>
          <w:bCs/>
          <w:sz w:val="28"/>
          <w:szCs w:val="28"/>
        </w:rPr>
      </w:pPr>
      <w:bookmarkStart w:id="55" w:name="_Toc14822"/>
      <w:bookmarkStart w:id="56" w:name="_Toc25691"/>
      <w:r>
        <w:rPr>
          <w:rFonts w:hint="eastAsia" w:ascii="仿宋_GB2312" w:hAnsi="Arial" w:eastAsia="仿宋_GB2312" w:cs="Arial"/>
          <w:bCs/>
          <w:sz w:val="28"/>
          <w:szCs w:val="28"/>
        </w:rPr>
        <w:t>通过</w:t>
      </w:r>
      <w:r>
        <w:rPr>
          <w:rFonts w:hint="eastAsia" w:ascii="仿宋_GB2312" w:hAnsi="Arial" w:eastAsia="仿宋_GB2312" w:cs="Arial"/>
          <w:bCs/>
          <w:sz w:val="28"/>
          <w:szCs w:val="28"/>
          <w:lang w:eastAsia="zh-CN"/>
        </w:rPr>
        <w:t>该项目</w:t>
      </w:r>
      <w:r>
        <w:rPr>
          <w:rFonts w:hint="eastAsia" w:ascii="仿宋_GB2312" w:hAnsi="Arial" w:eastAsia="仿宋_GB2312" w:cs="Arial"/>
          <w:bCs/>
          <w:sz w:val="28"/>
          <w:szCs w:val="28"/>
        </w:rPr>
        <w:t>的实施，</w:t>
      </w:r>
      <w:r>
        <w:rPr>
          <w:rFonts w:hint="eastAsia" w:ascii="仿宋_GB2312" w:hAnsi="Arial" w:eastAsia="仿宋_GB2312" w:cs="Arial"/>
          <w:bCs/>
          <w:sz w:val="28"/>
          <w:szCs w:val="28"/>
          <w:lang w:val="en-US" w:eastAsia="zh-CN"/>
        </w:rPr>
        <w:t>有效支撑了</w:t>
      </w:r>
      <w:r>
        <w:rPr>
          <w:rFonts w:hint="eastAsia" w:ascii="仿宋_GB2312" w:hAnsi="Arial" w:eastAsia="仿宋_GB2312" w:cs="Arial"/>
          <w:bCs/>
          <w:sz w:val="28"/>
          <w:szCs w:val="28"/>
        </w:rPr>
        <w:t>国家卫生区创建工作，不断提高辖区内居民“创卫”意识，进一步营造浓厚的创卫宣传氛围、改善人居环境，提高创卫工作知晓率，降低密度的效果。</w:t>
      </w:r>
      <w:r>
        <w:rPr>
          <w:rFonts w:hint="eastAsia" w:ascii="仿宋_GB2312" w:hAnsi="Arial" w:eastAsia="仿宋_GB2312" w:cs="Arial"/>
          <w:bCs/>
          <w:sz w:val="28"/>
          <w:szCs w:val="28"/>
          <w:lang w:eastAsia="zh-CN"/>
        </w:rPr>
        <w:t>瀛海镇</w:t>
      </w:r>
      <w:r>
        <w:rPr>
          <w:rFonts w:hint="eastAsia" w:ascii="仿宋_GB2312" w:hAnsi="Arial" w:eastAsia="仿宋_GB2312" w:cs="Arial"/>
          <w:bCs/>
          <w:sz w:val="28"/>
          <w:szCs w:val="28"/>
        </w:rPr>
        <w:t>对</w:t>
      </w:r>
      <w:r>
        <w:rPr>
          <w:rFonts w:hint="eastAsia" w:ascii="仿宋_GB2312" w:hAnsi="Arial" w:eastAsia="仿宋_GB2312" w:cs="Arial"/>
          <w:bCs/>
          <w:sz w:val="28"/>
          <w:szCs w:val="28"/>
          <w:lang w:val="en-US" w:eastAsia="zh-CN"/>
        </w:rPr>
        <w:t>该项目</w:t>
      </w:r>
      <w:r>
        <w:rPr>
          <w:rFonts w:hint="eastAsia" w:ascii="仿宋_GB2312" w:hAnsi="Arial" w:eastAsia="仿宋_GB2312" w:cs="Arial"/>
          <w:bCs/>
          <w:sz w:val="28"/>
          <w:szCs w:val="28"/>
        </w:rPr>
        <w:t>进行了满意度调查，群众满意度</w:t>
      </w:r>
      <w:r>
        <w:rPr>
          <w:rFonts w:hint="eastAsia" w:ascii="仿宋_GB2312" w:hAnsi="Arial" w:eastAsia="仿宋_GB2312" w:cs="Arial"/>
          <w:bCs/>
          <w:sz w:val="28"/>
          <w:szCs w:val="28"/>
          <w:lang w:val="en-US" w:eastAsia="zh-CN"/>
        </w:rPr>
        <w:t>为100</w:t>
      </w:r>
      <w:r>
        <w:rPr>
          <w:rFonts w:hint="eastAsia" w:ascii="仿宋_GB2312" w:hAnsi="Arial" w:eastAsia="仿宋_GB2312" w:cs="Arial"/>
          <w:bCs/>
          <w:sz w:val="28"/>
          <w:szCs w:val="28"/>
        </w:rPr>
        <w:t>%。</w:t>
      </w:r>
      <w:bookmarkEnd w:id="55"/>
      <w:bookmarkEnd w:id="56"/>
      <w:bookmarkStart w:id="57" w:name="_Toc10369"/>
    </w:p>
    <w:p>
      <w:pPr>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黑体" w:hAnsi="黑体" w:eastAsia="黑体"/>
          <w:b w:val="0"/>
          <w:bCs w:val="0"/>
          <w:sz w:val="28"/>
          <w:szCs w:val="28"/>
        </w:rPr>
      </w:pPr>
      <w:r>
        <w:rPr>
          <w:rFonts w:hint="eastAsia" w:ascii="黑体" w:hAnsi="黑体" w:eastAsia="黑体"/>
          <w:b w:val="0"/>
          <w:bCs w:val="0"/>
          <w:sz w:val="28"/>
          <w:szCs w:val="28"/>
        </w:rPr>
        <w:t>五、主要经验及做法、存在的问题及原因分析</w:t>
      </w:r>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楷体_GB2312" w:hAnsi="楷体_GB2312" w:eastAsia="楷体_GB2312" w:cs="楷体_GB2312"/>
          <w:b w:val="0"/>
          <w:bCs w:val="0"/>
          <w:sz w:val="28"/>
          <w:szCs w:val="28"/>
        </w:rPr>
      </w:pPr>
      <w:r>
        <w:rPr>
          <w:rFonts w:hint="eastAsia" w:ascii="楷体_GB2312" w:hAnsi="楷体_GB2312" w:eastAsia="楷体_GB2312" w:cs="楷体_GB2312"/>
          <w:b w:val="0"/>
          <w:bCs w:val="0"/>
          <w:sz w:val="28"/>
          <w:szCs w:val="28"/>
        </w:rPr>
        <w:t>（一）主要经验及做法</w:t>
      </w:r>
      <w:bookmarkEnd w:id="57"/>
    </w:p>
    <w:p>
      <w:pPr>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Arial" w:eastAsia="仿宋_GB2312" w:cs="Arial"/>
          <w:bCs/>
          <w:sz w:val="28"/>
          <w:szCs w:val="28"/>
          <w:lang w:val="en-US" w:eastAsia="zh-CN"/>
        </w:rPr>
      </w:pPr>
      <w:bookmarkStart w:id="58" w:name="_Toc7693"/>
      <w:r>
        <w:rPr>
          <w:rFonts w:hint="eastAsia" w:ascii="仿宋_GB2312" w:hAnsi="Arial" w:eastAsia="仿宋_GB2312" w:cs="Arial"/>
          <w:bCs/>
          <w:sz w:val="28"/>
          <w:szCs w:val="28"/>
          <w:lang w:val="en-US" w:eastAsia="zh-CN"/>
        </w:rPr>
        <w:t>为扎实做好病媒生物防制工作，有效控制“四害”密度和防止相关传染疾病的发生与流行，保障人民群众健康，通过组建专业消杀队伍，开展摸底调查和培训，针对管理人员和实施人员进行培训，购置专业用品，结合全镇环境综合治理和爱国卫生月活动，广泛发动群众，多方筹措资金、科学消杀，以改善人居环境，提高创卫工作知晓率，降低密度。</w:t>
      </w:r>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楷体_GB2312" w:hAnsi="楷体_GB2312" w:eastAsia="楷体_GB2312" w:cs="楷体_GB2312"/>
          <w:b w:val="0"/>
          <w:bCs w:val="0"/>
          <w:sz w:val="28"/>
          <w:szCs w:val="28"/>
        </w:rPr>
      </w:pPr>
      <w:r>
        <w:rPr>
          <w:rFonts w:hint="eastAsia" w:ascii="楷体_GB2312" w:hAnsi="楷体_GB2312" w:eastAsia="楷体_GB2312" w:cs="楷体_GB2312"/>
          <w:b w:val="0"/>
          <w:bCs w:val="0"/>
          <w:sz w:val="28"/>
          <w:szCs w:val="28"/>
        </w:rPr>
        <w:t>（二）存在的问题及原因分析</w:t>
      </w:r>
      <w:bookmarkEnd w:id="58"/>
    </w:p>
    <w:p>
      <w:pPr>
        <w:pageBreakBefore w:val="0"/>
        <w:widowControl w:val="0"/>
        <w:numPr>
          <w:ilvl w:val="0"/>
          <w:numId w:val="0"/>
        </w:numPr>
        <w:kinsoku/>
        <w:wordWrap/>
        <w:overflowPunct/>
        <w:topLinePunct w:val="0"/>
        <w:autoSpaceDE/>
        <w:autoSpaceDN/>
        <w:bidi w:val="0"/>
        <w:spacing w:beforeAutospacing="0" w:afterAutospacing="0" w:line="560" w:lineRule="exact"/>
        <w:ind w:firstLine="560" w:firstLineChars="200"/>
        <w:textAlignment w:val="auto"/>
        <w:rPr>
          <w:rFonts w:ascii="楷体_GB2312" w:hAnsi="Arial" w:eastAsia="楷体_GB2312" w:cs="Arial"/>
          <w:bCs/>
          <w:sz w:val="28"/>
          <w:szCs w:val="28"/>
        </w:rPr>
      </w:pPr>
      <w:bookmarkStart w:id="59" w:name="_Toc23370"/>
      <w:r>
        <w:rPr>
          <w:rFonts w:hint="eastAsia" w:ascii="仿宋_GB2312" w:hAnsi="Arial" w:eastAsia="仿宋_GB2312" w:cs="Arial"/>
          <w:bCs/>
          <w:sz w:val="28"/>
          <w:szCs w:val="28"/>
          <w:lang w:val="en-US" w:eastAsia="zh-CN"/>
        </w:rPr>
        <w:t>一是</w:t>
      </w:r>
      <w:r>
        <w:rPr>
          <w:rFonts w:hint="eastAsia" w:ascii="仿宋_GB2312" w:hAnsi="Arial" w:eastAsia="仿宋_GB2312" w:cs="Arial"/>
          <w:bCs/>
          <w:sz w:val="28"/>
          <w:szCs w:val="28"/>
        </w:rPr>
        <w:t>绩效目标设置不规范</w:t>
      </w:r>
      <w:r>
        <w:rPr>
          <w:rFonts w:hint="eastAsia" w:ascii="仿宋_GB2312" w:hAnsi="Arial" w:eastAsia="仿宋_GB2312" w:cs="Arial"/>
          <w:bCs/>
          <w:sz w:val="28"/>
          <w:szCs w:val="28"/>
          <w:lang w:eastAsia="zh-CN"/>
        </w:rPr>
        <w:t>，</w:t>
      </w:r>
      <w:r>
        <w:rPr>
          <w:rFonts w:hint="eastAsia" w:ascii="仿宋_GB2312" w:hAnsi="仿宋_GB2312" w:eastAsia="仿宋_GB2312" w:cs="仿宋_GB2312"/>
          <w:bCs/>
          <w:kern w:val="44"/>
          <w:sz w:val="28"/>
          <w:szCs w:val="28"/>
          <w:highlight w:val="none"/>
        </w:rPr>
        <w:t>部分绩效指标设置的细化、量化程度不足</w:t>
      </w:r>
      <w:r>
        <w:rPr>
          <w:rFonts w:hint="eastAsia" w:ascii="仿宋_GB2312" w:hAnsi="仿宋_GB2312" w:eastAsia="仿宋_GB2312" w:cs="仿宋_GB2312"/>
          <w:bCs/>
          <w:kern w:val="44"/>
          <w:sz w:val="28"/>
          <w:szCs w:val="28"/>
          <w:highlight w:val="none"/>
          <w:lang w:eastAsia="zh-CN"/>
        </w:rPr>
        <w:t>；</w:t>
      </w:r>
      <w:r>
        <w:rPr>
          <w:rFonts w:hint="eastAsia" w:ascii="仿宋_GB2312" w:hAnsi="仿宋_GB2312" w:eastAsia="仿宋_GB2312" w:cs="仿宋_GB2312"/>
          <w:bCs/>
          <w:kern w:val="44"/>
          <w:sz w:val="28"/>
          <w:szCs w:val="28"/>
          <w:highlight w:val="none"/>
          <w:lang w:val="en-US" w:eastAsia="zh-CN"/>
        </w:rPr>
        <w:t>二是</w:t>
      </w:r>
      <w:r>
        <w:rPr>
          <w:rFonts w:hint="eastAsia" w:ascii="仿宋_GB2312" w:hAnsi="Times New Roman" w:eastAsia="仿宋_GB2312" w:cs="Times New Roman"/>
          <w:bCs/>
          <w:kern w:val="44"/>
          <w:sz w:val="28"/>
          <w:szCs w:val="28"/>
        </w:rPr>
        <w:t>项目过程管理不</w:t>
      </w:r>
      <w:r>
        <w:rPr>
          <w:rFonts w:hint="eastAsia" w:ascii="仿宋_GB2312" w:hAnsi="Times New Roman" w:eastAsia="仿宋_GB2312" w:cs="Times New Roman"/>
          <w:bCs/>
          <w:kern w:val="44"/>
          <w:sz w:val="28"/>
          <w:szCs w:val="28"/>
          <w:lang w:val="en-US" w:eastAsia="zh-CN"/>
        </w:rPr>
        <w:t>完善</w:t>
      </w:r>
      <w:r>
        <w:rPr>
          <w:rFonts w:hint="eastAsia" w:ascii="仿宋_GB2312" w:eastAsia="仿宋_GB2312" w:cs="Times New Roman"/>
          <w:bCs/>
          <w:kern w:val="44"/>
          <w:sz w:val="28"/>
          <w:szCs w:val="28"/>
          <w:lang w:val="en-US" w:eastAsia="zh-CN"/>
        </w:rPr>
        <w:t>，</w:t>
      </w:r>
      <w:r>
        <w:rPr>
          <w:rFonts w:hint="eastAsia" w:ascii="仿宋_GB2312" w:hAnsi="Arial" w:eastAsia="仿宋_GB2312" w:cs="Arial"/>
          <w:bCs/>
          <w:sz w:val="28"/>
          <w:szCs w:val="28"/>
        </w:rPr>
        <w:t>缺少项目整体实施方案</w:t>
      </w:r>
      <w:r>
        <w:rPr>
          <w:rFonts w:hint="eastAsia" w:ascii="仿宋_GB2312" w:hAnsi="Arial" w:eastAsia="仿宋_GB2312" w:cs="Arial"/>
          <w:bCs/>
          <w:sz w:val="28"/>
          <w:szCs w:val="28"/>
          <w:lang w:val="en-US" w:eastAsia="zh-CN"/>
        </w:rPr>
        <w:t>等内容；</w:t>
      </w:r>
      <w:r>
        <w:rPr>
          <w:rFonts w:hint="eastAsia" w:ascii="仿宋_GB2312" w:eastAsia="仿宋_GB2312" w:cs="Times New Roman"/>
          <w:bCs/>
          <w:kern w:val="44"/>
          <w:sz w:val="28"/>
          <w:szCs w:val="28"/>
          <w:lang w:val="en-US" w:eastAsia="zh-CN"/>
        </w:rPr>
        <w:t>三是</w:t>
      </w:r>
      <w:r>
        <w:rPr>
          <w:rFonts w:hint="eastAsia" w:ascii="仿宋_GB2312" w:hAnsi="Times New Roman" w:eastAsia="仿宋_GB2312" w:cs="Times New Roman"/>
          <w:bCs/>
          <w:kern w:val="44"/>
          <w:sz w:val="28"/>
          <w:szCs w:val="28"/>
        </w:rPr>
        <w:t>项目产出及绩效呈现不够充分</w:t>
      </w:r>
      <w:r>
        <w:rPr>
          <w:rFonts w:hint="eastAsia" w:ascii="仿宋_GB2312" w:eastAsia="仿宋_GB2312" w:cs="Times New Roman"/>
          <w:bCs/>
          <w:kern w:val="44"/>
          <w:sz w:val="28"/>
          <w:szCs w:val="28"/>
          <w:lang w:eastAsia="zh-CN"/>
        </w:rPr>
        <w:t>，</w:t>
      </w:r>
      <w:r>
        <w:rPr>
          <w:rFonts w:hint="eastAsia" w:ascii="仿宋_GB2312" w:hAnsi="Arial" w:eastAsia="仿宋_GB2312" w:cs="Arial"/>
          <w:bCs/>
          <w:sz w:val="28"/>
          <w:szCs w:val="28"/>
        </w:rPr>
        <w:t>缺</w:t>
      </w:r>
      <w:r>
        <w:rPr>
          <w:rFonts w:hint="eastAsia" w:ascii="仿宋_GB2312" w:hAnsi="Arial" w:eastAsia="仿宋_GB2312" w:cs="Arial"/>
          <w:bCs/>
          <w:sz w:val="28"/>
          <w:szCs w:val="28"/>
          <w:lang w:val="en-US" w:eastAsia="zh-CN"/>
        </w:rPr>
        <w:t>少具体对比数据及总结分析</w:t>
      </w:r>
      <w:r>
        <w:rPr>
          <w:rFonts w:hint="eastAsia" w:ascii="仿宋_GB2312" w:hAnsi="Arial" w:eastAsia="仿宋_GB2312" w:cs="Arial"/>
          <w:bCs/>
          <w:sz w:val="28"/>
          <w:szCs w:val="28"/>
        </w:rPr>
        <w:t>。</w:t>
      </w:r>
    </w:p>
    <w:p>
      <w:pPr>
        <w:pStyle w:val="3"/>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黑体" w:hAnsi="黑体" w:eastAsia="黑体"/>
          <w:b w:val="0"/>
          <w:sz w:val="28"/>
          <w:szCs w:val="28"/>
        </w:rPr>
      </w:pPr>
      <w:bookmarkStart w:id="60" w:name="_Toc9295"/>
      <w:r>
        <w:rPr>
          <w:rFonts w:hint="eastAsia" w:ascii="黑体" w:hAnsi="黑体" w:eastAsia="黑体"/>
          <w:b w:val="0"/>
          <w:sz w:val="28"/>
          <w:szCs w:val="28"/>
        </w:rPr>
        <w:t>六、有关建议</w:t>
      </w:r>
      <w:bookmarkEnd w:id="59"/>
      <w:bookmarkEnd w:id="60"/>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ascii="仿宋_GB2312" w:hAnsi="Arial" w:eastAsia="仿宋_GB2312" w:cs="Arial"/>
          <w:bCs/>
          <w:sz w:val="28"/>
          <w:szCs w:val="28"/>
        </w:rPr>
      </w:pPr>
      <w:bookmarkStart w:id="61" w:name="_Toc11683"/>
      <w:r>
        <w:rPr>
          <w:rFonts w:hint="eastAsia" w:ascii="仿宋_GB2312" w:hAnsi="仿宋_GB2312" w:eastAsia="仿宋_GB2312" w:cs="仿宋_GB2312"/>
          <w:bCs/>
          <w:kern w:val="44"/>
          <w:sz w:val="28"/>
          <w:szCs w:val="28"/>
          <w:lang w:val="en-US" w:eastAsia="zh-CN"/>
        </w:rPr>
        <w:t>一是</w:t>
      </w:r>
      <w:r>
        <w:rPr>
          <w:rFonts w:hint="eastAsia" w:ascii="仿宋_GB2312" w:hAnsi="仿宋_GB2312" w:eastAsia="仿宋_GB2312" w:cs="仿宋_GB2312"/>
          <w:bCs/>
          <w:kern w:val="44"/>
          <w:sz w:val="28"/>
          <w:szCs w:val="28"/>
        </w:rPr>
        <w:t>科学合理设定绩效目标及绩效指标</w:t>
      </w:r>
      <w:r>
        <w:rPr>
          <w:rFonts w:hint="eastAsia" w:ascii="仿宋_GB2312" w:hAnsi="仿宋_GB2312" w:eastAsia="仿宋_GB2312" w:cs="仿宋_GB2312"/>
          <w:bCs/>
          <w:kern w:val="44"/>
          <w:sz w:val="28"/>
          <w:szCs w:val="28"/>
          <w:lang w:eastAsia="zh-CN"/>
        </w:rPr>
        <w:t>，</w:t>
      </w:r>
      <w:r>
        <w:rPr>
          <w:rFonts w:hint="eastAsia" w:ascii="仿宋_GB2312" w:hAnsi="Arial" w:eastAsia="仿宋_GB2312" w:cs="Arial"/>
          <w:bCs/>
          <w:sz w:val="28"/>
          <w:szCs w:val="28"/>
        </w:rPr>
        <w:t>明确项目实施内容</w:t>
      </w:r>
      <w:r>
        <w:rPr>
          <w:rFonts w:hint="eastAsia" w:ascii="仿宋_GB2312" w:hAnsi="Arial" w:eastAsia="仿宋_GB2312" w:cs="Arial"/>
          <w:bCs/>
          <w:sz w:val="28"/>
          <w:szCs w:val="28"/>
          <w:lang w:eastAsia="zh-CN"/>
        </w:rPr>
        <w:t>；</w:t>
      </w:r>
      <w:r>
        <w:rPr>
          <w:rFonts w:hint="eastAsia" w:ascii="仿宋_GB2312" w:hAnsi="Arial" w:eastAsia="仿宋_GB2312" w:cs="Arial"/>
          <w:bCs/>
          <w:sz w:val="28"/>
          <w:szCs w:val="28"/>
          <w:lang w:val="en-US" w:eastAsia="zh-CN"/>
        </w:rPr>
        <w:t>二是</w:t>
      </w:r>
      <w:r>
        <w:rPr>
          <w:rFonts w:hint="eastAsia" w:ascii="仿宋_GB2312" w:hAnsi="仿宋_GB2312" w:eastAsia="仿宋_GB2312" w:cs="仿宋_GB2312"/>
          <w:bCs/>
          <w:kern w:val="44"/>
          <w:sz w:val="28"/>
          <w:szCs w:val="28"/>
        </w:rPr>
        <w:t>加强过程管理规范性</w:t>
      </w:r>
      <w:r>
        <w:rPr>
          <w:rFonts w:hint="eastAsia" w:ascii="仿宋_GB2312" w:hAnsi="仿宋_GB2312" w:eastAsia="仿宋_GB2312" w:cs="仿宋_GB2312"/>
          <w:bCs/>
          <w:kern w:val="44"/>
          <w:sz w:val="28"/>
          <w:szCs w:val="28"/>
          <w:lang w:eastAsia="zh-CN"/>
        </w:rPr>
        <w:t>，</w:t>
      </w:r>
      <w:r>
        <w:rPr>
          <w:rFonts w:hint="eastAsia" w:ascii="仿宋_GB2312" w:hAnsi="Arial" w:eastAsia="仿宋_GB2312" w:cs="Arial"/>
          <w:bCs/>
          <w:sz w:val="28"/>
          <w:szCs w:val="28"/>
        </w:rPr>
        <w:t>建议制定整体实施方案</w:t>
      </w:r>
      <w:r>
        <w:rPr>
          <w:rFonts w:hint="eastAsia" w:ascii="仿宋_GB2312" w:hAnsi="Arial" w:eastAsia="仿宋_GB2312" w:cs="Arial"/>
          <w:bCs/>
          <w:sz w:val="28"/>
          <w:szCs w:val="28"/>
          <w:lang w:eastAsia="zh-CN"/>
        </w:rPr>
        <w:t>；</w:t>
      </w:r>
      <w:r>
        <w:rPr>
          <w:rFonts w:hint="eastAsia" w:ascii="仿宋_GB2312" w:hAnsi="Arial" w:eastAsia="仿宋_GB2312" w:cs="Arial"/>
          <w:bCs/>
          <w:sz w:val="28"/>
          <w:szCs w:val="28"/>
          <w:lang w:val="en-US" w:eastAsia="zh-CN"/>
        </w:rPr>
        <w:t>三是</w:t>
      </w:r>
      <w:r>
        <w:rPr>
          <w:rFonts w:hint="eastAsia" w:ascii="仿宋_GB2312" w:hAnsi="仿宋_GB2312" w:eastAsia="仿宋_GB2312" w:cs="仿宋_GB2312"/>
          <w:bCs/>
          <w:kern w:val="44"/>
          <w:sz w:val="28"/>
          <w:szCs w:val="28"/>
        </w:rPr>
        <w:t>充分呈现项目实施</w:t>
      </w:r>
      <w:r>
        <w:rPr>
          <w:rFonts w:hint="eastAsia" w:ascii="仿宋_GB2312" w:hAnsi="仿宋_GB2312" w:eastAsia="仿宋_GB2312" w:cs="仿宋_GB2312"/>
          <w:bCs/>
          <w:kern w:val="44"/>
          <w:sz w:val="28"/>
          <w:szCs w:val="28"/>
          <w:lang w:val="en-US" w:eastAsia="zh-CN"/>
        </w:rPr>
        <w:t>绩效，</w:t>
      </w:r>
      <w:bookmarkStart w:id="62" w:name="_Toc25706"/>
      <w:r>
        <w:rPr>
          <w:rFonts w:hint="eastAsia" w:ascii="仿宋_GB2312" w:hAnsi="Arial" w:eastAsia="仿宋_GB2312" w:cs="Arial"/>
          <w:bCs/>
          <w:sz w:val="28"/>
          <w:szCs w:val="28"/>
        </w:rPr>
        <w:t>建议加强项目绩效成果的全面体现，</w:t>
      </w:r>
      <w:r>
        <w:rPr>
          <w:rFonts w:hint="eastAsia" w:ascii="仿宋_GB2312" w:hAnsi="Arial" w:eastAsia="仿宋_GB2312" w:cs="Arial"/>
          <w:bCs/>
          <w:sz w:val="28"/>
          <w:szCs w:val="28"/>
          <w:lang w:val="en-US" w:eastAsia="zh-CN"/>
        </w:rPr>
        <w:t>可从</w:t>
      </w:r>
      <w:r>
        <w:rPr>
          <w:rFonts w:hint="eastAsia" w:ascii="仿宋_GB2312" w:hAnsi="Arial" w:eastAsia="仿宋_GB2312" w:cs="Arial"/>
          <w:bCs/>
          <w:sz w:val="28"/>
          <w:szCs w:val="28"/>
        </w:rPr>
        <w:t>“防制宣传后居民正确使用防蚊工具、清理孳生地的行为改变比例</w:t>
      </w:r>
      <w:r>
        <w:rPr>
          <w:rFonts w:hint="eastAsia" w:ascii="仿宋_GB2312" w:hAnsi="Arial" w:eastAsia="仿宋_GB2312" w:cs="Arial"/>
          <w:bCs/>
          <w:sz w:val="28"/>
          <w:szCs w:val="28"/>
          <w:lang w:eastAsia="zh-CN"/>
        </w:rPr>
        <w:t>、病媒生物密度指数、</w:t>
      </w:r>
      <w:r>
        <w:rPr>
          <w:rFonts w:hint="eastAsia" w:ascii="仿宋_GB2312" w:hAnsi="Arial" w:eastAsia="仿宋_GB2312" w:cs="Arial"/>
          <w:bCs/>
          <w:sz w:val="28"/>
          <w:szCs w:val="28"/>
          <w:lang w:val="en-US" w:eastAsia="zh-CN"/>
        </w:rPr>
        <w:t>病媒防制工作覆盖率</w:t>
      </w:r>
      <w:r>
        <w:rPr>
          <w:rFonts w:hint="eastAsia" w:ascii="仿宋_GB2312" w:hAnsi="Arial" w:eastAsia="仿宋_GB2312" w:cs="Arial"/>
          <w:bCs/>
          <w:sz w:val="28"/>
          <w:szCs w:val="28"/>
        </w:rPr>
        <w:t>”</w:t>
      </w:r>
      <w:r>
        <w:rPr>
          <w:rFonts w:hint="eastAsia" w:ascii="仿宋_GB2312" w:hAnsi="Arial" w:eastAsia="仿宋_GB2312" w:cs="Arial"/>
          <w:bCs/>
          <w:sz w:val="28"/>
          <w:szCs w:val="28"/>
          <w:lang w:val="en-US" w:eastAsia="zh-CN"/>
        </w:rPr>
        <w:t>等</w:t>
      </w:r>
      <w:r>
        <w:rPr>
          <w:rFonts w:hint="eastAsia" w:ascii="仿宋_GB2312" w:hAnsi="Arial" w:eastAsia="仿宋_GB2312" w:cs="Arial"/>
          <w:bCs/>
          <w:sz w:val="28"/>
          <w:szCs w:val="28"/>
        </w:rPr>
        <w:t>方面充分呈现项目实施效果，完善与往年的对比分析总结。</w:t>
      </w:r>
      <w:r>
        <w:rPr>
          <w:rFonts w:hint="eastAsia" w:ascii="仿宋_GB2312" w:hAnsi="Arial" w:eastAsia="仿宋_GB2312" w:cs="Arial"/>
          <w:bCs/>
          <w:sz w:val="28"/>
          <w:szCs w:val="28"/>
          <w:lang w:val="en-US" w:eastAsia="zh-CN"/>
        </w:rPr>
        <w:t>提高</w:t>
      </w:r>
      <w:r>
        <w:rPr>
          <w:rFonts w:hint="eastAsia" w:ascii="仿宋_GB2312" w:hAnsi="Arial" w:eastAsia="仿宋_GB2312" w:cs="Arial"/>
          <w:bCs/>
          <w:sz w:val="28"/>
          <w:szCs w:val="28"/>
        </w:rPr>
        <w:t>项目服务对象满意度调查工作</w:t>
      </w:r>
      <w:r>
        <w:rPr>
          <w:rFonts w:hint="eastAsia" w:ascii="仿宋_GB2312" w:hAnsi="Arial" w:eastAsia="仿宋_GB2312" w:cs="Arial"/>
          <w:bCs/>
          <w:sz w:val="28"/>
          <w:szCs w:val="28"/>
          <w:lang w:val="en-US" w:eastAsia="zh-CN"/>
        </w:rPr>
        <w:t>有效性</w:t>
      </w:r>
      <w:r>
        <w:rPr>
          <w:rFonts w:hint="eastAsia" w:ascii="仿宋_GB2312" w:hAnsi="Arial" w:eastAsia="仿宋_GB2312" w:cs="Arial"/>
          <w:bCs/>
          <w:sz w:val="28"/>
          <w:szCs w:val="28"/>
        </w:rPr>
        <w:t>，</w:t>
      </w:r>
      <w:r>
        <w:rPr>
          <w:rFonts w:hint="eastAsia" w:ascii="仿宋_GB2312" w:hAnsi="Arial" w:eastAsia="仿宋_GB2312" w:cs="Arial"/>
          <w:bCs/>
          <w:sz w:val="28"/>
          <w:szCs w:val="28"/>
          <w:lang w:val="en-US" w:eastAsia="zh-CN"/>
        </w:rPr>
        <w:t>明确</w:t>
      </w:r>
      <w:r>
        <w:rPr>
          <w:rFonts w:hint="eastAsia" w:ascii="仿宋_GB2312" w:hAnsi="Arial" w:eastAsia="仿宋_GB2312" w:cs="Arial"/>
          <w:bCs/>
          <w:sz w:val="28"/>
          <w:szCs w:val="28"/>
        </w:rPr>
        <w:t>满意度调查样本覆盖范围。</w:t>
      </w:r>
    </w:p>
    <w:p>
      <w:pPr>
        <w:pStyle w:val="3"/>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黑体" w:hAnsi="黑体" w:eastAsia="黑体"/>
          <w:b w:val="0"/>
          <w:sz w:val="28"/>
          <w:szCs w:val="28"/>
        </w:rPr>
      </w:pPr>
      <w:r>
        <w:rPr>
          <w:rFonts w:hint="eastAsia" w:ascii="黑体" w:hAnsi="黑体" w:eastAsia="黑体"/>
          <w:b w:val="0"/>
          <w:sz w:val="28"/>
          <w:szCs w:val="28"/>
        </w:rPr>
        <w:t>七、其他需要说明的问题</w:t>
      </w:r>
      <w:bookmarkEnd w:id="61"/>
      <w:bookmarkEnd w:id="62"/>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eastAsia"/>
          <w:sz w:val="28"/>
          <w:szCs w:val="28"/>
        </w:rPr>
      </w:pPr>
      <w:r>
        <w:rPr>
          <w:rFonts w:hint="eastAsia" w:ascii="仿宋_GB2312" w:hAnsi="仿宋_GB2312" w:eastAsia="仿宋_GB2312" w:cs="仿宋_GB2312"/>
          <w:bCs/>
          <w:kern w:val="44"/>
          <w:sz w:val="28"/>
          <w:szCs w:val="28"/>
          <w:lang w:val="en-US" w:eastAsia="zh-CN"/>
        </w:rPr>
        <w:t>无</w:t>
      </w:r>
      <w:r>
        <w:rPr>
          <w:rFonts w:hint="eastAsia" w:ascii="仿宋_GB2312" w:hAnsi="仿宋_GB2312" w:eastAsia="仿宋_GB2312" w:cs="仿宋_GB2312"/>
          <w:bCs/>
          <w:kern w:val="44"/>
          <w:sz w:val="28"/>
          <w:szCs w:val="28"/>
        </w:rPr>
        <w:t>。</w:t>
      </w: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黑体_GBK">
    <w:altName w:val="微软雅黑"/>
    <w:panose1 w:val="03000509000000000000"/>
    <w:charset w:val="86"/>
    <w:family w:val="auto"/>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TICy8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p>
    <w:pPr>
      <w:pStyle w:val="9"/>
    </w:pP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Style w:val="16"/>
                            </w:rPr>
                          </w:pPr>
                          <w:r>
                            <w:fldChar w:fldCharType="begin"/>
                          </w:r>
                          <w:r>
                            <w:rPr>
                              <w:rStyle w:val="16"/>
                            </w:rPr>
                            <w:instrText xml:space="preserve">PAGE  </w:instrText>
                          </w:r>
                          <w:r>
                            <w:fldChar w:fldCharType="separate"/>
                          </w:r>
                          <w:r>
                            <w:rPr>
                              <w:rStyle w:val="16"/>
                            </w:rP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zql5uc8AAAAFAQAADwAA&#10;AAAAAAABACAAAAAiAAAAZHJzL2Rvd25yZXYueG1sUEsBAhQAFAAAAAgAh07iQMcEZVetAQAASwMA&#10;AA4AAAAAAAAAAQAgAAAAHgEAAGRycy9lMm9Eb2MueG1sUEsFBgAAAAAGAAYAWQEAAD0FAAAAAA==&#10;">
              <v:fill on="f" focussize="0,0"/>
              <v:stroke on="f"/>
              <v:imagedata o:title=""/>
              <o:lock v:ext="edit" aspectratio="f"/>
              <v:textbox inset="0mm,0mm,0mm,0mm" style="mso-fit-shape-to-text:t;">
                <w:txbxContent>
                  <w:p>
                    <w:pPr>
                      <w:pStyle w:val="9"/>
                      <w:rPr>
                        <w:rStyle w:val="16"/>
                      </w:rPr>
                    </w:pPr>
                    <w:r>
                      <w:fldChar w:fldCharType="begin"/>
                    </w:r>
                    <w:r>
                      <w:rPr>
                        <w:rStyle w:val="16"/>
                      </w:rPr>
                      <w:instrText xml:space="preserve">PAGE  </w:instrText>
                    </w:r>
                    <w:r>
                      <w:fldChar w:fldCharType="separate"/>
                    </w:r>
                    <w:r>
                      <w:rPr>
                        <w:rStyle w:val="16"/>
                      </w:rP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fldChar w:fldCharType="begin"/>
    </w:r>
    <w:r>
      <w:rPr>
        <w:rStyle w:val="16"/>
      </w:rPr>
      <w:instrText xml:space="preserve">PAGE  </w:instrText>
    </w:r>
    <w:r>
      <w:fldChar w:fldCharType="separate"/>
    </w:r>
    <w:r>
      <w:rPr>
        <w:rStyle w:val="16"/>
      </w:rPr>
      <w:t>23</w:t>
    </w:r>
    <w:r>
      <w:fldChar w:fldCharType="end"/>
    </w:r>
  </w:p>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fldChar w:fldCharType="begin"/>
    </w:r>
    <w:r>
      <w:rPr>
        <w:rStyle w:val="16"/>
      </w:rPr>
      <w:instrText xml:space="preserve">PAGE  </w:instrText>
    </w:r>
    <w:r>
      <w:fldChar w:fldCharType="separate"/>
    </w:r>
    <w:r>
      <w:rPr>
        <w:rStyle w:val="16"/>
      </w:rPr>
      <w:t>15</w:t>
    </w:r>
    <w:r>
      <w:fldChar w:fldCharType="end"/>
    </w:r>
  </w:p>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C47B20"/>
    <w:rsid w:val="027A4645"/>
    <w:rsid w:val="03225290"/>
    <w:rsid w:val="038E6E7A"/>
    <w:rsid w:val="040061A1"/>
    <w:rsid w:val="04592C5D"/>
    <w:rsid w:val="06BE3BD9"/>
    <w:rsid w:val="079004AC"/>
    <w:rsid w:val="0A4F5A35"/>
    <w:rsid w:val="0AFD09DD"/>
    <w:rsid w:val="0C702FC0"/>
    <w:rsid w:val="0C7B7F86"/>
    <w:rsid w:val="0DE9671F"/>
    <w:rsid w:val="0F8E2C57"/>
    <w:rsid w:val="1031212A"/>
    <w:rsid w:val="1059665E"/>
    <w:rsid w:val="10AC13BA"/>
    <w:rsid w:val="10F60889"/>
    <w:rsid w:val="113D7F2E"/>
    <w:rsid w:val="115D7651"/>
    <w:rsid w:val="12296889"/>
    <w:rsid w:val="124610E1"/>
    <w:rsid w:val="135572DF"/>
    <w:rsid w:val="1398519A"/>
    <w:rsid w:val="15E36690"/>
    <w:rsid w:val="163F4A7E"/>
    <w:rsid w:val="18A22B4C"/>
    <w:rsid w:val="1AEC0734"/>
    <w:rsid w:val="1B323594"/>
    <w:rsid w:val="1B43291B"/>
    <w:rsid w:val="1C7254ED"/>
    <w:rsid w:val="1DEF20B0"/>
    <w:rsid w:val="1E1B65D9"/>
    <w:rsid w:val="1EE27B6F"/>
    <w:rsid w:val="1F401DDF"/>
    <w:rsid w:val="1F664E2A"/>
    <w:rsid w:val="1FAB4310"/>
    <w:rsid w:val="1FD0350C"/>
    <w:rsid w:val="20C6308B"/>
    <w:rsid w:val="21422A39"/>
    <w:rsid w:val="214243FA"/>
    <w:rsid w:val="232235C5"/>
    <w:rsid w:val="257A14F5"/>
    <w:rsid w:val="27196C26"/>
    <w:rsid w:val="29EF086F"/>
    <w:rsid w:val="2A7B6B00"/>
    <w:rsid w:val="2A8415D0"/>
    <w:rsid w:val="2BF13CCD"/>
    <w:rsid w:val="2C541A2B"/>
    <w:rsid w:val="2E9F0DB8"/>
    <w:rsid w:val="2EFFE297"/>
    <w:rsid w:val="2FC20091"/>
    <w:rsid w:val="301437CA"/>
    <w:rsid w:val="31FE1184"/>
    <w:rsid w:val="32785148"/>
    <w:rsid w:val="327A08A1"/>
    <w:rsid w:val="336E56A5"/>
    <w:rsid w:val="34F23F13"/>
    <w:rsid w:val="353C75FB"/>
    <w:rsid w:val="35F27B35"/>
    <w:rsid w:val="37BE2C7E"/>
    <w:rsid w:val="386D6DD1"/>
    <w:rsid w:val="388F2212"/>
    <w:rsid w:val="3B3C4C86"/>
    <w:rsid w:val="3B5E15C3"/>
    <w:rsid w:val="3DE04810"/>
    <w:rsid w:val="3DFD6097"/>
    <w:rsid w:val="3F143319"/>
    <w:rsid w:val="3F3B19D7"/>
    <w:rsid w:val="41796585"/>
    <w:rsid w:val="41D429D8"/>
    <w:rsid w:val="4208288A"/>
    <w:rsid w:val="42F27DD4"/>
    <w:rsid w:val="433E495C"/>
    <w:rsid w:val="44617DEC"/>
    <w:rsid w:val="45A90126"/>
    <w:rsid w:val="4616442F"/>
    <w:rsid w:val="46AB1233"/>
    <w:rsid w:val="46B753D0"/>
    <w:rsid w:val="48122B11"/>
    <w:rsid w:val="48804E0D"/>
    <w:rsid w:val="49090450"/>
    <w:rsid w:val="4AC27CB3"/>
    <w:rsid w:val="4B6D146C"/>
    <w:rsid w:val="4BF72BEF"/>
    <w:rsid w:val="4CD80866"/>
    <w:rsid w:val="4DEB2135"/>
    <w:rsid w:val="4E150194"/>
    <w:rsid w:val="50502C65"/>
    <w:rsid w:val="5101197E"/>
    <w:rsid w:val="51DB3C59"/>
    <w:rsid w:val="550A17D8"/>
    <w:rsid w:val="5519329D"/>
    <w:rsid w:val="55762E42"/>
    <w:rsid w:val="55A9152B"/>
    <w:rsid w:val="568B6949"/>
    <w:rsid w:val="57A47520"/>
    <w:rsid w:val="57A7B272"/>
    <w:rsid w:val="58470068"/>
    <w:rsid w:val="58886F75"/>
    <w:rsid w:val="58C146D8"/>
    <w:rsid w:val="5A1720F9"/>
    <w:rsid w:val="5B9C37C2"/>
    <w:rsid w:val="5BA7C654"/>
    <w:rsid w:val="5CEB47AF"/>
    <w:rsid w:val="5CF74D38"/>
    <w:rsid w:val="5F2D3D9B"/>
    <w:rsid w:val="5F8A0474"/>
    <w:rsid w:val="60FF240D"/>
    <w:rsid w:val="61AC28BB"/>
    <w:rsid w:val="638A7560"/>
    <w:rsid w:val="641F04E5"/>
    <w:rsid w:val="64C0607C"/>
    <w:rsid w:val="65AC6CC3"/>
    <w:rsid w:val="672D1356"/>
    <w:rsid w:val="676F09E1"/>
    <w:rsid w:val="696173A6"/>
    <w:rsid w:val="6A9B1DCA"/>
    <w:rsid w:val="6B565C61"/>
    <w:rsid w:val="6B613451"/>
    <w:rsid w:val="6C2C6080"/>
    <w:rsid w:val="6DD972F6"/>
    <w:rsid w:val="6E0726EF"/>
    <w:rsid w:val="6F375468"/>
    <w:rsid w:val="6FE55BEA"/>
    <w:rsid w:val="721821DB"/>
    <w:rsid w:val="72F349A3"/>
    <w:rsid w:val="73F61CCD"/>
    <w:rsid w:val="756172B0"/>
    <w:rsid w:val="75A44ED9"/>
    <w:rsid w:val="75E74A0A"/>
    <w:rsid w:val="768F7680"/>
    <w:rsid w:val="77512F0B"/>
    <w:rsid w:val="77F80C6B"/>
    <w:rsid w:val="784F13B8"/>
    <w:rsid w:val="7A7F1C49"/>
    <w:rsid w:val="7B5B7AE6"/>
    <w:rsid w:val="7BA7071E"/>
    <w:rsid w:val="7BDF6DA8"/>
    <w:rsid w:val="7C50372B"/>
    <w:rsid w:val="7C7EDC1A"/>
    <w:rsid w:val="7CCED98D"/>
    <w:rsid w:val="7D08410F"/>
    <w:rsid w:val="7D9374F0"/>
    <w:rsid w:val="7DB96DED"/>
    <w:rsid w:val="7DD3AD81"/>
    <w:rsid w:val="7E48739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iPriority="99"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rFonts w:ascii="Calibri" w:hAnsi="Calibri" w:eastAsia="宋体" w:cs="Times New Roman"/>
      <w:b/>
      <w:bCs/>
      <w:kern w:val="44"/>
      <w:sz w:val="44"/>
      <w:szCs w:val="44"/>
    </w:rPr>
  </w:style>
  <w:style w:type="paragraph" w:styleId="4">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4">
    <w:name w:val="Default Paragraph Font"/>
    <w:semiHidden/>
    <w:qFormat/>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hAnsi="Courier New"/>
      <w:szCs w:val="21"/>
    </w:rPr>
  </w:style>
  <w:style w:type="paragraph" w:styleId="5">
    <w:name w:val="Normal Indent"/>
    <w:basedOn w:val="1"/>
    <w:qFormat/>
    <w:uiPriority w:val="0"/>
    <w:pPr>
      <w:ind w:firstLine="200" w:firstLineChars="200"/>
    </w:pPr>
  </w:style>
  <w:style w:type="paragraph" w:styleId="6">
    <w:name w:val="Body Text Indent"/>
    <w:basedOn w:val="1"/>
    <w:qFormat/>
    <w:uiPriority w:val="0"/>
    <w:pPr>
      <w:ind w:firstLine="645"/>
    </w:pPr>
    <w:rPr>
      <w:rFonts w:ascii="仿宋_GB2312" w:hAnsi="Calibri" w:eastAsia="仿宋_GB2312"/>
      <w:sz w:val="32"/>
      <w:szCs w:val="32"/>
    </w:rPr>
  </w:style>
  <w:style w:type="paragraph" w:styleId="7">
    <w:name w:val="Date"/>
    <w:basedOn w:val="1"/>
    <w:next w:val="1"/>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link w:val="17"/>
    <w:qFormat/>
    <w:uiPriority w:val="0"/>
    <w:pPr>
      <w:tabs>
        <w:tab w:val="center" w:pos="4153"/>
        <w:tab w:val="right" w:pos="8306"/>
      </w:tabs>
      <w:snapToGrid w:val="0"/>
      <w:jc w:val="left"/>
    </w:pPr>
    <w:rPr>
      <w:sz w:val="18"/>
      <w:szCs w:val="18"/>
    </w:rPr>
  </w:style>
  <w:style w:type="paragraph" w:styleId="10">
    <w:name w:val="header"/>
    <w:basedOn w:val="1"/>
    <w:link w:val="18"/>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1">
    <w:name w:val="index 9"/>
    <w:basedOn w:val="1"/>
    <w:next w:val="1"/>
    <w:unhideWhenUsed/>
    <w:qFormat/>
    <w:uiPriority w:val="99"/>
    <w:pPr>
      <w:ind w:firstLine="420"/>
    </w:pPr>
    <w:rPr>
      <w:rFonts w:eastAsia="仿宋_GB2312"/>
      <w:bCs/>
      <w:sz w:val="28"/>
      <w:szCs w:val="28"/>
    </w:rPr>
  </w:style>
  <w:style w:type="paragraph" w:styleId="12">
    <w:name w:val="Normal (Web)"/>
    <w:basedOn w:val="1"/>
    <w:unhideWhenUsed/>
    <w:qFormat/>
    <w:uiPriority w:val="0"/>
    <w:pPr>
      <w:spacing w:before="100" w:beforeAutospacing="1" w:after="100" w:afterAutospacing="1"/>
      <w:ind w:right="238"/>
      <w:jc w:val="left"/>
    </w:pPr>
    <w:rPr>
      <w:b/>
      <w:kern w:val="0"/>
      <w:sz w:val="24"/>
      <w:szCs w:val="20"/>
    </w:rPr>
  </w:style>
  <w:style w:type="character" w:styleId="15">
    <w:name w:val="Strong"/>
    <w:qFormat/>
    <w:uiPriority w:val="0"/>
    <w:rPr>
      <w:b/>
    </w:rPr>
  </w:style>
  <w:style w:type="character" w:styleId="16">
    <w:name w:val="page number"/>
    <w:qFormat/>
    <w:uiPriority w:val="0"/>
  </w:style>
  <w:style w:type="character" w:customStyle="1" w:styleId="17">
    <w:name w:val="页脚 Char"/>
    <w:link w:val="9"/>
    <w:qFormat/>
    <w:uiPriority w:val="0"/>
    <w:rPr>
      <w:rFonts w:eastAsia="宋体"/>
      <w:kern w:val="2"/>
      <w:sz w:val="18"/>
      <w:szCs w:val="18"/>
      <w:lang w:val="en-US" w:eastAsia="zh-CN" w:bidi="ar-SA"/>
    </w:rPr>
  </w:style>
  <w:style w:type="character" w:customStyle="1" w:styleId="18">
    <w:name w:val="页眉 Char"/>
    <w:link w:val="10"/>
    <w:qFormat/>
    <w:uiPriority w:val="0"/>
    <w:rPr>
      <w:rFonts w:ascii="Calibri" w:hAnsi="Calibri" w:eastAsia="宋体"/>
      <w:kern w:val="2"/>
      <w:sz w:val="18"/>
      <w:szCs w:val="18"/>
      <w:lang w:val="en-US" w:eastAsia="zh-CN" w:bidi="ar-SA"/>
    </w:rPr>
  </w:style>
  <w:style w:type="paragraph" w:customStyle="1" w:styleId="19">
    <w:name w:val=" Char Char Char Char Char Char Char"/>
    <w:basedOn w:val="1"/>
    <w:qFormat/>
    <w:uiPriority w:val="0"/>
    <w:rPr>
      <w:rFonts w:ascii="Tahoma" w:hAnsi="Tahoma"/>
      <w:sz w:val="24"/>
      <w:szCs w:val="20"/>
    </w:rPr>
  </w:style>
  <w:style w:type="paragraph" w:customStyle="1" w:styleId="20">
    <w:name w:val="Char1 Char Char Char"/>
    <w:basedOn w:val="1"/>
    <w:qFormat/>
    <w:uiPriority w:val="0"/>
    <w:pPr>
      <w:widowControl/>
      <w:spacing w:after="160" w:line="240" w:lineRule="exact"/>
      <w:jc w:val="left"/>
    </w:pPr>
    <w:rPr>
      <w:szCs w:val="20"/>
    </w:rPr>
  </w:style>
  <w:style w:type="paragraph" w:customStyle="1" w:styleId="21">
    <w:name w:val="Char"/>
    <w:basedOn w:val="1"/>
    <w:qFormat/>
    <w:uiPriority w:val="0"/>
    <w:rPr>
      <w:rFonts w:ascii="Tahoma" w:hAnsi="Tahoma"/>
      <w:sz w:val="24"/>
      <w:szCs w:val="20"/>
    </w:rPr>
  </w:style>
  <w:style w:type="paragraph" w:customStyle="1" w:styleId="22">
    <w:name w:val="Char Char3 Char Char"/>
    <w:basedOn w:val="1"/>
    <w:qFormat/>
    <w:uiPriority w:val="0"/>
    <w:rPr>
      <w:szCs w:val="21"/>
    </w:rPr>
  </w:style>
  <w:style w:type="character" w:customStyle="1" w:styleId="23">
    <w:name w:val="font21"/>
    <w:basedOn w:val="14"/>
    <w:qFormat/>
    <w:uiPriority w:val="0"/>
    <w:rPr>
      <w:rFonts w:hint="eastAsia" w:ascii="宋体" w:hAnsi="宋体" w:eastAsia="宋体" w:cs="宋体"/>
      <w:color w:val="000000"/>
      <w:sz w:val="18"/>
      <w:szCs w:val="18"/>
      <w:u w:val="none"/>
    </w:rPr>
  </w:style>
  <w:style w:type="character" w:customStyle="1" w:styleId="24">
    <w:name w:val="font01"/>
    <w:basedOn w:val="14"/>
    <w:qFormat/>
    <w:uiPriority w:val="0"/>
    <w:rPr>
      <w:rFonts w:hint="eastAsia" w:ascii="宋体" w:hAnsi="宋体" w:eastAsia="宋体" w:cs="宋体"/>
      <w:color w:val="000000"/>
      <w:sz w:val="13"/>
      <w:szCs w:val="13"/>
      <w:u w:val="none"/>
    </w:rPr>
  </w:style>
  <w:style w:type="paragraph" w:styleId="2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600" b="1" i="0" u="none" strike="noStrike" kern="120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收入决算</c:v>
                </c:pt>
              </c:strCache>
            </c:strRef>
          </c:tx>
          <c:spPr/>
          <c:explosion val="0"/>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c:spPr>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c:spPr>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1"/>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财政拨款收入</c:v>
                </c:pt>
                <c:pt idx="1">
                  <c:v>事业收入</c:v>
                </c:pt>
                <c:pt idx="2">
                  <c:v>其他收入</c:v>
                </c:pt>
              </c:strCache>
            </c:strRef>
          </c:cat>
          <c:val>
            <c:numRef>
              <c:f>Sheet1!$B$2:$B$5</c:f>
              <c:numCache>
                <c:formatCode>0.00%</c:formatCode>
                <c:ptCount val="4"/>
                <c:pt idx="0">
                  <c:v>0.7826</c:v>
                </c:pt>
                <c:pt idx="1">
                  <c:v>0.1892</c:v>
                </c:pt>
                <c:pt idx="2">
                  <c:v>0.0282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600" b="1" i="0" u="none" strike="noStrike" kern="120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基本支出和项目支出情况</c:v>
                </c:pt>
              </c:strCache>
            </c:strRef>
          </c:tx>
          <c:spPr/>
          <c:explosion val="0"/>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c:spPr>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c:spPr>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c:spPr>
          </c:dPt>
          <c:dLbls>
            <c:dLbl>
              <c:idx val="0"/>
              <c:layout/>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1"/>
              <c:showSerName val="0"/>
              <c:showPercent val="0"/>
              <c:showBubbleSize val="0"/>
              <c:extLst>
                <c:ext xmlns:c15="http://schemas.microsoft.com/office/drawing/2012/chart" uri="{CE6537A1-D6FC-4f65-9D91-7224C49458BB}"/>
              </c:extLst>
            </c:dLbl>
            <c:dLbl>
              <c:idx val="1"/>
              <c:layout/>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1"/>
              <c:showSerName val="0"/>
              <c:showPercent val="0"/>
              <c:showBubbleSize val="0"/>
              <c:extLst>
                <c:ext xmlns:c15="http://schemas.microsoft.com/office/drawing/2012/chart" uri="{CE6537A1-D6FC-4f65-9D91-7224C49458BB}"/>
              </c:extLst>
            </c:dLbl>
            <c:dLbl>
              <c:idx val="2"/>
              <c:layout/>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1"/>
              <c:showSerName val="0"/>
              <c:showPercent val="0"/>
              <c:showBubbleSize val="0"/>
              <c:extLst>
                <c:ext xmlns:c15="http://schemas.microsoft.com/office/drawing/2012/chart" uri="{CE6537A1-D6FC-4f65-9D91-7224C49458BB}"/>
              </c:extLst>
            </c:dLbl>
            <c:dLbl>
              <c:idx val="3"/>
              <c:layout/>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1"/>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1"/>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基本支出</c:v>
                </c:pt>
                <c:pt idx="1">
                  <c:v>项目支出</c:v>
                </c:pt>
              </c:strCache>
            </c:strRef>
          </c:cat>
          <c:val>
            <c:numRef>
              <c:f>Sheet1!$B$2:$B$5</c:f>
              <c:numCache>
                <c:formatCode>0.00%</c:formatCode>
                <c:ptCount val="4"/>
                <c:pt idx="0">
                  <c:v>0.333</c:v>
                </c:pt>
                <c:pt idx="1">
                  <c:v>0.667</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8000</Words>
  <Characters>9055</Characters>
  <Lines>77</Lines>
  <Paragraphs>21</Paragraphs>
  <TotalTime>1</TotalTime>
  <ScaleCrop>false</ScaleCrop>
  <LinksUpToDate>false</LinksUpToDate>
  <CharactersWithSpaces>9096</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AALK</cp:lastModifiedBy>
  <cp:lastPrinted>2020-08-07T19:39:00Z</cp:lastPrinted>
  <dcterms:modified xsi:type="dcterms:W3CDTF">2025-09-01T07:01:42Z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625954C342D54626A53AEEF769F805AE_13</vt:lpwstr>
  </property>
  <property fmtid="{D5CDD505-2E9C-101B-9397-08002B2CF9AE}" pid="4" name="KSOTemplateDocerSaveRecord">
    <vt:lpwstr>eyJoZGlkIjoiMjQwNjQzNTg4ZDE0ZTBiOGFjNjE4NDNkMzM5NWRjMzIiLCJ1c2VySWQiOiI4OTI4ODkxNzIifQ==</vt:lpwstr>
  </property>
</Properties>
</file>