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6"/>
        <w:shd w:val="solid" w:color="FFFFFF" w:fill="FFFFFF"/>
        <w:spacing w:before="0" w:beforeAutospacing="0" w:after="0" w:afterAutospacing="0" w:line="620" w:lineRule="exact"/>
        <w:ind w:firstLine="880" w:firstLineChars="200"/>
        <w:jc w:val="center"/>
        <w:rPr>
          <w:rFonts w:ascii="方正小标宋简体" w:hAnsi="Arial" w:eastAsia="方正小标宋简体" w:cs="Arial"/>
          <w:b/>
          <w:sz w:val="44"/>
          <w:szCs w:val="44"/>
        </w:rPr>
      </w:pPr>
      <w:r>
        <w:rPr>
          <w:rFonts w:hint="eastAsia" w:ascii="方正小标宋简体" w:hAnsi="Arial" w:eastAsia="方正小标宋简体" w:cs="Arial"/>
          <w:b/>
          <w:sz w:val="44"/>
          <w:szCs w:val="44"/>
          <w:lang w:eastAsia="zh-CN"/>
        </w:rPr>
        <w:t>亦庄镇</w:t>
      </w:r>
      <w:r>
        <w:rPr>
          <w:rFonts w:hint="eastAsia" w:ascii="方正小标宋简体" w:hAnsi="Arial" w:eastAsia="方正小标宋简体" w:cs="Arial"/>
          <w:b/>
          <w:sz w:val="44"/>
          <w:szCs w:val="44"/>
        </w:rPr>
        <w:t>20</w:t>
      </w:r>
      <w:r>
        <w:rPr>
          <w:rFonts w:hint="eastAsia" w:ascii="方正小标宋简体" w:hAnsi="Arial" w:eastAsia="方正小标宋简体" w:cs="Arial"/>
          <w:b/>
          <w:sz w:val="44"/>
          <w:szCs w:val="44"/>
          <w:lang w:val="en-US" w:eastAsia="zh-CN"/>
        </w:rPr>
        <w:t>25</w:t>
      </w:r>
      <w:r>
        <w:rPr>
          <w:rFonts w:hint="eastAsia" w:ascii="方正小标宋简体" w:hAnsi="Arial" w:eastAsia="方正小标宋简体" w:cs="Arial"/>
          <w:b/>
          <w:sz w:val="44"/>
          <w:szCs w:val="44"/>
        </w:rPr>
        <w:t>年预算调整情况说明</w:t>
      </w:r>
    </w:p>
    <w:p>
      <w:pPr>
        <w:pStyle w:val="6"/>
        <w:shd w:val="solid" w:color="FFFFFF" w:fill="FFFFFF"/>
        <w:spacing w:before="0" w:beforeAutospacing="0" w:after="0" w:afterAutospacing="0" w:line="62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spacing w:before="101" w:line="316" w:lineRule="auto"/>
        <w:ind w:left="4" w:right="71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一、关于《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亦庄镇</w:t>
      </w:r>
      <w:r>
        <w:rPr>
          <w:rFonts w:ascii="黑体" w:hAnsi="黑体" w:eastAsia="黑体" w:cs="黑体"/>
          <w:spacing w:val="-6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</w:rPr>
        <w:t>5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年一般公共预算收</w:t>
      </w:r>
      <w:r>
        <w:rPr>
          <w:rFonts w:ascii="黑体" w:hAnsi="黑体" w:eastAsia="黑体" w:cs="黑体"/>
          <w:spacing w:val="8"/>
          <w:sz w:val="31"/>
          <w:szCs w:val="31"/>
        </w:rPr>
        <w:t>入调整预算</w:t>
      </w:r>
      <w:r>
        <w:rPr>
          <w:rFonts w:ascii="黑体" w:hAnsi="黑体" w:eastAsia="黑体" w:cs="黑体"/>
          <w:spacing w:val="7"/>
          <w:sz w:val="31"/>
          <w:szCs w:val="31"/>
        </w:rPr>
        <w:t>表》的说明</w:t>
      </w:r>
    </w:p>
    <w:p>
      <w:pPr>
        <w:spacing w:before="50" w:line="323" w:lineRule="auto"/>
        <w:ind w:left="3" w:right="25" w:firstLine="655"/>
        <w:rPr>
          <w:rFonts w:ascii="仿宋" w:hAnsi="仿宋" w:eastAsia="仿宋" w:cs="仿宋"/>
          <w:w w:val="100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2</w:t>
      </w:r>
      <w:r>
        <w:rPr>
          <w:rFonts w:ascii="仿宋" w:hAnsi="仿宋" w:eastAsia="仿宋" w:cs="仿宋"/>
          <w:spacing w:val="9"/>
          <w:w w:val="100"/>
          <w:sz w:val="31"/>
          <w:szCs w:val="31"/>
        </w:rPr>
        <w:t>0</w:t>
      </w:r>
      <w:r>
        <w:rPr>
          <w:rFonts w:hint="eastAsia" w:ascii="仿宋" w:hAnsi="仿宋" w:eastAsia="仿宋" w:cs="仿宋"/>
          <w:spacing w:val="9"/>
          <w:w w:val="100"/>
          <w:sz w:val="31"/>
          <w:szCs w:val="31"/>
          <w:lang w:val="en-US" w:eastAsia="zh-CN"/>
        </w:rPr>
        <w:t>25</w:t>
      </w:r>
      <w:r>
        <w:rPr>
          <w:rFonts w:ascii="仿宋" w:hAnsi="仿宋" w:eastAsia="仿宋" w:cs="仿宋"/>
          <w:spacing w:val="9"/>
          <w:w w:val="100"/>
          <w:sz w:val="31"/>
          <w:szCs w:val="31"/>
        </w:rPr>
        <w:t>年一般公共预算</w:t>
      </w:r>
      <w:bookmarkStart w:id="0" w:name="_GoBack"/>
      <w:bookmarkEnd w:id="0"/>
      <w:r>
        <w:rPr>
          <w:rFonts w:ascii="仿宋" w:hAnsi="仿宋" w:eastAsia="仿宋" w:cs="仿宋"/>
          <w:spacing w:val="9"/>
          <w:w w:val="100"/>
          <w:sz w:val="31"/>
          <w:szCs w:val="31"/>
        </w:rPr>
        <w:t>收入</w:t>
      </w:r>
      <w:r>
        <w:rPr>
          <w:rFonts w:hint="eastAsia" w:ascii="仿宋" w:hAnsi="仿宋" w:eastAsia="仿宋" w:cs="仿宋"/>
          <w:spacing w:val="9"/>
          <w:w w:val="100"/>
          <w:sz w:val="31"/>
          <w:szCs w:val="31"/>
          <w:lang w:eastAsia="zh-CN"/>
        </w:rPr>
        <w:t>调整为</w:t>
      </w:r>
      <w:r>
        <w:rPr>
          <w:rFonts w:hint="eastAsia" w:ascii="仿宋" w:hAnsi="仿宋" w:eastAsia="仿宋" w:cs="仿宋"/>
          <w:spacing w:val="9"/>
          <w:w w:val="100"/>
          <w:sz w:val="31"/>
          <w:szCs w:val="31"/>
          <w:lang w:val="en-US" w:eastAsia="zh-CN"/>
        </w:rPr>
        <w:t>1260</w:t>
      </w:r>
      <w:r>
        <w:rPr>
          <w:rFonts w:hint="eastAsia" w:ascii="仿宋" w:hAnsi="仿宋" w:eastAsia="仿宋" w:cs="仿宋"/>
          <w:spacing w:val="9"/>
          <w:w w:val="100"/>
          <w:sz w:val="31"/>
          <w:szCs w:val="31"/>
          <w:lang w:eastAsia="zh-CN"/>
        </w:rPr>
        <w:t>万元</w:t>
      </w:r>
      <w:r>
        <w:rPr>
          <w:rFonts w:ascii="仿宋" w:hAnsi="仿宋" w:eastAsia="仿宋" w:cs="仿宋"/>
          <w:spacing w:val="9"/>
          <w:w w:val="100"/>
          <w:sz w:val="31"/>
          <w:szCs w:val="31"/>
        </w:rPr>
        <w:t>，较调整前增加</w:t>
      </w:r>
      <w:r>
        <w:rPr>
          <w:rFonts w:hint="eastAsia" w:ascii="仿宋" w:hAnsi="仿宋" w:eastAsia="仿宋" w:cs="仿宋"/>
          <w:spacing w:val="9"/>
          <w:w w:val="100"/>
          <w:sz w:val="31"/>
          <w:szCs w:val="31"/>
          <w:lang w:val="en-US" w:eastAsia="zh-CN"/>
        </w:rPr>
        <w:t>700</w:t>
      </w:r>
      <w:r>
        <w:rPr>
          <w:rFonts w:hint="eastAsia" w:ascii="仿宋" w:hAnsi="仿宋" w:eastAsia="仿宋" w:cs="仿宋"/>
          <w:spacing w:val="3"/>
          <w:w w:val="100"/>
          <w:sz w:val="31"/>
          <w:szCs w:val="31"/>
          <w:lang w:eastAsia="zh-CN"/>
        </w:rPr>
        <w:t>万</w:t>
      </w:r>
      <w:r>
        <w:rPr>
          <w:rFonts w:ascii="仿宋" w:hAnsi="仿宋" w:eastAsia="仿宋" w:cs="仿宋"/>
          <w:spacing w:val="3"/>
          <w:w w:val="100"/>
          <w:sz w:val="31"/>
          <w:szCs w:val="31"/>
        </w:rPr>
        <w:t>元，</w:t>
      </w:r>
      <w:r>
        <w:rPr>
          <w:rFonts w:hint="eastAsia" w:ascii="仿宋" w:hAnsi="仿宋" w:eastAsia="仿宋" w:cs="仿宋"/>
          <w:spacing w:val="3"/>
          <w:w w:val="100"/>
          <w:sz w:val="31"/>
          <w:szCs w:val="31"/>
          <w:lang w:eastAsia="zh-CN"/>
        </w:rPr>
        <w:t>全部是</w:t>
      </w:r>
      <w:r>
        <w:rPr>
          <w:rFonts w:ascii="仿宋" w:hAnsi="仿宋" w:eastAsia="仿宋" w:cs="仿宋"/>
          <w:spacing w:val="5"/>
          <w:w w:val="100"/>
          <w:sz w:val="31"/>
          <w:szCs w:val="31"/>
        </w:rPr>
        <w:t>非税收入</w:t>
      </w:r>
      <w:r>
        <w:rPr>
          <w:rFonts w:hint="eastAsia" w:ascii="仿宋" w:hAnsi="仿宋" w:eastAsia="仿宋" w:cs="仿宋"/>
          <w:spacing w:val="5"/>
          <w:w w:val="100"/>
          <w:sz w:val="31"/>
          <w:szCs w:val="31"/>
          <w:lang w:eastAsia="zh-CN"/>
        </w:rPr>
        <w:t>增加</w:t>
      </w:r>
      <w:r>
        <w:rPr>
          <w:rFonts w:ascii="仿宋" w:hAnsi="仿宋" w:eastAsia="仿宋" w:cs="仿宋"/>
          <w:spacing w:val="5"/>
          <w:w w:val="100"/>
          <w:sz w:val="31"/>
          <w:szCs w:val="31"/>
        </w:rPr>
        <w:t>，原因是</w:t>
      </w:r>
      <w:r>
        <w:rPr>
          <w:rFonts w:hint="eastAsia" w:ascii="仿宋" w:hAnsi="仿宋" w:eastAsia="仿宋" w:cs="仿宋"/>
          <w:spacing w:val="5"/>
          <w:w w:val="100"/>
          <w:sz w:val="31"/>
          <w:szCs w:val="31"/>
        </w:rPr>
        <w:t>罚没收入</w:t>
      </w:r>
      <w:r>
        <w:rPr>
          <w:rFonts w:hint="eastAsia" w:ascii="仿宋" w:hAnsi="仿宋" w:eastAsia="仿宋" w:cs="仿宋"/>
          <w:spacing w:val="5"/>
          <w:w w:val="100"/>
          <w:sz w:val="31"/>
          <w:szCs w:val="31"/>
          <w:lang w:eastAsia="zh-CN"/>
        </w:rPr>
        <w:t>、国有资源(资产)有偿使用收入增加</w:t>
      </w:r>
      <w:r>
        <w:rPr>
          <w:rFonts w:ascii="仿宋" w:hAnsi="仿宋" w:eastAsia="仿宋" w:cs="仿宋"/>
          <w:spacing w:val="4"/>
          <w:w w:val="100"/>
          <w:sz w:val="31"/>
          <w:szCs w:val="31"/>
        </w:rPr>
        <w:t>。</w:t>
      </w:r>
    </w:p>
    <w:p>
      <w:pPr>
        <w:spacing w:before="36" w:line="315" w:lineRule="auto"/>
        <w:ind w:left="4" w:right="7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二、关于《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亦庄镇</w:t>
      </w:r>
      <w:r>
        <w:rPr>
          <w:rFonts w:ascii="黑体" w:hAnsi="黑体" w:eastAsia="黑体" w:cs="黑体"/>
          <w:spacing w:val="-6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20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</w:rPr>
        <w:t>25</w:t>
      </w:r>
      <w:r>
        <w:rPr>
          <w:rFonts w:ascii="黑体" w:hAnsi="黑体" w:eastAsia="黑体" w:cs="黑体"/>
          <w:spacing w:val="-5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年一般公共预算支出调</w:t>
      </w:r>
      <w:r>
        <w:rPr>
          <w:rFonts w:ascii="黑体" w:hAnsi="黑体" w:eastAsia="黑体" w:cs="黑体"/>
          <w:spacing w:val="8"/>
          <w:sz w:val="31"/>
          <w:szCs w:val="31"/>
        </w:rPr>
        <w:t>整预算</w:t>
      </w:r>
      <w:r>
        <w:rPr>
          <w:rFonts w:ascii="黑体" w:hAnsi="黑体" w:eastAsia="黑体" w:cs="黑体"/>
          <w:spacing w:val="7"/>
          <w:sz w:val="31"/>
          <w:szCs w:val="31"/>
        </w:rPr>
        <w:t>表》的说明</w:t>
      </w:r>
    </w:p>
    <w:p>
      <w:pPr>
        <w:spacing w:before="50" w:line="326" w:lineRule="auto"/>
        <w:ind w:firstLine="65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5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年一般公共预算总支出调整为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42121.64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万</w:t>
      </w:r>
      <w:r>
        <w:rPr>
          <w:rFonts w:ascii="仿宋" w:hAnsi="仿宋" w:eastAsia="仿宋" w:cs="仿宋"/>
          <w:spacing w:val="1"/>
          <w:sz w:val="31"/>
          <w:szCs w:val="31"/>
        </w:rPr>
        <w:t>元</w:t>
      </w:r>
      <w:r>
        <w:rPr>
          <w:rFonts w:ascii="仿宋" w:hAnsi="仿宋" w:eastAsia="仿宋" w:cs="仿宋"/>
          <w:sz w:val="31"/>
          <w:szCs w:val="31"/>
        </w:rPr>
        <w:t xml:space="preserve">，其中： </w:t>
      </w:r>
      <w:r>
        <w:rPr>
          <w:rFonts w:ascii="仿宋" w:hAnsi="仿宋" w:eastAsia="仿宋" w:cs="仿宋"/>
          <w:spacing w:val="1"/>
          <w:sz w:val="31"/>
          <w:szCs w:val="31"/>
        </w:rPr>
        <w:t>一般公共预算支出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29221.64万元</w:t>
      </w:r>
      <w:r>
        <w:rPr>
          <w:rFonts w:ascii="仿宋" w:hAnsi="仿宋" w:eastAsia="仿宋" w:cs="仿宋"/>
          <w:spacing w:val="1"/>
          <w:sz w:val="31"/>
          <w:szCs w:val="31"/>
        </w:rPr>
        <w:t>、上解支出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12900万元</w:t>
      </w:r>
      <w:r>
        <w:rPr>
          <w:rFonts w:ascii="仿宋" w:hAnsi="仿宋" w:eastAsia="仿宋" w:cs="仿宋"/>
          <w:spacing w:val="3"/>
          <w:sz w:val="31"/>
          <w:szCs w:val="31"/>
        </w:rPr>
        <w:t>。</w:t>
      </w:r>
    </w:p>
    <w:p>
      <w:pPr>
        <w:spacing w:before="53" w:line="326" w:lineRule="auto"/>
        <w:ind w:left="15" w:right="25" w:firstLine="64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主要的增减变化原因有：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一般公共预算支出增加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700万元</w:t>
      </w:r>
      <w:r>
        <w:rPr>
          <w:rFonts w:ascii="仿宋" w:hAnsi="仿宋" w:eastAsia="仿宋" w:cs="仿宋"/>
          <w:spacing w:val="5"/>
          <w:sz w:val="31"/>
          <w:szCs w:val="31"/>
        </w:rPr>
        <w:t>，主要是</w:t>
      </w:r>
      <w:r>
        <w:rPr>
          <w:rFonts w:hint="eastAsia" w:ascii="仿宋" w:hAnsi="仿宋" w:eastAsia="仿宋" w:cs="仿宋"/>
          <w:spacing w:val="5"/>
          <w:sz w:val="31"/>
          <w:szCs w:val="31"/>
          <w:lang w:eastAsia="zh-CN"/>
        </w:rPr>
        <w:t>城乡社区事务</w:t>
      </w:r>
      <w:r>
        <w:rPr>
          <w:rFonts w:ascii="仿宋" w:hAnsi="仿宋" w:eastAsia="仿宋" w:cs="仿宋"/>
          <w:spacing w:val="5"/>
          <w:sz w:val="31"/>
          <w:szCs w:val="31"/>
        </w:rPr>
        <w:t>增加的支出。</w:t>
      </w:r>
    </w:p>
    <w:p>
      <w:pPr>
        <w:spacing w:before="36" w:line="315" w:lineRule="auto"/>
        <w:ind w:left="3" w:right="71" w:firstLine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三、关于《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亦庄镇</w:t>
      </w:r>
      <w:r>
        <w:rPr>
          <w:rFonts w:ascii="黑体" w:hAnsi="黑体" w:eastAsia="黑体" w:cs="黑体"/>
          <w:spacing w:val="9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</w:rPr>
        <w:t>5</w:t>
      </w:r>
      <w:r>
        <w:rPr>
          <w:rFonts w:ascii="黑体" w:hAnsi="黑体" w:eastAsia="黑体" w:cs="黑体"/>
          <w:spacing w:val="-5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镇本级</w:t>
      </w:r>
      <w:r>
        <w:rPr>
          <w:rFonts w:ascii="黑体" w:hAnsi="黑体" w:eastAsia="黑体" w:cs="黑体"/>
          <w:spacing w:val="9"/>
          <w:sz w:val="31"/>
          <w:szCs w:val="31"/>
        </w:rPr>
        <w:t>一般公</w:t>
      </w:r>
      <w:r>
        <w:rPr>
          <w:rFonts w:ascii="黑体" w:hAnsi="黑体" w:eastAsia="黑体" w:cs="黑体"/>
          <w:spacing w:val="8"/>
          <w:sz w:val="31"/>
          <w:szCs w:val="31"/>
        </w:rPr>
        <w:t>共预算支出调整预算表》的说明</w:t>
      </w:r>
    </w:p>
    <w:p>
      <w:pPr>
        <w:spacing w:before="76" w:line="222" w:lineRule="auto"/>
        <w:ind w:left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5</w:t>
      </w:r>
      <w:r>
        <w:rPr>
          <w:rFonts w:ascii="仿宋" w:hAnsi="仿宋" w:eastAsia="仿宋" w:cs="仿宋"/>
          <w:spacing w:val="4"/>
          <w:sz w:val="31"/>
          <w:szCs w:val="31"/>
        </w:rPr>
        <w:t>年一般公共预算支出调整为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29221.64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万</w:t>
      </w:r>
      <w:r>
        <w:rPr>
          <w:rFonts w:ascii="仿宋" w:hAnsi="仿宋" w:eastAsia="仿宋" w:cs="仿宋"/>
          <w:spacing w:val="4"/>
          <w:sz w:val="31"/>
          <w:szCs w:val="31"/>
        </w:rPr>
        <w:t>元</w:t>
      </w:r>
      <w:r>
        <w:rPr>
          <w:rFonts w:ascii="仿宋" w:hAnsi="仿宋" w:eastAsia="仿宋" w:cs="仿宋"/>
          <w:spacing w:val="3"/>
          <w:sz w:val="31"/>
          <w:szCs w:val="31"/>
        </w:rPr>
        <w:t>，增加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4" w:type="default"/>
          <w:pgSz w:w="11906" w:h="16839"/>
          <w:pgMar w:top="1431" w:right="1404" w:bottom="1410" w:left="1592" w:header="0" w:footer="1237" w:gutter="0"/>
          <w:pgNumType w:fmt="decimal"/>
          <w:cols w:space="720" w:num="1"/>
          <w:docGrid w:type="lines" w:linePitch="312" w:charSpace="0"/>
        </w:sectPr>
      </w:pPr>
    </w:p>
    <w:p>
      <w:pPr>
        <w:pStyle w:val="3"/>
        <w:spacing w:line="245" w:lineRule="auto"/>
      </w:pPr>
    </w:p>
    <w:p>
      <w:pPr>
        <w:pStyle w:val="3"/>
        <w:spacing w:line="246" w:lineRule="auto"/>
      </w:pPr>
    </w:p>
    <w:p>
      <w:pPr>
        <w:pStyle w:val="3"/>
        <w:spacing w:line="246" w:lineRule="auto"/>
      </w:pPr>
    </w:p>
    <w:p>
      <w:pPr>
        <w:spacing w:before="101" w:line="276" w:lineRule="auto"/>
        <w:ind w:left="18" w:right="38"/>
        <w:rPr>
          <w:rFonts w:ascii="仿宋" w:hAnsi="仿宋" w:eastAsia="仿宋" w:cs="仿宋"/>
          <w:spacing w:val="6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700万元</w:t>
      </w:r>
      <w:r>
        <w:rPr>
          <w:rFonts w:ascii="仿宋" w:hAnsi="仿宋" w:eastAsia="仿宋" w:cs="仿宋"/>
          <w:spacing w:val="6"/>
          <w:sz w:val="31"/>
          <w:szCs w:val="31"/>
        </w:rPr>
        <w:t>，</w:t>
      </w:r>
      <w:r>
        <w:rPr>
          <w:rFonts w:hint="eastAsia" w:ascii="仿宋" w:hAnsi="仿宋" w:eastAsia="仿宋" w:cs="仿宋"/>
          <w:spacing w:val="6"/>
          <w:sz w:val="31"/>
          <w:szCs w:val="31"/>
        </w:rPr>
        <w:t>主要是</w:t>
      </w:r>
      <w:r>
        <w:rPr>
          <w:rFonts w:hint="eastAsia" w:ascii="仿宋" w:hAnsi="仿宋" w:eastAsia="仿宋" w:cs="仿宋"/>
          <w:spacing w:val="5"/>
          <w:sz w:val="31"/>
          <w:szCs w:val="31"/>
          <w:lang w:eastAsia="zh-CN"/>
        </w:rPr>
        <w:t>城乡社区事务</w:t>
      </w:r>
      <w:r>
        <w:rPr>
          <w:rFonts w:hint="eastAsia" w:ascii="仿宋" w:hAnsi="仿宋" w:eastAsia="仿宋" w:cs="仿宋"/>
          <w:spacing w:val="6"/>
          <w:sz w:val="31"/>
          <w:szCs w:val="31"/>
        </w:rPr>
        <w:t>增加的支出。</w:t>
      </w:r>
    </w:p>
    <w:p>
      <w:pPr>
        <w:spacing w:before="178" w:line="289" w:lineRule="auto"/>
        <w:ind w:right="38" w:firstLine="668"/>
        <w:rPr>
          <w:rFonts w:ascii="黑体" w:hAnsi="黑体" w:eastAsia="黑体" w:cs="黑体"/>
          <w:spacing w:val="8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四、关于《</w:t>
      </w:r>
      <w:r>
        <w:rPr>
          <w:rFonts w:hint="eastAsia" w:ascii="黑体" w:hAnsi="黑体" w:eastAsia="黑体" w:cs="黑体"/>
          <w:spacing w:val="8"/>
          <w:sz w:val="31"/>
          <w:szCs w:val="31"/>
          <w:lang w:eastAsia="zh-CN"/>
        </w:rPr>
        <w:t>亦庄镇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5</w:t>
      </w:r>
      <w:r>
        <w:rPr>
          <w:rFonts w:ascii="黑体" w:hAnsi="黑体" w:eastAsia="黑体" w:cs="黑体"/>
          <w:spacing w:val="8"/>
          <w:sz w:val="31"/>
          <w:szCs w:val="31"/>
        </w:rPr>
        <w:t>年政府性基金预算收入调整预算表》的说明</w:t>
      </w:r>
    </w:p>
    <w:p>
      <w:pPr>
        <w:spacing w:before="101" w:line="276" w:lineRule="auto"/>
        <w:ind w:left="18" w:right="38" w:firstLine="624" w:firstLineChars="200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本单位不涉及上述表内数据。</w:t>
      </w:r>
    </w:p>
    <w:p>
      <w:pPr>
        <w:spacing w:before="35" w:line="289" w:lineRule="auto"/>
        <w:ind w:left="1" w:right="38" w:firstLine="80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4"/>
          <w:sz w:val="31"/>
          <w:szCs w:val="31"/>
        </w:rPr>
        <w:t>五、关于《</w:t>
      </w:r>
      <w:r>
        <w:rPr>
          <w:rFonts w:hint="eastAsia" w:ascii="黑体" w:hAnsi="黑体" w:eastAsia="黑体" w:cs="黑体"/>
          <w:spacing w:val="14"/>
          <w:sz w:val="31"/>
          <w:szCs w:val="31"/>
          <w:lang w:eastAsia="zh-CN"/>
        </w:rPr>
        <w:t>亦庄镇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4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4"/>
          <w:sz w:val="31"/>
          <w:szCs w:val="31"/>
          <w:lang w:val="en-US" w:eastAsia="zh-CN"/>
        </w:rPr>
        <w:t>5</w:t>
      </w:r>
      <w:r>
        <w:rPr>
          <w:rFonts w:ascii="黑体" w:hAnsi="黑体" w:eastAsia="黑体" w:cs="黑体"/>
          <w:spacing w:val="-4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4"/>
          <w:sz w:val="31"/>
          <w:szCs w:val="31"/>
        </w:rPr>
        <w:t>年政府性基金预算支出调整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预算表》的说明</w:t>
      </w:r>
    </w:p>
    <w:p>
      <w:pPr>
        <w:spacing w:before="51" w:line="326" w:lineRule="auto"/>
        <w:ind w:left="5" w:right="38" w:firstLine="650"/>
        <w:rPr>
          <w:rFonts w:hint="eastAsia" w:ascii="仿宋" w:hAnsi="仿宋" w:eastAsia="仿宋" w:cs="仿宋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5</w:t>
      </w:r>
      <w:r>
        <w:rPr>
          <w:rFonts w:ascii="仿宋" w:hAnsi="仿宋" w:eastAsia="仿宋" w:cs="仿宋"/>
          <w:spacing w:val="4"/>
          <w:sz w:val="31"/>
          <w:szCs w:val="31"/>
        </w:rPr>
        <w:t>年政府性基金预算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未调整。</w:t>
      </w:r>
    </w:p>
    <w:p>
      <w:pPr>
        <w:spacing w:before="35" w:line="411" w:lineRule="exact"/>
        <w:ind w:left="651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8"/>
          <w:position w:val="1"/>
          <w:sz w:val="31"/>
          <w:szCs w:val="31"/>
          <w:lang w:eastAsia="zh-CN"/>
        </w:rPr>
        <w:t>六</w:t>
      </w:r>
      <w:r>
        <w:rPr>
          <w:rFonts w:ascii="黑体" w:hAnsi="黑体" w:eastAsia="黑体" w:cs="黑体"/>
          <w:spacing w:val="8"/>
          <w:position w:val="1"/>
          <w:sz w:val="31"/>
          <w:szCs w:val="31"/>
        </w:rPr>
        <w:t>、其他重要事项说明</w:t>
      </w:r>
    </w:p>
    <w:p>
      <w:pPr>
        <w:widowControl w:val="0"/>
        <w:wordWrap/>
        <w:adjustRightInd/>
        <w:snapToGrid/>
        <w:spacing w:line="579" w:lineRule="exact"/>
        <w:ind w:firstLine="656" w:firstLineChars="200"/>
        <w:textAlignment w:val="auto"/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9"/>
          <w:sz w:val="31"/>
          <w:szCs w:val="31"/>
        </w:rPr>
        <w:t>预算绩效工作开展情况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如下：</w:t>
      </w:r>
    </w:p>
    <w:p>
      <w:pPr>
        <w:widowControl w:val="0"/>
        <w:wordWrap/>
        <w:adjustRightInd/>
        <w:snapToGrid/>
        <w:spacing w:line="579" w:lineRule="exact"/>
        <w:ind w:firstLine="658" w:firstLineChars="200"/>
        <w:textAlignment w:val="auto"/>
        <w:rPr>
          <w:rFonts w:hint="eastAsia" w:ascii="仿宋" w:hAnsi="仿宋" w:eastAsia="仿宋" w:cs="仿宋"/>
          <w:b w:val="0"/>
          <w:bCs/>
          <w:spacing w:val="9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b/>
          <w:bCs/>
          <w:spacing w:val="9"/>
          <w:sz w:val="31"/>
          <w:szCs w:val="31"/>
          <w:lang w:eastAsia="zh-CN"/>
        </w:rPr>
        <w:t>一是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提高成本绩效意识，深化成本预算绩效分析，完善绩效目标管理，围绕重点领域开展成本绩效分析，强化成本绩效管理主体责任，实现全成本预算绩效管理改革在基层纵深推进。</w:t>
      </w:r>
      <w:r>
        <w:rPr>
          <w:rFonts w:hint="eastAsia" w:ascii="仿宋" w:hAnsi="仿宋" w:eastAsia="仿宋" w:cs="仿宋"/>
          <w:b/>
          <w:bCs/>
          <w:spacing w:val="9"/>
          <w:sz w:val="31"/>
          <w:szCs w:val="31"/>
          <w:lang w:eastAsia="zh-CN"/>
        </w:rPr>
        <w:t>二是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深化绩效管理，加强结果导向。在预算项目绩效目标全覆盖的基础上，着重于提高绩效目标的编制质量和审核标准。在完成好每年固定的《项目支出绩效目标运行监控报告》、《区级项目支出绩效目标运行监控汇总表》的基础上，着重于做好日常绩效监控。充分利用绩效评价结果，发挥结果导向作用，将预算安排与事前绩效评估等挂钩。</w:t>
      </w:r>
    </w:p>
    <w:p>
      <w:pPr>
        <w:spacing w:before="50" w:line="323" w:lineRule="auto"/>
        <w:ind w:left="3" w:right="25" w:firstLine="655"/>
        <w:rPr>
          <w:rFonts w:ascii="仿宋" w:hAnsi="仿宋" w:eastAsia="仿宋" w:cs="仿宋"/>
          <w:spacing w:val="9"/>
          <w:sz w:val="31"/>
          <w:szCs w:val="31"/>
        </w:rPr>
      </w:pPr>
    </w:p>
    <w:p/>
    <w:p>
      <w:pPr>
        <w:jc w:val="center"/>
        <w:rPr>
          <w:rFonts w:ascii="仿宋_GB2312" w:eastAsia="仿宋_GB2312"/>
          <w:b/>
          <w:sz w:val="32"/>
          <w:szCs w:val="32"/>
        </w:rPr>
      </w:pPr>
    </w:p>
    <w:p/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spacing w:line="189" w:lineRule="auto"/>
      <w:ind w:left="4372"/>
      <w:rPr>
        <w:rFonts w:hint="eastAsia" w:eastAsia="宋体"/>
        <w:sz w:val="18"/>
        <w:szCs w:val="18"/>
        <w:lang w:val="en-US" w:eastAsia="zh-CN"/>
      </w:rPr>
    </w:pPr>
    <w:r>
      <w:rPr>
        <w:rFonts w:ascii="Arial" w:hAnsi="Arial" w:eastAsia="Arial" w:cs="Arial"/>
        <w:kern w:val="2"/>
        <w:sz w:val="18"/>
        <w:szCs w:val="21"/>
        <w:lang w:val="en-US" w:eastAsia="en-US" w:bidi="ar-SA"/>
      </w:rPr>
      <w:pict>
        <v:rect id="文本框 1" o:spid="_x0000_s1025" style="position:absolute;left:0;margin-top:0pt;height:144pt;width:144pt;mso-position-horizontal:outside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tabs>
                    <w:tab w:val="center" w:pos="4153"/>
                    <w:tab w:val="right" w:pos="8306"/>
                  </w:tabs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 w:eastAsia="宋体"/>
                    <w:lang w:eastAsia="zh-CN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 xml:space="preserve"> </w:t>
                </w:r>
                <w:r>
                  <w:rPr>
                    <w:rFonts w:hint="eastAsia" w:eastAsia="宋体"/>
                    <w:lang w:eastAsia="zh-CN"/>
                  </w:rPr>
                  <w:t>—</w:t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5263A"/>
    <w:rsid w:val="00006C1B"/>
    <w:rsid w:val="000269A4"/>
    <w:rsid w:val="00080829"/>
    <w:rsid w:val="00081A69"/>
    <w:rsid w:val="000C415D"/>
    <w:rsid w:val="000C55BE"/>
    <w:rsid w:val="000D139D"/>
    <w:rsid w:val="000F0200"/>
    <w:rsid w:val="0011608B"/>
    <w:rsid w:val="0015263A"/>
    <w:rsid w:val="0017461E"/>
    <w:rsid w:val="001A5550"/>
    <w:rsid w:val="001B0634"/>
    <w:rsid w:val="001C0CF6"/>
    <w:rsid w:val="00210B51"/>
    <w:rsid w:val="00221826"/>
    <w:rsid w:val="00230472"/>
    <w:rsid w:val="0024163E"/>
    <w:rsid w:val="0025315D"/>
    <w:rsid w:val="00343600"/>
    <w:rsid w:val="003D4516"/>
    <w:rsid w:val="0041381E"/>
    <w:rsid w:val="00415BCF"/>
    <w:rsid w:val="00483E08"/>
    <w:rsid w:val="004955AA"/>
    <w:rsid w:val="0055095B"/>
    <w:rsid w:val="005563A5"/>
    <w:rsid w:val="00593B94"/>
    <w:rsid w:val="005A2315"/>
    <w:rsid w:val="005E66A1"/>
    <w:rsid w:val="00615572"/>
    <w:rsid w:val="0065566E"/>
    <w:rsid w:val="00675002"/>
    <w:rsid w:val="00677033"/>
    <w:rsid w:val="006B0E72"/>
    <w:rsid w:val="006E5E67"/>
    <w:rsid w:val="006E6BF1"/>
    <w:rsid w:val="007547B8"/>
    <w:rsid w:val="00773ACE"/>
    <w:rsid w:val="00776A66"/>
    <w:rsid w:val="00806DC9"/>
    <w:rsid w:val="008079E5"/>
    <w:rsid w:val="008456B4"/>
    <w:rsid w:val="008664FE"/>
    <w:rsid w:val="008A70F6"/>
    <w:rsid w:val="009431F1"/>
    <w:rsid w:val="009503E4"/>
    <w:rsid w:val="00972D1E"/>
    <w:rsid w:val="00987421"/>
    <w:rsid w:val="00992318"/>
    <w:rsid w:val="009B141B"/>
    <w:rsid w:val="00A01A64"/>
    <w:rsid w:val="00A04614"/>
    <w:rsid w:val="00A16E6A"/>
    <w:rsid w:val="00A5435E"/>
    <w:rsid w:val="00A95382"/>
    <w:rsid w:val="00AB0C4F"/>
    <w:rsid w:val="00AC063B"/>
    <w:rsid w:val="00AD622F"/>
    <w:rsid w:val="00AE317C"/>
    <w:rsid w:val="00B27154"/>
    <w:rsid w:val="00B3499E"/>
    <w:rsid w:val="00B61289"/>
    <w:rsid w:val="00B92F7A"/>
    <w:rsid w:val="00BA4F6A"/>
    <w:rsid w:val="00BA5C04"/>
    <w:rsid w:val="00BB0681"/>
    <w:rsid w:val="00BE4B9E"/>
    <w:rsid w:val="00CC20AC"/>
    <w:rsid w:val="00D17A41"/>
    <w:rsid w:val="00D65D57"/>
    <w:rsid w:val="00D97AEF"/>
    <w:rsid w:val="00DE5D31"/>
    <w:rsid w:val="00E66353"/>
    <w:rsid w:val="00EC2B15"/>
    <w:rsid w:val="00F23807"/>
    <w:rsid w:val="00F92E5D"/>
    <w:rsid w:val="28F64F65"/>
    <w:rsid w:val="3C391EB3"/>
    <w:rsid w:val="43537138"/>
    <w:rsid w:val="5C65764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semiHidden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unhideWhenUsed/>
    <w:uiPriority w:val="1"/>
    <w:rPr>
      <w:szCs w:val="20"/>
    </w:rPr>
  </w:style>
  <w:style w:type="table" w:default="1" w:styleId="10">
    <w:name w:val="Normal Table"/>
    <w:unhideWhenUsed/>
    <w:qFormat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unhideWhenUsed/>
    <w:uiPriority w:val="0"/>
    <w:pPr>
      <w:ind w:firstLine="420" w:firstLineChars="200"/>
    </w:pPr>
  </w:style>
  <w:style w:type="paragraph" w:styleId="3">
    <w:name w:val="Body Text"/>
    <w:basedOn w:val="1"/>
    <w:unhideWhenUsed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Char Char Char Char Char"/>
    <w:basedOn w:val="1"/>
    <w:link w:val="7"/>
    <w:qFormat/>
    <w:uiPriority w:val="99"/>
    <w:pPr>
      <w:tabs>
        <w:tab w:val="left" w:pos="360"/>
      </w:tabs>
    </w:pPr>
    <w:rPr>
      <w:szCs w:val="20"/>
    </w:rPr>
  </w:style>
  <w:style w:type="character" w:styleId="9">
    <w:name w:val="page number"/>
    <w:basedOn w:val="7"/>
    <w:unhideWhenUsed/>
    <w:uiPriority w:val="0"/>
    <w:rPr>
      <w:rFonts w:cs="Times New Roman"/>
    </w:rPr>
  </w:style>
  <w:style w:type="character" w:customStyle="1" w:styleId="11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52</Words>
  <Characters>297</Characters>
  <Lines>2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2019-02-12T01:38:00Z</dcterms:created>
  <dc:creator>北京市大兴区亦庄镇财政所</dc:creator>
  <cp:lastModifiedBy>镇及街道</cp:lastModifiedBy>
  <cp:lastPrinted>2025-09-02T04:13:22Z</cp:lastPrinted>
  <dcterms:modified xsi:type="dcterms:W3CDTF">2025-09-02T04:13:24Z</dcterms:modified>
  <dc:title>2023年预算调整情况说明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