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228" w:lineRule="auto"/>
        <w:ind w:left="1140" w:right="998" w:firstLine="0"/>
        <w:jc w:val="center"/>
        <w:textAlignment w:val="baseline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14"/>
          <w:sz w:val="47"/>
          <w:szCs w:val="47"/>
        </w:rPr>
        <w:t>大兴区</w:t>
      </w:r>
      <w:r>
        <w:rPr>
          <w:rFonts w:hint="eastAsia" w:ascii="宋体" w:hAnsi="宋体" w:eastAsia="宋体" w:cs="宋体"/>
          <w:b/>
          <w:bCs/>
          <w:spacing w:val="-14"/>
          <w:sz w:val="47"/>
          <w:szCs w:val="47"/>
          <w:lang w:eastAsia="zh-CN"/>
        </w:rPr>
        <w:t>青云店镇</w:t>
      </w:r>
      <w:r>
        <w:rPr>
          <w:rFonts w:ascii="宋体" w:hAnsi="宋体" w:eastAsia="宋体" w:cs="宋体"/>
          <w:b/>
          <w:bCs/>
          <w:spacing w:val="-14"/>
          <w:sz w:val="47"/>
          <w:szCs w:val="47"/>
        </w:rPr>
        <w:t>202</w:t>
      </w:r>
      <w:r>
        <w:rPr>
          <w:rFonts w:hint="eastAsia" w:ascii="宋体" w:hAnsi="宋体" w:eastAsia="宋体" w:cs="宋体"/>
          <w:b/>
          <w:bCs/>
          <w:spacing w:val="-14"/>
          <w:sz w:val="47"/>
          <w:szCs w:val="47"/>
          <w:lang w:val="en-US" w:eastAsia="zh-CN"/>
        </w:rPr>
        <w:t>5</w:t>
      </w:r>
      <w:r>
        <w:rPr>
          <w:rFonts w:ascii="宋体" w:hAnsi="宋体" w:eastAsia="宋体" w:cs="宋体"/>
          <w:b/>
          <w:bCs/>
          <w:spacing w:val="-14"/>
          <w:sz w:val="47"/>
          <w:szCs w:val="47"/>
        </w:rPr>
        <w:t>年预算执行情况和</w:t>
      </w:r>
      <w:r>
        <w:rPr>
          <w:rFonts w:ascii="宋体" w:hAnsi="宋体" w:eastAsia="宋体" w:cs="宋体"/>
          <w:b/>
          <w:bCs/>
          <w:spacing w:val="-13"/>
          <w:sz w:val="47"/>
          <w:szCs w:val="47"/>
        </w:rPr>
        <w:t>202</w:t>
      </w:r>
      <w:r>
        <w:rPr>
          <w:rFonts w:hint="eastAsia" w:ascii="宋体" w:hAnsi="宋体" w:eastAsia="宋体" w:cs="宋体"/>
          <w:b/>
          <w:bCs/>
          <w:spacing w:val="-13"/>
          <w:sz w:val="47"/>
          <w:szCs w:val="47"/>
          <w:lang w:val="en-US" w:eastAsia="zh-CN"/>
        </w:rPr>
        <w:t>6</w:t>
      </w:r>
      <w:r>
        <w:rPr>
          <w:rFonts w:ascii="宋体" w:hAnsi="宋体" w:eastAsia="宋体" w:cs="宋体"/>
          <w:spacing w:val="-118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47"/>
          <w:szCs w:val="47"/>
        </w:rPr>
        <w:t>年预算草案说明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目    录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一、大兴区青云店镇2026年镇级一般公共预算收入预算说明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二、大兴区青云店镇2026年镇级一般公共预算支出预算说明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三、大兴区青云店镇2026年镇本级一般公共预算支出预算说明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四、大兴区青云店镇2026年镇级一般公共预算基本支出预算说明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五、大兴区青云店镇2026年一般公共预算“三公经费”财政拨款支出预算说明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六、大兴区青云店镇2026年镇级政府性基金预算收入预算说明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七、大兴区青云店镇2026年镇级政府性基金支出预算说明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八、大兴区青云店镇2026年镇本级政府性基金支出预算说明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九、大兴区青云店镇2026年镇级国有资本经营预算收入预算说明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十、大兴区青云店镇2026年镇级国有资本经营支出预算说明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十一、大兴区青云店镇2026年镇本级国有资本经营支出预算说明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十二、大兴区青云店镇2026年社会保险基金预算收入预算说明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十三、大兴区青云店镇2026年社会保险基金预算支出预算说明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十四、大兴区青云店镇2026年一般公共预算税收返还和转移支付明细说明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十五、大兴区青云店镇2026年一般公共预算专项转移支付明细说明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十六、大兴区青云店镇2026年政府性基金预算转移支付明细说明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十七、大兴区青云店镇2026年政府性基金预算专项转移支付明细说明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十八、大兴区青云店镇2025年地方政府债务限额及余额预算情况说明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十九、大兴区青云店镇2025年地方政府一般债务余额情况说明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二十、大兴区青云店镇2025年地方政府专项债务余额情况说明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二十一、大兴区青云店镇地方政府债券发行及还本付息情况说明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二十二、其他重要事项的情况说明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</w:p>
    <w:p>
      <w:pPr>
        <w:ind w:firstLine="640" w:firstLineChars="200"/>
        <w:rPr>
          <w:rFonts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年镇级一般公共预算收入预算说明</w:t>
      </w:r>
    </w:p>
    <w:p>
      <w:pPr>
        <w:ind w:firstLine="6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青云店镇一般公共预算收入预计完成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54133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2025年执行数的54.4%。</w:t>
      </w:r>
      <w:r>
        <w:rPr>
          <w:rFonts w:hint="eastAsia" w:ascii="仿宋" w:hAnsi="仿宋" w:eastAsia="仿宋" w:cs="仿宋"/>
          <w:sz w:val="32"/>
          <w:szCs w:val="32"/>
        </w:rPr>
        <w:t>其中：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返还性收入完成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7181万元，为2025年执行数的70.6%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一般性转移支付收入25154万元，为2025年执行数的85.1%。专项转移支付收入11472万元，为2025年执行数的24.5%。上年结转收入10326万元。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年镇级一般公共预算支出预算说明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2026年青云店镇镇级一般公共预算支出预计完成54133万元，其中：镇本级一般公共预算支出48401万元，为2025年执行数的54.4%；上解支出5732万元，为2025年执行数的109.8%。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年镇本级一般公共预算支出预算说明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2026年镇本级一般公共预算支出预计完成48401万元，为2025年执行数的57.6%。</w:t>
      </w:r>
    </w:p>
    <w:p>
      <w:pPr>
        <w:pStyle w:val="9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一般公共服务支出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13311万元，为2025年执行数的112.8%，各项支出基本无大额增减变化。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2.公共安全支出预算安排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1182</w:t>
      </w:r>
      <w:r>
        <w:rPr>
          <w:rFonts w:hint="eastAsia" w:ascii="仿宋" w:hAnsi="仿宋" w:eastAsia="仿宋" w:cs="仿宋"/>
          <w:sz w:val="32"/>
          <w:szCs w:val="32"/>
        </w:rPr>
        <w:t>万元，为20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112.1</w:t>
      </w:r>
      <w:r>
        <w:rPr>
          <w:rFonts w:hint="eastAsia" w:ascii="仿宋" w:hAnsi="仿宋" w:eastAsia="仿宋" w:cs="仿宋"/>
          <w:sz w:val="32"/>
          <w:szCs w:val="32"/>
        </w:rPr>
        <w:t>%，各项支出基本无大额增减变化。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3.教育支出预算安排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年执行数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491万元</w:t>
      </w:r>
      <w:r>
        <w:rPr>
          <w:rFonts w:hint="eastAsia" w:ascii="仿宋" w:hAnsi="仿宋" w:eastAsia="仿宋" w:cs="仿宋"/>
          <w:sz w:val="32"/>
          <w:szCs w:val="32"/>
        </w:rPr>
        <w:t>，支出有所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</w:rPr>
        <w:t>，主要是预算支出减少。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科学技术</w:t>
      </w:r>
      <w:r>
        <w:rPr>
          <w:rFonts w:hint="eastAsia" w:ascii="仿宋" w:hAnsi="仿宋" w:eastAsia="仿宋" w:cs="仿宋"/>
          <w:sz w:val="32"/>
          <w:szCs w:val="32"/>
        </w:rPr>
        <w:t>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为2025年执行数的100%</w:t>
      </w:r>
      <w:r>
        <w:rPr>
          <w:rFonts w:hint="eastAsia" w:ascii="仿宋" w:hAnsi="仿宋" w:eastAsia="仿宋" w:cs="仿宋"/>
          <w:sz w:val="32"/>
          <w:szCs w:val="32"/>
        </w:rPr>
        <w:t>，各项支出基本无大额增减变化。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.文化旅游体育与传媒预算安排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178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100.2</w:t>
      </w:r>
      <w:r>
        <w:rPr>
          <w:rFonts w:hint="eastAsia" w:ascii="仿宋" w:hAnsi="仿宋" w:eastAsia="仿宋" w:cs="仿宋"/>
          <w:sz w:val="32"/>
          <w:szCs w:val="32"/>
        </w:rPr>
        <w:t>%，各项支出基本无大额增减变化。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.社会保障和就业支出预算安排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2730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95.2</w:t>
      </w:r>
      <w:r>
        <w:rPr>
          <w:rFonts w:hint="eastAsia" w:ascii="仿宋" w:hAnsi="仿宋" w:eastAsia="仿宋" w:cs="仿宋"/>
          <w:sz w:val="32"/>
          <w:szCs w:val="32"/>
        </w:rPr>
        <w:t>%，支出有所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</w:rPr>
        <w:t>，主要是202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年上级专项转移支付提前下达数较202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年执行数减少，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</w:t>
      </w:r>
      <w:r>
        <w:rPr>
          <w:rFonts w:hint="eastAsia" w:ascii="仿宋" w:hAnsi="仿宋" w:eastAsia="仿宋" w:cs="仿宋"/>
          <w:sz w:val="32"/>
          <w:szCs w:val="32"/>
        </w:rPr>
        <w:t>各项支出基本无大额增减变化。</w:t>
      </w:r>
    </w:p>
    <w:p>
      <w:pPr>
        <w:pStyle w:val="9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.卫生健康支出预算安排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4658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88.1</w:t>
      </w:r>
      <w:r>
        <w:rPr>
          <w:rFonts w:hint="eastAsia" w:ascii="仿宋" w:hAnsi="仿宋" w:eastAsia="仿宋" w:cs="仿宋"/>
          <w:sz w:val="32"/>
          <w:szCs w:val="32"/>
        </w:rPr>
        <w:t>%，支出有所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</w:rPr>
        <w:t>，主要是预算支出减少，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</w:t>
      </w:r>
      <w:r>
        <w:rPr>
          <w:rFonts w:hint="eastAsia" w:ascii="仿宋" w:hAnsi="仿宋" w:eastAsia="仿宋" w:cs="仿宋"/>
          <w:sz w:val="32"/>
          <w:szCs w:val="32"/>
        </w:rPr>
        <w:t>各项支出基本无大额增减变化。</w:t>
      </w:r>
    </w:p>
    <w:p>
      <w:pPr>
        <w:pStyle w:val="9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.节能环保支出预算安排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1180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146.5</w:t>
      </w:r>
      <w:r>
        <w:rPr>
          <w:rFonts w:hint="eastAsia" w:ascii="仿宋" w:hAnsi="仿宋" w:eastAsia="仿宋" w:cs="仿宋"/>
          <w:sz w:val="32"/>
          <w:szCs w:val="32"/>
        </w:rPr>
        <w:t>%，支出有所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2026年上级专项转移支付提前下达数较2025年执行数增加，其他</w:t>
      </w:r>
      <w:r>
        <w:rPr>
          <w:rFonts w:hint="eastAsia" w:ascii="仿宋" w:hAnsi="仿宋" w:eastAsia="仿宋" w:cs="仿宋"/>
          <w:sz w:val="32"/>
          <w:szCs w:val="32"/>
        </w:rPr>
        <w:t>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.城乡社区支出预算安排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7822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25.7</w:t>
      </w:r>
      <w:r>
        <w:rPr>
          <w:rFonts w:hint="eastAsia" w:ascii="仿宋" w:hAnsi="仿宋" w:eastAsia="仿宋" w:cs="仿宋"/>
          <w:sz w:val="32"/>
          <w:szCs w:val="32"/>
        </w:rPr>
        <w:t>%，支出有所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主要是2026年上级专项转移支付提前下达数较2025年执行数减少，其他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.农林水支出预算安排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15312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51.8</w:t>
      </w:r>
      <w:r>
        <w:rPr>
          <w:rFonts w:hint="eastAsia" w:ascii="仿宋" w:hAnsi="仿宋" w:eastAsia="仿宋" w:cs="仿宋"/>
          <w:sz w:val="32"/>
          <w:szCs w:val="32"/>
        </w:rPr>
        <w:t>%，支出有所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主要是2026年上级专项转移支付提前下达数较2025年执行数减少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，其他各项支出基本无大额增减变化。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11.国防支出预算安排10万元，2025年无此项支出，支出有所增加，主要是预算支出增加。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.自然资源海洋气象等支出预算安排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213</w:t>
      </w:r>
      <w:r>
        <w:rPr>
          <w:rFonts w:hint="eastAsia" w:ascii="仿宋" w:hAnsi="仿宋" w:eastAsia="仿宋" w:cs="仿宋"/>
          <w:sz w:val="32"/>
          <w:szCs w:val="32"/>
        </w:rPr>
        <w:t>万元，202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，支出有所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主要是202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年上级专项转移支付提前下达数较202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年执行数增加，其他</w:t>
      </w:r>
      <w:r>
        <w:rPr>
          <w:rFonts w:hint="eastAsia" w:ascii="仿宋" w:hAnsi="仿宋" w:eastAsia="仿宋" w:cs="仿宋"/>
          <w:sz w:val="32"/>
          <w:szCs w:val="32"/>
        </w:rPr>
        <w:t>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13.住房保障支出预算安排451万元，为2025年执行数的38%，支出有所减少，主要是预算支出减少，其他各项支出基本无大额增减变化。</w:t>
      </w:r>
    </w:p>
    <w:p>
      <w:pPr>
        <w:pStyle w:val="9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.灾害防治及应急管理支出预算安排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352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103.3</w:t>
      </w:r>
      <w:r>
        <w:rPr>
          <w:rFonts w:hint="eastAsia" w:ascii="仿宋" w:hAnsi="仿宋" w:eastAsia="仿宋" w:cs="仿宋"/>
          <w:sz w:val="32"/>
          <w:szCs w:val="32"/>
        </w:rPr>
        <w:t>%，各项支出基本无大额增减变化。</w:t>
      </w:r>
    </w:p>
    <w:p>
      <w:pPr>
        <w:pStyle w:val="9"/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15.资源勘探信息等支出预算安排0万元，2025年执行数为3万元。主要是预算支出减少，各项支出基本无大额增减变化。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预备费</w:t>
      </w:r>
      <w:r>
        <w:rPr>
          <w:rFonts w:hint="eastAsia" w:ascii="仿宋" w:hAnsi="仿宋" w:eastAsia="仿宋" w:cs="仿宋"/>
          <w:sz w:val="32"/>
          <w:szCs w:val="32"/>
        </w:rPr>
        <w:t>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年镇级一般公共预算基本支出预算说明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2026年青云店镇</w:t>
      </w:r>
      <w:r>
        <w:rPr>
          <w:rFonts w:hint="eastAsia" w:ascii="仿宋" w:hAnsi="仿宋" w:eastAsia="仿宋" w:cs="仿宋"/>
          <w:sz w:val="32"/>
          <w:szCs w:val="32"/>
        </w:rPr>
        <w:t>一般公共预算基本支出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8663</w:t>
      </w:r>
      <w:r>
        <w:rPr>
          <w:rFonts w:hint="eastAsia" w:ascii="仿宋" w:hAnsi="仿宋" w:eastAsia="仿宋" w:cs="仿宋"/>
          <w:sz w:val="32"/>
          <w:szCs w:val="32"/>
        </w:rPr>
        <w:t>万元，其中：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机关工资福利支出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5307万元，机关商品和服务支出580万元，对事业单位经常性补助2635万元，对个人和家庭的补助141万元，（各具体款级项目见套表）。</w:t>
      </w:r>
    </w:p>
    <w:p>
      <w:pPr>
        <w:ind w:firstLine="640" w:firstLineChars="20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年一般公共预算“三公经费”财政拨款支出预算说明</w:t>
      </w:r>
    </w:p>
    <w:p>
      <w:pPr>
        <w:ind w:firstLine="608" w:firstLineChars="19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青云店</w:t>
      </w:r>
      <w:r>
        <w:rPr>
          <w:rFonts w:hint="eastAsia" w:ascii="仿宋" w:hAnsi="仿宋" w:eastAsia="仿宋" w:cs="仿宋"/>
          <w:sz w:val="32"/>
          <w:szCs w:val="32"/>
        </w:rPr>
        <w:t>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年“三公经费”财政拨款预算数为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92.13</w:t>
      </w:r>
      <w:r>
        <w:rPr>
          <w:rFonts w:hint="eastAsia" w:ascii="仿宋" w:hAnsi="仿宋" w:eastAsia="仿宋" w:cs="仿宋"/>
          <w:sz w:val="32"/>
          <w:szCs w:val="32"/>
        </w:rPr>
        <w:t>万元，其中：因公出国（境）费0万元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公务接待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费</w:t>
      </w:r>
      <w:r>
        <w:rPr>
          <w:rFonts w:hint="eastAsia" w:ascii="仿宋" w:hAnsi="仿宋" w:eastAsia="仿宋" w:cs="仿宋"/>
          <w:sz w:val="32"/>
          <w:szCs w:val="32"/>
        </w:rPr>
        <w:t>0万元，公务用车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92.13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公务用车购置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0万元。</w:t>
      </w:r>
    </w:p>
    <w:p>
      <w:pPr>
        <w:ind w:firstLine="608" w:firstLineChars="19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因公出国（境）费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2025年年初预算数无增减变化。</w:t>
      </w:r>
    </w:p>
    <w:p>
      <w:pPr>
        <w:ind w:firstLine="608" w:firstLineChars="19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公务接待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费较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2025年年初预算数无增减变化。</w:t>
      </w:r>
    </w:p>
    <w:p>
      <w:pPr>
        <w:ind w:firstLine="608" w:firstLineChars="19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公务用车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运行维护费较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2025年年初预算数增加71.83万元，较2025年预算执行数增加64.14万元。主要是公务用车运行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维护费增加。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年镇级政府性基金预算收入预算说明</w:t>
      </w:r>
    </w:p>
    <w:p>
      <w:pPr>
        <w:rPr>
          <w:rFonts w:hint="default" w:eastAsia="仿宋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青云店镇2026年政府性基金预算收入29654万元，其中：基金转移支付收入2695万元，为2025年执行数的45.6%。专项转移支付收入21664万元，为2025年执行数的216.8%。上年结转收入5295万元，为2025年执行数的194.9%。</w:t>
      </w:r>
    </w:p>
    <w:p>
      <w:pPr>
        <w:ind w:firstLine="640" w:firstLineChars="20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年镇级政府性基金支出预算说明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青云店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2026年政府性基金预算预计支出29654万元，为2025年执行数的159.2%，较2025年执行数增加的主要原因是2026年基金专项转移支付支出较2025年执行数增加。</w:t>
      </w:r>
    </w:p>
    <w:p>
      <w:pPr>
        <w:ind w:firstLine="640" w:firstLineChars="20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年镇本级政府性基金支出预算说明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青云店镇202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本级</w:t>
      </w:r>
      <w:r>
        <w:rPr>
          <w:rFonts w:hint="eastAsia" w:ascii="仿宋" w:hAnsi="仿宋" w:eastAsia="仿宋" w:cs="仿宋"/>
          <w:sz w:val="32"/>
          <w:szCs w:val="32"/>
        </w:rPr>
        <w:t>政府性基金预算预计支出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29654</w:t>
      </w:r>
      <w:r>
        <w:rPr>
          <w:rFonts w:hint="eastAsia" w:ascii="仿宋" w:hAnsi="仿宋" w:eastAsia="仿宋" w:cs="仿宋"/>
          <w:sz w:val="32"/>
          <w:szCs w:val="32"/>
        </w:rPr>
        <w:t>万元，为202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年执行数的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159.2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较2025年执行数增加的主要原因是2026年基金专项转移支付支出较2025年执行数增加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年镇级国有资本经营预算收入预算说明</w:t>
      </w:r>
    </w:p>
    <w:p>
      <w:pPr>
        <w:ind w:firstLine="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本单位不涉及上述表内数据。</w:t>
      </w:r>
    </w:p>
    <w:p>
      <w:pPr>
        <w:ind w:firstLine="640" w:firstLineChars="20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年镇级国有资本经营支出预算说明</w:t>
      </w:r>
    </w:p>
    <w:p>
      <w:pPr>
        <w:ind w:firstLine="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本单位不涉及上述表内数据。</w:t>
      </w:r>
    </w:p>
    <w:p>
      <w:pPr>
        <w:ind w:firstLine="640" w:firstLineChars="20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年镇本级国有资本经营支出预算说明</w:t>
      </w:r>
    </w:p>
    <w:p>
      <w:pPr>
        <w:ind w:firstLine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本单位不涉及上述表内数据。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十二、大兴区青云店镇202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年社会保险基金预算收入预算说明</w:t>
      </w:r>
    </w:p>
    <w:p>
      <w:pPr>
        <w:ind w:firstLine="6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年社会保险基金预算支出预算说明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十四、大兴区青云店镇202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年一般公共预算税收返还和转移支付明细说明</w:t>
      </w:r>
    </w:p>
    <w:p>
      <w:pPr>
        <w:ind w:firstLine="6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十五、大兴区青云店镇202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年一般公共预算专项转移支付明细说明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十六、大兴区青云店镇202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年政府性基金预算转移支付明细说明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十七、大兴区青云店镇202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年政府性基金预算专项转移支付明细说明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十八、大兴区青云店镇202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年地方政府债务限额及余额预算情况说明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十九、大兴区青云店镇202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年地方政府一般债务余额情况说明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二十、大兴区青云店镇202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年地方政府专项债务余额情况说明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二十一、大兴区青云店镇地方政府债券发行及还本付息情况说明</w:t>
      </w:r>
    </w:p>
    <w:p>
      <w:pPr>
        <w:ind w:firstLine="6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本单位不涉及上述表内数据。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二十二、其他重要事项的情况说明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（一）政府债务情况</w:t>
      </w:r>
    </w:p>
    <w:p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我镇无政府债务。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（二）预算绩效工作开展情况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围绕村庄保洁、公厕管护、垃圾运输、绿化养护等美丽乡村领域项目开展成本绩效分析，明确定额标准，为后续资金投入提供参考。坚持推动“疏整促”项目进行专项财政评价，为后续政策调整提供依据。实现所有预算项目的绩效目标全覆盖，并将绩效目标随预算公开。2025年7月对398个项目本年1-6月预算执行情况和绩效目标实现程度进行了绩效监控汇总分析，预算资金规模总计90616万元。将部门预算执行情况和预算安排挂钩，将绩效评价结果与预算安排挂钩，将审计查出问题与预算安排挂钩，加强执行结果应用。重大政策和重点项目等绩效目标已在报表中反应并进行公开。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（三）重大投资项目资金安排情况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城乡社区支出预算安排30444万元，主要用于棚改范围内7条道路建设、瑞合路南延项目支出。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（四）一般公共预算直达资金情况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2025年全年共收到直达资金145.85万元，具体为：基本公共卫生服务123.59万元，高标准农田建设22.25万元。</w:t>
      </w: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DA3F22"/>
    <w:multiLevelType w:val="singleLevel"/>
    <w:tmpl w:val="98DA3F22"/>
    <w:lvl w:ilvl="0" w:tentative="0">
      <w:start w:val="1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ODEzMjhjYzAyOGQ2M2M1OWQ1ODAyZTg4N2UwN2UifQ=="/>
  </w:docVars>
  <w:rsids>
    <w:rsidRoot w:val="00714579"/>
    <w:rsid w:val="000011B1"/>
    <w:rsid w:val="00014763"/>
    <w:rsid w:val="00032CC3"/>
    <w:rsid w:val="00071890"/>
    <w:rsid w:val="0007348C"/>
    <w:rsid w:val="000F1810"/>
    <w:rsid w:val="000F4CB0"/>
    <w:rsid w:val="00114C13"/>
    <w:rsid w:val="00170928"/>
    <w:rsid w:val="001727F8"/>
    <w:rsid w:val="00180B9B"/>
    <w:rsid w:val="001A0409"/>
    <w:rsid w:val="001B3D95"/>
    <w:rsid w:val="00233989"/>
    <w:rsid w:val="002838EE"/>
    <w:rsid w:val="00285FBC"/>
    <w:rsid w:val="002B5E57"/>
    <w:rsid w:val="002D2537"/>
    <w:rsid w:val="002D6802"/>
    <w:rsid w:val="003256BB"/>
    <w:rsid w:val="0034353A"/>
    <w:rsid w:val="00356E1F"/>
    <w:rsid w:val="003658CC"/>
    <w:rsid w:val="00392183"/>
    <w:rsid w:val="003B1473"/>
    <w:rsid w:val="003C1D89"/>
    <w:rsid w:val="003E5DC2"/>
    <w:rsid w:val="003E6D61"/>
    <w:rsid w:val="003F1C05"/>
    <w:rsid w:val="003F5984"/>
    <w:rsid w:val="004020D2"/>
    <w:rsid w:val="00403E4E"/>
    <w:rsid w:val="00491E78"/>
    <w:rsid w:val="004B7534"/>
    <w:rsid w:val="004F37BC"/>
    <w:rsid w:val="00535223"/>
    <w:rsid w:val="00541E72"/>
    <w:rsid w:val="00553BF8"/>
    <w:rsid w:val="00583A06"/>
    <w:rsid w:val="00590E1A"/>
    <w:rsid w:val="00671855"/>
    <w:rsid w:val="00696666"/>
    <w:rsid w:val="006E6879"/>
    <w:rsid w:val="006F681C"/>
    <w:rsid w:val="007052C4"/>
    <w:rsid w:val="007102A1"/>
    <w:rsid w:val="00714579"/>
    <w:rsid w:val="00774DD7"/>
    <w:rsid w:val="00795A35"/>
    <w:rsid w:val="007A621D"/>
    <w:rsid w:val="007B3C13"/>
    <w:rsid w:val="007D4356"/>
    <w:rsid w:val="007E419D"/>
    <w:rsid w:val="00801391"/>
    <w:rsid w:val="00827709"/>
    <w:rsid w:val="00845F4B"/>
    <w:rsid w:val="0088681D"/>
    <w:rsid w:val="00890887"/>
    <w:rsid w:val="00897EFE"/>
    <w:rsid w:val="008E1E86"/>
    <w:rsid w:val="00926B19"/>
    <w:rsid w:val="00957C3F"/>
    <w:rsid w:val="00966A1C"/>
    <w:rsid w:val="009F459F"/>
    <w:rsid w:val="00A03228"/>
    <w:rsid w:val="00A4220E"/>
    <w:rsid w:val="00A61BB2"/>
    <w:rsid w:val="00A94E84"/>
    <w:rsid w:val="00AE0517"/>
    <w:rsid w:val="00B5664E"/>
    <w:rsid w:val="00B66FF1"/>
    <w:rsid w:val="00B710A9"/>
    <w:rsid w:val="00B71A82"/>
    <w:rsid w:val="00C0025E"/>
    <w:rsid w:val="00C27C19"/>
    <w:rsid w:val="00C31F0B"/>
    <w:rsid w:val="00C54B16"/>
    <w:rsid w:val="00C879B1"/>
    <w:rsid w:val="00C920A4"/>
    <w:rsid w:val="00CD172F"/>
    <w:rsid w:val="00CE63B2"/>
    <w:rsid w:val="00D27E3E"/>
    <w:rsid w:val="00D73000"/>
    <w:rsid w:val="00D9534F"/>
    <w:rsid w:val="00DF4B50"/>
    <w:rsid w:val="00E15970"/>
    <w:rsid w:val="00E224E4"/>
    <w:rsid w:val="00E26503"/>
    <w:rsid w:val="00E33B94"/>
    <w:rsid w:val="00E561CD"/>
    <w:rsid w:val="00E612CD"/>
    <w:rsid w:val="00E70E11"/>
    <w:rsid w:val="00E81B84"/>
    <w:rsid w:val="00EA0BD5"/>
    <w:rsid w:val="00EB711E"/>
    <w:rsid w:val="00F033AA"/>
    <w:rsid w:val="00F25BC0"/>
    <w:rsid w:val="00F3683A"/>
    <w:rsid w:val="00F4444B"/>
    <w:rsid w:val="00F83619"/>
    <w:rsid w:val="00FD57DC"/>
    <w:rsid w:val="022544D2"/>
    <w:rsid w:val="02F91424"/>
    <w:rsid w:val="033E12AF"/>
    <w:rsid w:val="04B801B3"/>
    <w:rsid w:val="05F21B29"/>
    <w:rsid w:val="06804090"/>
    <w:rsid w:val="07C93C3F"/>
    <w:rsid w:val="07D61898"/>
    <w:rsid w:val="087175BB"/>
    <w:rsid w:val="08B7255E"/>
    <w:rsid w:val="08EA30CD"/>
    <w:rsid w:val="0A0A6DD4"/>
    <w:rsid w:val="0A200654"/>
    <w:rsid w:val="0A5E2EB9"/>
    <w:rsid w:val="0B2F615C"/>
    <w:rsid w:val="0B7379F5"/>
    <w:rsid w:val="0B9D3202"/>
    <w:rsid w:val="0BBB05FA"/>
    <w:rsid w:val="0C305891"/>
    <w:rsid w:val="0C3536E6"/>
    <w:rsid w:val="0D3C08CC"/>
    <w:rsid w:val="0D772B41"/>
    <w:rsid w:val="0DC04E93"/>
    <w:rsid w:val="0E9565DD"/>
    <w:rsid w:val="0E9B1237"/>
    <w:rsid w:val="0F43362F"/>
    <w:rsid w:val="13E449D9"/>
    <w:rsid w:val="143070AD"/>
    <w:rsid w:val="14B87A23"/>
    <w:rsid w:val="15C56EE7"/>
    <w:rsid w:val="15D42565"/>
    <w:rsid w:val="15E77340"/>
    <w:rsid w:val="161529CC"/>
    <w:rsid w:val="16983FE3"/>
    <w:rsid w:val="179A5BED"/>
    <w:rsid w:val="18EA5492"/>
    <w:rsid w:val="197A17E1"/>
    <w:rsid w:val="19E2344C"/>
    <w:rsid w:val="1A790844"/>
    <w:rsid w:val="1A9E65D3"/>
    <w:rsid w:val="1AD55B2A"/>
    <w:rsid w:val="1B20561A"/>
    <w:rsid w:val="1B581499"/>
    <w:rsid w:val="1B6F2705"/>
    <w:rsid w:val="1B952ABE"/>
    <w:rsid w:val="1CAE42B7"/>
    <w:rsid w:val="1CF72489"/>
    <w:rsid w:val="1D44579E"/>
    <w:rsid w:val="1D6F0BC6"/>
    <w:rsid w:val="1E6B3A70"/>
    <w:rsid w:val="1E9C1AD9"/>
    <w:rsid w:val="1F4863DB"/>
    <w:rsid w:val="1F64367B"/>
    <w:rsid w:val="1FEB36E9"/>
    <w:rsid w:val="1FF33600"/>
    <w:rsid w:val="20254CE8"/>
    <w:rsid w:val="207F19D9"/>
    <w:rsid w:val="21D04F6F"/>
    <w:rsid w:val="21DC0E5F"/>
    <w:rsid w:val="222A0F59"/>
    <w:rsid w:val="232B00D4"/>
    <w:rsid w:val="234B13A4"/>
    <w:rsid w:val="236A3BBA"/>
    <w:rsid w:val="23AA4799"/>
    <w:rsid w:val="23FD5FDC"/>
    <w:rsid w:val="2400550C"/>
    <w:rsid w:val="24875AA0"/>
    <w:rsid w:val="24B14700"/>
    <w:rsid w:val="25020E44"/>
    <w:rsid w:val="254066B2"/>
    <w:rsid w:val="25B5746E"/>
    <w:rsid w:val="260320AF"/>
    <w:rsid w:val="263C55A4"/>
    <w:rsid w:val="26A94FD4"/>
    <w:rsid w:val="2820263C"/>
    <w:rsid w:val="293B573B"/>
    <w:rsid w:val="29CD1C91"/>
    <w:rsid w:val="2CD229DA"/>
    <w:rsid w:val="2CED09FE"/>
    <w:rsid w:val="2CF81093"/>
    <w:rsid w:val="2DBF6A97"/>
    <w:rsid w:val="2EF00B7E"/>
    <w:rsid w:val="2F282D35"/>
    <w:rsid w:val="2F2F5D6D"/>
    <w:rsid w:val="314220C1"/>
    <w:rsid w:val="31556185"/>
    <w:rsid w:val="31C72E63"/>
    <w:rsid w:val="31DF1599"/>
    <w:rsid w:val="321A6CDF"/>
    <w:rsid w:val="32FA4FED"/>
    <w:rsid w:val="33B83F0C"/>
    <w:rsid w:val="34537150"/>
    <w:rsid w:val="36CB31EC"/>
    <w:rsid w:val="37851063"/>
    <w:rsid w:val="37D12DB7"/>
    <w:rsid w:val="39FA1154"/>
    <w:rsid w:val="3B5D0361"/>
    <w:rsid w:val="3B8F2AC0"/>
    <w:rsid w:val="3D0834A0"/>
    <w:rsid w:val="3D51199D"/>
    <w:rsid w:val="3E2B18E4"/>
    <w:rsid w:val="400065FE"/>
    <w:rsid w:val="409505A0"/>
    <w:rsid w:val="410A3FA9"/>
    <w:rsid w:val="41443763"/>
    <w:rsid w:val="416C6AE4"/>
    <w:rsid w:val="4234471C"/>
    <w:rsid w:val="42BA5695"/>
    <w:rsid w:val="4457051B"/>
    <w:rsid w:val="4536347C"/>
    <w:rsid w:val="45741E62"/>
    <w:rsid w:val="46776FF2"/>
    <w:rsid w:val="47A25A58"/>
    <w:rsid w:val="47FE08AD"/>
    <w:rsid w:val="48AB4445"/>
    <w:rsid w:val="49FD0462"/>
    <w:rsid w:val="4A2513ED"/>
    <w:rsid w:val="4A3D0FB1"/>
    <w:rsid w:val="4B9E3D54"/>
    <w:rsid w:val="4BB515E9"/>
    <w:rsid w:val="4C474A97"/>
    <w:rsid w:val="4C893BCB"/>
    <w:rsid w:val="4D426481"/>
    <w:rsid w:val="4DA15A46"/>
    <w:rsid w:val="4F954938"/>
    <w:rsid w:val="50C61652"/>
    <w:rsid w:val="50CA7EE7"/>
    <w:rsid w:val="524F2A28"/>
    <w:rsid w:val="52DC630E"/>
    <w:rsid w:val="52EE1AB7"/>
    <w:rsid w:val="5340682B"/>
    <w:rsid w:val="53721ECB"/>
    <w:rsid w:val="555A64B2"/>
    <w:rsid w:val="560023AD"/>
    <w:rsid w:val="560A618E"/>
    <w:rsid w:val="56C637AA"/>
    <w:rsid w:val="574042EB"/>
    <w:rsid w:val="57534065"/>
    <w:rsid w:val="58201FC5"/>
    <w:rsid w:val="583F50A1"/>
    <w:rsid w:val="58D16C75"/>
    <w:rsid w:val="59193186"/>
    <w:rsid w:val="5A89200E"/>
    <w:rsid w:val="5ABB113E"/>
    <w:rsid w:val="5B446BE4"/>
    <w:rsid w:val="5BFA1A61"/>
    <w:rsid w:val="5C3C7C78"/>
    <w:rsid w:val="5D082A3D"/>
    <w:rsid w:val="5D0C4F4B"/>
    <w:rsid w:val="5D163D70"/>
    <w:rsid w:val="5DEE75F1"/>
    <w:rsid w:val="5E061250"/>
    <w:rsid w:val="5E723CEE"/>
    <w:rsid w:val="5F363A00"/>
    <w:rsid w:val="5FD43922"/>
    <w:rsid w:val="60261511"/>
    <w:rsid w:val="6042093F"/>
    <w:rsid w:val="60806C99"/>
    <w:rsid w:val="60CD3666"/>
    <w:rsid w:val="60FD5A42"/>
    <w:rsid w:val="62FD18DC"/>
    <w:rsid w:val="647702DA"/>
    <w:rsid w:val="64DE667A"/>
    <w:rsid w:val="65482B8B"/>
    <w:rsid w:val="659713CC"/>
    <w:rsid w:val="663B6111"/>
    <w:rsid w:val="675C7AE2"/>
    <w:rsid w:val="67EC520B"/>
    <w:rsid w:val="680374A9"/>
    <w:rsid w:val="681003DA"/>
    <w:rsid w:val="68317132"/>
    <w:rsid w:val="683822C6"/>
    <w:rsid w:val="6A020A31"/>
    <w:rsid w:val="6A9C0496"/>
    <w:rsid w:val="6AE91297"/>
    <w:rsid w:val="6B4A2CD1"/>
    <w:rsid w:val="6D4A2B89"/>
    <w:rsid w:val="6D4B0D40"/>
    <w:rsid w:val="6D694BED"/>
    <w:rsid w:val="6F6E4DB6"/>
    <w:rsid w:val="6F6F73A9"/>
    <w:rsid w:val="71B274D4"/>
    <w:rsid w:val="725A7BAE"/>
    <w:rsid w:val="7269580C"/>
    <w:rsid w:val="72EE37C5"/>
    <w:rsid w:val="73B1457D"/>
    <w:rsid w:val="741A340C"/>
    <w:rsid w:val="747B3C6C"/>
    <w:rsid w:val="74B4423A"/>
    <w:rsid w:val="75AE22E7"/>
    <w:rsid w:val="762F7EAC"/>
    <w:rsid w:val="76303C75"/>
    <w:rsid w:val="76763E76"/>
    <w:rsid w:val="778C51DF"/>
    <w:rsid w:val="78D825C1"/>
    <w:rsid w:val="79CF6F47"/>
    <w:rsid w:val="7A4D42BD"/>
    <w:rsid w:val="7A534910"/>
    <w:rsid w:val="7A87258A"/>
    <w:rsid w:val="7A9668FD"/>
    <w:rsid w:val="7A985B3D"/>
    <w:rsid w:val="7AD57190"/>
    <w:rsid w:val="7C041CDC"/>
    <w:rsid w:val="7D0C6EE4"/>
    <w:rsid w:val="7D617509"/>
    <w:rsid w:val="7D6463D1"/>
    <w:rsid w:val="7E026A4B"/>
    <w:rsid w:val="7E123C80"/>
    <w:rsid w:val="7E671A05"/>
    <w:rsid w:val="7F21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1709</Words>
  <Characters>2383</Characters>
  <Lines>17</Lines>
  <Paragraphs>4</Paragraphs>
  <TotalTime>18</TotalTime>
  <ScaleCrop>false</ScaleCrop>
  <LinksUpToDate>false</LinksUpToDate>
  <CharactersWithSpaces>2392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2016-02-14T15:57:00Z</dcterms:created>
  <dc:creator>微软用户</dc:creator>
  <cp:lastModifiedBy>Administrator</cp:lastModifiedBy>
  <dcterms:modified xsi:type="dcterms:W3CDTF">2026-02-11T08:32:57Z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723284EF92A946AA918A2BC51A7B2B40</vt:lpwstr>
  </property>
</Properties>
</file>