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rPr>
      </w:pPr>
      <w:r>
        <w:rPr>
          <w:rFonts w:hint="eastAsia" w:ascii="黑体" w:hAnsi="黑体" w:eastAsia="黑体" w:cs="黑体"/>
          <w:sz w:val="32"/>
        </w:rPr>
        <w:t>附件1</w:t>
      </w:r>
    </w:p>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北京市妇女保健规范化门诊标准（2021版）</w:t>
      </w:r>
    </w:p>
    <w:bookmarkEnd w:id="0"/>
    <w:tbl>
      <w:tblPr>
        <w:tblStyle w:val="3"/>
        <w:tblW w:w="15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35"/>
        <w:gridCol w:w="2809"/>
        <w:gridCol w:w="13"/>
        <w:gridCol w:w="9"/>
        <w:gridCol w:w="270"/>
        <w:gridCol w:w="20"/>
        <w:gridCol w:w="2980"/>
        <w:gridCol w:w="144"/>
        <w:gridCol w:w="67"/>
        <w:gridCol w:w="17"/>
        <w:gridCol w:w="11"/>
        <w:gridCol w:w="2742"/>
        <w:gridCol w:w="4385"/>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E0E0E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一级指标</w:t>
            </w:r>
          </w:p>
        </w:tc>
        <w:tc>
          <w:tcPr>
            <w:tcW w:w="1235" w:type="dxa"/>
            <w:tcBorders>
              <w:top w:val="single" w:color="auto" w:sz="4" w:space="0"/>
              <w:left w:val="single" w:color="auto" w:sz="4" w:space="0"/>
              <w:bottom w:val="single" w:color="auto" w:sz="4" w:space="0"/>
              <w:right w:val="single" w:color="auto" w:sz="4" w:space="0"/>
            </w:tcBorders>
            <w:shd w:val="clear" w:color="auto" w:fill="E0E0E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指标内容</w:t>
            </w:r>
          </w:p>
        </w:tc>
        <w:tc>
          <w:tcPr>
            <w:tcW w:w="3121" w:type="dxa"/>
            <w:gridSpan w:val="5"/>
            <w:tcBorders>
              <w:top w:val="single" w:color="auto" w:sz="4" w:space="0"/>
              <w:left w:val="single" w:color="auto" w:sz="4" w:space="0"/>
              <w:bottom w:val="single" w:color="auto" w:sz="4" w:space="0"/>
              <w:right w:val="single" w:color="auto" w:sz="4" w:space="0"/>
            </w:tcBorders>
            <w:shd w:val="clear" w:color="auto" w:fill="E0E0E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A级</w:t>
            </w:r>
          </w:p>
        </w:tc>
        <w:tc>
          <w:tcPr>
            <w:tcW w:w="3124"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AA级</w:t>
            </w:r>
          </w:p>
        </w:tc>
        <w:tc>
          <w:tcPr>
            <w:tcW w:w="2837" w:type="dxa"/>
            <w:gridSpan w:val="4"/>
            <w:tcBorders>
              <w:top w:val="single" w:color="auto" w:sz="4" w:space="0"/>
              <w:left w:val="single" w:color="auto" w:sz="4" w:space="0"/>
              <w:bottom w:val="single" w:color="auto" w:sz="4" w:space="0"/>
              <w:right w:val="single" w:color="auto" w:sz="4" w:space="0"/>
            </w:tcBorders>
            <w:shd w:val="clear" w:color="auto" w:fill="E0E0E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AAA级</w:t>
            </w:r>
          </w:p>
        </w:tc>
        <w:tc>
          <w:tcPr>
            <w:tcW w:w="4394"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评价办法与扣分标准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41" w:type="dxa"/>
            <w:vMerge w:val="restart"/>
            <w:tcBorders>
              <w:top w:val="single" w:color="auto" w:sz="4" w:space="0"/>
              <w:left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一、房屋设施(30分)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孕期保健室（5分）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面积不少于15平方米。环境整洁安静、布置温馨、流程合理，内有上下水设施，洗手池。具备登记、建册、基本检查功能，与临床诊区相对独立。</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2间，面积不少于20平方米，其他同A级。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1.无相对独立的孕期保健室的扣除全部分值，有孕期保健室但面积或数量不符合要求的扣2分。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2.环境整洁安静、布置温馨、流程合理、内有洗手池，一项不符合扣0.5分。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41" w:type="dxa"/>
            <w:vMerge w:val="continue"/>
            <w:tcBorders>
              <w:left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妇女体检室（5分）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面积不少于15平方米，相对独立。不与疾病诊疗区混淆；室内采光良好，具备通风、消毒、洗手、温控等条件，符合院感管理要求。具备登记、诊疗、检查功能，且布局合理，符合隐私保护要求。</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1.无妇女体检室的扣除全部分值，有</w:t>
            </w:r>
            <w:r>
              <w:rPr>
                <w:rFonts w:hint="eastAsia" w:ascii="仿宋_GB2312" w:hAnsi="仿宋_GB2312" w:eastAsia="仿宋_GB2312" w:cs="仿宋_GB2312"/>
                <w:sz w:val="22"/>
                <w:szCs w:val="22"/>
              </w:rPr>
              <w:t>妇女体检室</w:t>
            </w:r>
            <w:r>
              <w:rPr>
                <w:rFonts w:hint="eastAsia" w:ascii="仿宋_GB2312" w:hAnsi="仿宋_GB2312" w:eastAsia="仿宋_GB2312" w:cs="仿宋_GB2312"/>
                <w:kern w:val="0"/>
                <w:sz w:val="22"/>
                <w:szCs w:val="22"/>
              </w:rPr>
              <w:t>但面积不符合要求或不符合隐私保护要求的扣2分。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2.与疾病诊疗区混淆，不符合院感要求扣3分。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tcBorders>
              <w:left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咨询室（5分）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可共用，面积不少于10平方米，要求单独设置，环境私密、温馨、安静。</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面积不少于15平方米，其他同A级。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1.无咨询室的扣除全部分值，有咨询室但面积不符合要求的扣2分。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2.环境私密、安静，一项不符合扣0.5分。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41" w:type="dxa"/>
            <w:vMerge w:val="continue"/>
            <w:tcBorders>
              <w:left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妇女保健办公室（5分）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面积不少于15平方米，可与儿童保健办公室共用。</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面积不少于20平方米，可与儿童保健办公室共用。</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无妇女保健办公室的扣除全部分值，有办公室但面积不符合要求的扣2分。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41" w:type="dxa"/>
            <w:vMerge w:val="continue"/>
            <w:tcBorders>
              <w:left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宣教区域（5分）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面积不少于20平方米，可与其他宣教室共用。</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面积不少于30平方米，可与其他宣教室共用。</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无宣教室的扣除全部分值，有宣教室但面积不符合要求的扣2分。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1" w:type="dxa"/>
            <w:vMerge w:val="continue"/>
            <w:tcBorders>
              <w:left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面积不少于20平方米，有条件的社区独立设置。</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面积不少于30平方米，有条件的社区独立设置。</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无分诊、候诊区域的扣除全部分值；有分诊、候诊区域但面积不符合要求的扣2分。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74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二、设备配置（50分）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孕期保健室（10分）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1.建册设备：桌椅，符合妇幼保健信息系统使用要求的电脑及上网设备，打印机等相关办公用品。</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基本检查设备：妇产科专用检查床（检查床周围应设屏障，确保孕妇隐私）、腹围软尺、器械台（桌）、蛇皮灯、紫外线消毒灯、冷暖空调、听诊器、血压计、体重磅秤、产后访视包（箱）、妇科检查一次性物品、手消设备等。</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3.急救设备：氧气瓶（袋）、开口器、舌钳等。</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4.线上建册、咨询与诊疗设备：手机、电脑、摄像头、网络设备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1.建册设备：同A级。</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2.基本检查设备：多普勒胎心、听诊器，其他同A级。</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3.急救设备：同A级。</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4.线上建册、咨询与诊疗设备：同A级。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1.不备有符合妇幼保健信息系统使用要求的电脑及上网设备扣5分。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2.各项设施设备少一项扣1分，扣完为止。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妇女体检室（10分）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符合北京市妇女常见疾病防治工作管理与技术规范要求。</w:t>
            </w:r>
          </w:p>
          <w:p>
            <w:pPr>
              <w:widowControl/>
              <w:snapToGrid w:val="0"/>
              <w:rPr>
                <w:rFonts w:hint="eastAsia" w:ascii="仿宋_GB2312" w:hAnsi="仿宋_GB2312" w:eastAsia="仿宋_GB2312" w:cs="仿宋_GB2312"/>
                <w:kern w:val="0"/>
                <w:sz w:val="22"/>
                <w:szCs w:val="22"/>
              </w:rPr>
            </w:pP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符合北京市妇女常见疾病防治工作管理与技术规范要求,符合北京市户籍适龄妇女宫颈癌、乳腺癌筛查管理及技术手册要求。</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咨询室（10分）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应配备桌椅、模型、宣传资料、避孕药具展示柜等。</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设置咨询电话、电脑及相应咨询软件等，其他同A级。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设置咨询电话、电脑及相应咨询软件等，若开展营养及心理状况基本测评和指导，应设置相应的测评设备、软件、模具等，其他同A级。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一项不符合基本标准扣2分，扣完为止。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乳腺检查室（2.5分）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具备条件的可设立。</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可共用，具备通风、消毒、洗手、照明等条件，保护妇女隐私。环境清洁，流程合理，符合院感管理要求。</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通风、消毒等不符合要求每项扣0.5分，不符合院感要求扣1分。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超声检查室（2.5分）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具备条件的可设立。</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可共用，应安静、整洁、安全,并配有暗色窗帘。符合院感管理要求。</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亮度等不符合要求每项扣0.5分，不符合院感要求扣1分。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妇女保健办公室（5分）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办公桌、办公椅、符合妇幼保健信息系统使用要求的电脑及上网设备、外线电话、文件柜（带锁）、打印机、物品柜、传真机、移动硬盘等。</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人均1台电脑，其他同A级。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人均1台可上网电脑，其他同A级。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40"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宣教区域（5分）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避孕药具展示柜、宣传资料架及宣传材料，其中必须具有引导孕妇分级就诊、孕产期规范保健、妇女病防治、避孕节育咨询指导及国家基本公共卫生和重大公共卫生服务项目的相关宣传材料。</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配有电视机、多媒体教学设备、直观教具（如：宣传版面、挂图、书报、杂志等），其他同A级。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配有电视机、多媒体教学设备、直观教具（如：宣传版面、挂图、书报、杂志、模型等），其他同A级。</w:t>
            </w:r>
          </w:p>
        </w:tc>
        <w:tc>
          <w:tcPr>
            <w:tcW w:w="4385"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一项不符合基本标准扣1分，扣完为止。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40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座椅数量视人数而定，有健康宣传资料和展板、明确的诊室标识及体检流程图。</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有分诊台，其他同A级。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有分诊叫号系统，其他同AA级。</w:t>
            </w:r>
          </w:p>
        </w:tc>
        <w:tc>
          <w:tcPr>
            <w:tcW w:w="4385"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各项设备少一项或不符合要求扣1分，扣完为止。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967" w:hRule="atLeast"/>
          <w:jc w:val="center"/>
        </w:trPr>
        <w:tc>
          <w:tcPr>
            <w:tcW w:w="74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三、人员配备（60分）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人员数量（30分）</w:t>
            </w:r>
          </w:p>
        </w:tc>
        <w:tc>
          <w:tcPr>
            <w:tcW w:w="31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应按辖区服务人口比例的1/5000配备专职妇幼保健人员。未达到1/5000的，工作人员不少于3人，人员与辖区服务人口数量相匹配，其中专职保健人员至少1名。</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应按辖区服务人口比例的1/5000配备专职妇幼保健人员。未达到1/5000的，工作人员不少于3人，人员与辖区服务人口数量相匹配，其中专职保健人员至少2名。</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应按辖区服务人口比例的1/5000配备专职妇幼保健人员。未达到1/5000的，工作人员不少于4人，与辖区服务人口数量相匹配，专职保健人员不少于3名。</w:t>
            </w:r>
          </w:p>
        </w:tc>
        <w:tc>
          <w:tcPr>
            <w:tcW w:w="4385"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1.工作人员未达到要求的扣15分。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2.专职人员不足的扣15分。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9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人员资质（30分）</w:t>
            </w:r>
          </w:p>
        </w:tc>
        <w:tc>
          <w:tcPr>
            <w:tcW w:w="310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50%以上妇女保健工作人员为公共卫生、妇女保健专业或临床执业医师或执业助理医师，并从事妇女保健工作3年以上。所有人员必须参加市、区卫生健康行政部门组织的母婴保健法律法规及相关业务规范培训并考核合格。</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应至少有1名妇产科专业背景的医师，其他同A级。</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其中至少1名具备中级以上的职称，从事妇科检查人员必须具备执业医师资质。其他同A级。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至少70%以上人员为妇女保健专业医师或妇产科专业医师，至少1名具备中级以上的职称，1名具备副高级以上职称。从事妇产科检查的人员必须具备执业医师资质。其他同A级。</w:t>
            </w:r>
          </w:p>
        </w:tc>
        <w:tc>
          <w:tcPr>
            <w:tcW w:w="4385"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1.医师资格不满足要求者扣15分。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2.无中级职称以上人员：AA级扣5分；无高级职称以上人员：AAA级扣5分。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3.未参加规范培训并考合格核，1人扣5分，扣完为止。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354" w:hRule="atLeast"/>
          <w:jc w:val="center"/>
        </w:trPr>
        <w:tc>
          <w:tcPr>
            <w:tcW w:w="74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四、信息管理（50分）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硬件配置（10分）</w:t>
            </w:r>
          </w:p>
        </w:tc>
        <w:tc>
          <w:tcPr>
            <w:tcW w:w="3101"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配备妇幼信息系统硬件及网络配置，配备扫码枪、二代身份证读卡器等相关设备。</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4385"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85"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信息安全（10分）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有信息安全制度并落实。</w:t>
            </w:r>
          </w:p>
        </w:tc>
        <w:tc>
          <w:tcPr>
            <w:tcW w:w="4385"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无信息安全制度扣5分，落实不到位扣5分。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信息录入（20分）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按相关业务管理要求及时完成信息录入、上报、整理、归档等工作，并有信息质控记录，保证信息的及时性、完整性和准确性。</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每月有信息安全质控记录，其他同A级。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信息时时录入，每月有信息安全质控记录，其他同AA级。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1.核实资料和妇幼信息系统数据。</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2.信息录入、上报、整理、归档、质控其中一项不符合要求扣8分。</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3.AA级无信息安全质控记录扣5分，AAA级孕产妇保健信息不能时时录入扣5分。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信息管理（10分）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按业务模块设专人管理妇幼信息系统。</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设有业务管理人员，其他同A级。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A级：无网管人员扣10分。</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AA级和AAA级：无网管人员扣10分，无业务模块管理人员扣5分。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41"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五、制度规范（40分）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管理制度（10分）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建立各项管理制度及工作制度：包括科室工作制度、人员岗位责任制、质量管理、考核、评价制度、信息管理制度、各项技术操作规程等。</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建立与已开展门诊相关的管理制度与诊疗流程，其他同A级。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建立与已开展门诊相关的管理制度及诊疗流程且执行情况良好，其他同A级。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查看制度、流程等，缺少一项内容扣2分，扣完为止。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工作规范（5分）</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孕产妇保健管理工作规范；</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基本公共卫生服务管理工作规范。</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83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北京市妇女常见疾病防治工作管理与技术规范,北京市户籍适龄妇女宫颈癌、乳腺癌筛查管理及技术手册，其他同A级。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查看相关制度并考核相关内容，缺少一项内容扣2分，考核一人不合格扣2分，扣完为止。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培训制度（15分）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定期组织相关工作人员进行各项制度及规范的培训，尤其对更换工作岗位人员应加强培训，并有培训记录。（7.5分）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缺少孕产妇保健管理规范、信息管理培训及其他各项工作规范培训，一项扣2分，扣完为止。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按要求参加市、区两级组织的相关业务培训（实践操作规范化培训），并有培训记录，若一人以上参与建册及高危管理工作，需做二次培训，且有培训记录。（7.5分）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缺少孕产妇保健管理规范、信息管理培训及其他各项工作规范培训，一项扣2分，扣完为止。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计划与总结（10分）</w:t>
            </w: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每年制定工作计划，并于年终进行工作总结。</w:t>
            </w:r>
          </w:p>
        </w:tc>
        <w:tc>
          <w:tcPr>
            <w:tcW w:w="3503"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能根据前一年度存在问题制定工作计划，并在总结中对不能完成的工作分析原因，其他同A级。</w:t>
            </w:r>
          </w:p>
        </w:tc>
        <w:tc>
          <w:tcPr>
            <w:tcW w:w="277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本年度有《妇女保健专项工作总结》及《数据分析报告》，其他同AA级。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计划、总结或数据分析</w:t>
            </w:r>
            <w:r>
              <w:rPr>
                <w:rFonts w:hint="eastAsia" w:ascii="仿宋_GB2312" w:hAnsi="仿宋_GB2312" w:eastAsia="仿宋_GB2312" w:cs="仿宋_GB2312"/>
                <w:kern w:val="0"/>
                <w:sz w:val="22"/>
                <w:szCs w:val="22"/>
                <w:lang w:eastAsia="zh-CN"/>
              </w:rPr>
              <w:t>不齐全或</w:t>
            </w:r>
            <w:r>
              <w:rPr>
                <w:rFonts w:hint="eastAsia" w:ascii="仿宋_GB2312" w:hAnsi="仿宋_GB2312" w:eastAsia="仿宋_GB2312" w:cs="仿宋_GB2312"/>
                <w:kern w:val="0"/>
                <w:sz w:val="22"/>
                <w:szCs w:val="22"/>
              </w:rPr>
              <w:t>缺乏针对性各扣5分，扣完为止。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41"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六、服务内容(80分)</w:t>
            </w:r>
          </w:p>
        </w:tc>
        <w:tc>
          <w:tcPr>
            <w:tcW w:w="1235" w:type="dxa"/>
            <w:vMerge w:val="restart"/>
            <w:tcBorders>
              <w:top w:val="single" w:color="auto" w:sz="4" w:space="0"/>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个体化服务部分</w:t>
            </w:r>
          </w:p>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（30分）</w:t>
            </w: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为孕产妇建立保健手册，可提供线上建册服务。</w:t>
            </w:r>
            <w:r>
              <w:rPr>
                <w:rFonts w:hint="eastAsia" w:ascii="仿宋_GB2312" w:hAnsi="仿宋_GB2312" w:eastAsia="仿宋_GB2312" w:cs="仿宋_GB2312"/>
                <w:kern w:val="0"/>
                <w:sz w:val="22"/>
                <w:szCs w:val="22"/>
              </w:rPr>
              <w:t>（10分）</w:t>
            </w:r>
          </w:p>
        </w:tc>
        <w:tc>
          <w:tcPr>
            <w:tcW w:w="3503"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为孕产妇建立保健手册，可提供线上建册服务，</w:t>
            </w:r>
            <w:r>
              <w:rPr>
                <w:rFonts w:hint="eastAsia" w:ascii="仿宋_GB2312" w:hAnsi="仿宋_GB2312" w:eastAsia="仿宋_GB2312" w:cs="仿宋_GB2312"/>
                <w:kern w:val="0"/>
                <w:sz w:val="22"/>
                <w:szCs w:val="22"/>
              </w:rPr>
              <w:t>具备条件的可开展基本产前检查</w:t>
            </w:r>
            <w:r>
              <w:rPr>
                <w:rFonts w:hint="eastAsia" w:ascii="仿宋_GB2312" w:hAnsi="仿宋_GB2312" w:eastAsia="仿宋_GB2312" w:cs="仿宋_GB2312"/>
                <w:sz w:val="22"/>
                <w:szCs w:val="22"/>
              </w:rPr>
              <w:t>。</w:t>
            </w:r>
            <w:r>
              <w:rPr>
                <w:rFonts w:hint="eastAsia" w:ascii="仿宋_GB2312" w:hAnsi="仿宋_GB2312" w:eastAsia="仿宋_GB2312" w:cs="仿宋_GB2312"/>
                <w:kern w:val="0"/>
                <w:sz w:val="22"/>
                <w:szCs w:val="22"/>
              </w:rPr>
              <w:t>（10分）</w:t>
            </w:r>
          </w:p>
        </w:tc>
        <w:tc>
          <w:tcPr>
            <w:tcW w:w="277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为孕产妇建立保健手册，可提供线上建册服务，</w:t>
            </w:r>
            <w:r>
              <w:rPr>
                <w:rFonts w:hint="eastAsia" w:ascii="仿宋_GB2312" w:hAnsi="仿宋_GB2312" w:eastAsia="仿宋_GB2312" w:cs="仿宋_GB2312"/>
                <w:kern w:val="0"/>
                <w:sz w:val="22"/>
                <w:szCs w:val="22"/>
              </w:rPr>
              <w:t>具备条件的可开展基本产前检查、产后保健服务和线上预约服务</w:t>
            </w:r>
            <w:r>
              <w:rPr>
                <w:rFonts w:hint="eastAsia" w:ascii="仿宋_GB2312" w:hAnsi="仿宋_GB2312" w:eastAsia="仿宋_GB2312" w:cs="仿宋_GB2312"/>
                <w:sz w:val="22"/>
                <w:szCs w:val="22"/>
              </w:rPr>
              <w:t>。</w:t>
            </w:r>
            <w:r>
              <w:rPr>
                <w:rFonts w:hint="eastAsia" w:ascii="仿宋_GB2312" w:hAnsi="仿宋_GB2312" w:eastAsia="仿宋_GB2312" w:cs="仿宋_GB2312"/>
                <w:kern w:val="0"/>
                <w:sz w:val="22"/>
                <w:szCs w:val="22"/>
              </w:rPr>
              <w:t>（10分）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开展妇女常见病普查、妇女保健服务。（5分）</w:t>
            </w:r>
          </w:p>
        </w:tc>
        <w:tc>
          <w:tcPr>
            <w:tcW w:w="3503"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开展妇女常见病普查、妇女保健服务；具备条件的可开展宫颈癌、乳腺癌筛查。（5分）</w:t>
            </w:r>
          </w:p>
        </w:tc>
        <w:tc>
          <w:tcPr>
            <w:tcW w:w="277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开展妇女病普查、青少年、更年期等妇女保健服务；具备条件的可开展宫颈癌与乳腺癌筛查、营养及心理状况基本测评和指导、产后保健服务、线上预约服务。（5分）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开展妇女常见病普查、两癌筛查、避孕节育、计划生育咨询等指导和宣传教育。（5分）</w:t>
            </w:r>
          </w:p>
        </w:tc>
        <w:tc>
          <w:tcPr>
            <w:tcW w:w="3503"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同A级。（5分）</w:t>
            </w:r>
          </w:p>
        </w:tc>
        <w:tc>
          <w:tcPr>
            <w:tcW w:w="277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提供特色服务（10分）</w:t>
            </w:r>
          </w:p>
        </w:tc>
        <w:tc>
          <w:tcPr>
            <w:tcW w:w="3503"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提供远程会诊、互联网诊疗等线上服务；提供盆底康复、运动指导等特色服务，其他同A级（10分）</w:t>
            </w:r>
          </w:p>
        </w:tc>
        <w:tc>
          <w:tcPr>
            <w:tcW w:w="277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多科室合作开展孕产保健、妇女保健等特色服务，其他同AA级（10分）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公共卫生管理部分</w:t>
            </w:r>
          </w:p>
          <w:p>
            <w:pP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落实北京市孕产期保健系统管理规范，制定辖区孕产期保健管理实施细则。（5分）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查阅相关文件、制度。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按照要求完成公共卫生服务项目：北京市孕产妇产前检查和产后访视补助项目、增补叶酸、妇女病普查和两癌筛查项目。（10分）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查看相关文件、制度、补助存档，一项不合格扣1分。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对孕期高危因素初筛情况及孕期高危因素初筛追访情况进行抽查，正确率达到95%以上。（5分）</w:t>
            </w:r>
          </w:p>
        </w:tc>
        <w:tc>
          <w:tcPr>
            <w:tcW w:w="3279"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对高危因素进行监测、管理，抽查正确率达到98%以上,其他同A级。（5分）</w:t>
            </w:r>
          </w:p>
        </w:tc>
        <w:tc>
          <w:tcPr>
            <w:tcW w:w="298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对高危因素进行监测、管理，抽查正确率达到99%以上,其他同A级。（5分）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查看资料和妇幼信息系统数据，结合电话随访形式核实工作开展情况。未达到本级别抽查正确率要求扣5分。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孕妇进行孕期高危因素初筛，初筛率达到95%以上，初筛表社区存档，对筛查结果为“妊娠合并或并发疾病”栏孕妇及时进行高危追访，追访率达到95%以上，并做追访登记，若病情严重，需及时报送区妇幼保健院。（10分）</w:t>
            </w:r>
          </w:p>
        </w:tc>
        <w:tc>
          <w:tcPr>
            <w:tcW w:w="327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04" w:lineRule="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对孕妇进行孕期高危因素初筛，初筛率达到97%以上，初筛表社区存档，对筛查结果为“妊娠合并或并发疾病”栏孕妇及时进行高危追访，追访率达到97%以上并做追访登记，若病情严重，需及时报送区妇幼保健院。（10分）</w:t>
            </w:r>
          </w:p>
        </w:tc>
        <w:tc>
          <w:tcPr>
            <w:tcW w:w="298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04" w:lineRule="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对孕妇进行孕期高危因素初筛，初筛率达到99%，初筛表社区存档，对筛查结果为“妊娠合并或并发疾病”栏孕妇及时进行高危追访，追访率达到99%，并做追访登记，若病情严重，需及时报送区妇幼保健院。（10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查看妇幼信息系统，</w:t>
            </w:r>
            <w:r>
              <w:rPr>
                <w:rFonts w:hint="eastAsia" w:ascii="仿宋_GB2312" w:hAnsi="仿宋_GB2312" w:eastAsia="仿宋_GB2312" w:cs="仿宋_GB2312"/>
                <w:sz w:val="22"/>
                <w:szCs w:val="22"/>
              </w:rPr>
              <w:t>发</w:t>
            </w:r>
            <w:r>
              <w:rPr>
                <w:rFonts w:hint="eastAsia" w:ascii="仿宋_GB2312" w:hAnsi="仿宋_GB2312" w:eastAsia="仿宋_GB2312" w:cs="仿宋_GB2312"/>
                <w:kern w:val="0"/>
                <w:sz w:val="22"/>
                <w:szCs w:val="22"/>
              </w:rPr>
              <w:t>现一例高危“妊娠合并或并发疾病”孕妇未追访扣2分，不宜妊娠未及时报送区妇幼保健院扣5分。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产后访视：按照国家基本公共服务要求提供产后访视服务。对产后访视进行监测、管理，抽查正确率达到90%以上。（5分）</w:t>
            </w:r>
          </w:p>
        </w:tc>
        <w:tc>
          <w:tcPr>
            <w:tcW w:w="329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对产后访视进行监测、管理，抽查正确率达到95%以上,其他同A级。（5分）</w:t>
            </w:r>
          </w:p>
        </w:tc>
        <w:tc>
          <w:tcPr>
            <w:tcW w:w="298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对产后访视进行监测、管理，抽查正确率达到98%以上,其他同A级。（5分）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查看资料和妇幼信息系统数据，结合电话随访形式核实工作开展情况。未达到本级别抽查正确率要求按比例扣分。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完成北京市围产保健管理登记册及北京市高危孕产妇管理登记册（地段）的填写、对录入质量及围产保健登记卡的监测、管理，正确率达到90%以上。（5分）</w:t>
            </w:r>
          </w:p>
        </w:tc>
        <w:tc>
          <w:tcPr>
            <w:tcW w:w="3292"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抽查正确率达到95%以上。（5分）</w:t>
            </w:r>
          </w:p>
        </w:tc>
        <w:tc>
          <w:tcPr>
            <w:tcW w:w="2981"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抽查正确率达到98%以上。（5分）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查看资料和妇幼信息系统数据，结合电话随访形式核实工作开展情况。未达到本级别抽查正确率要求按比例扣分。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掌握辖区内适龄妇女人口底数，对育龄妇女进行登记。</w:t>
            </w:r>
            <w:r>
              <w:rPr>
                <w:rFonts w:hint="eastAsia" w:ascii="仿宋_GB2312" w:hAnsi="仿宋_GB2312" w:eastAsia="仿宋_GB2312" w:cs="仿宋_GB2312"/>
                <w:kern w:val="0"/>
                <w:sz w:val="22"/>
                <w:szCs w:val="22"/>
              </w:rPr>
              <w:t>（2.5分）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对两癌筛查工作中检出异常及可疑病例进行追访，并将结果信息及时录入。（2.5分）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4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对辖区内妇女各期的健康教育和指导工作，定期开展健康大课堂工作，每年≥2次，形式包括社区大讲堂、线上讲堂、社区大型宣传活动，每次参与人数≥50人，并进行效果评估。完成对辖区妇女健康教育和指导工作。（2.5分）</w:t>
            </w:r>
          </w:p>
        </w:tc>
        <w:tc>
          <w:tcPr>
            <w:tcW w:w="3507"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对辖区内妇女各期的健康教育和指导工作，定期开展健康大课堂工作，每年≥4次，形式包括社区大讲堂、线上讲堂、社区大型宣传活动，每次参与人数≥50人，并进行效果评估。完成对辖区妇女健康教育和指导工作。（2.5分）</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围绕母乳喂养、孕期保健、产后保健、营养管理、心理保健、出生缺陷防控、两癌筛查、避孕节育、青少年保健、更年期保健等主题对特定人群开展有针对性的健康教育工作，每年≥6次，宣传形式包括社区大讲堂、线上讲堂、社区大型宣传活动，每次参与人数≥50人，并进行效果评估。其他同AA级。（2.5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开展辖区计划生育药具管理。（2.5分）</w:t>
            </w:r>
          </w:p>
        </w:tc>
        <w:tc>
          <w:tcPr>
            <w:tcW w:w="3507"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开展辖区计划生育药具管理。（2.5分）</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开展辖区计划生育药具管理并进行总结。（2.5分）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4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七、效果指标（30分）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孕产妇系统服务率（</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达到</w:t>
            </w:r>
            <w:r>
              <w:rPr>
                <w:rFonts w:hint="eastAsia" w:ascii="仿宋_GB2312" w:hAnsi="仿宋_GB2312" w:eastAsia="仿宋_GB2312" w:cs="仿宋_GB2312"/>
                <w:kern w:val="0"/>
                <w:sz w:val="22"/>
                <w:szCs w:val="22"/>
                <w:highlight w:val="none"/>
                <w:lang w:val="en-US" w:eastAsia="zh-CN"/>
              </w:rPr>
              <w:t>北京市基本公共卫生服务工作要求</w:t>
            </w:r>
            <w:r>
              <w:rPr>
                <w:rFonts w:hint="eastAsia" w:ascii="仿宋_GB2312" w:hAnsi="仿宋_GB2312" w:eastAsia="仿宋_GB2312" w:cs="仿宋_GB2312"/>
                <w:kern w:val="0"/>
                <w:sz w:val="22"/>
                <w:szCs w:val="22"/>
                <w:highlight w:val="none"/>
              </w:rPr>
              <w:t>。</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查看前一年年报数据：</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低于标准5%以内，扣</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分。低于标准5%以上，扣</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个体化服务管理率（</w:t>
            </w:r>
            <w:r>
              <w:rPr>
                <w:rFonts w:hint="eastAsia" w:ascii="仿宋_GB2312" w:hAnsi="仿宋_GB2312" w:eastAsia="仿宋_GB2312" w:cs="仿宋_GB2312"/>
                <w:kern w:val="0"/>
                <w:sz w:val="22"/>
                <w:szCs w:val="22"/>
                <w:highlight w:val="none"/>
                <w:lang w:eastAsia="zh-CN"/>
              </w:rPr>
              <w:t>5</w:t>
            </w:r>
            <w:r>
              <w:rPr>
                <w:rFonts w:hint="eastAsia" w:ascii="仿宋_GB2312" w:hAnsi="仿宋_GB2312" w:eastAsia="仿宋_GB2312" w:cs="仿宋_GB2312"/>
                <w:kern w:val="0"/>
                <w:sz w:val="22"/>
                <w:szCs w:val="22"/>
                <w:highlight w:val="none"/>
              </w:rPr>
              <w:t>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妇女常见病普查率/两癌筛查覆盖面（针对开展两癌筛查服务机构）符合北京市妇女儿童发展规划要求</w:t>
            </w:r>
            <w:r>
              <w:rPr>
                <w:rFonts w:hint="eastAsia" w:ascii="仿宋_GB2312" w:hAnsi="仿宋_GB2312" w:eastAsia="仿宋_GB2312" w:cs="仿宋_GB2312"/>
                <w:kern w:val="0"/>
                <w:sz w:val="22"/>
                <w:szCs w:val="22"/>
                <w:highlight w:val="none"/>
                <w:lang w:eastAsia="zh-CN"/>
              </w:rPr>
              <w:t>，</w:t>
            </w:r>
            <w:r>
              <w:rPr>
                <w:rFonts w:hint="eastAsia" w:ascii="仿宋_GB2312" w:hAnsi="仿宋_GB2312" w:eastAsia="仿宋_GB2312" w:cs="仿宋_GB2312"/>
                <w:kern w:val="0"/>
                <w:sz w:val="22"/>
                <w:szCs w:val="22"/>
                <w:highlight w:val="none"/>
              </w:rPr>
              <w:t>孕产期营养干预、运动指导、心理咨询等个性化服务人数比例≥10%。</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查看前一年年报数据或现场查看：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达不到目标要求按比例扣分。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其他公共卫生项目（</w:t>
            </w:r>
            <w:r>
              <w:rPr>
                <w:rFonts w:hint="eastAsia" w:ascii="仿宋_GB2312" w:hAnsi="仿宋_GB2312" w:eastAsia="仿宋_GB2312" w:cs="仿宋_GB2312"/>
                <w:kern w:val="0"/>
                <w:sz w:val="22"/>
                <w:szCs w:val="22"/>
                <w:lang w:val="en-US" w:eastAsia="zh-CN"/>
              </w:rPr>
              <w:t>5</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完成增补叶酸等基本公共卫生服务项目任务指标。</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查看档案资料及信息系统，未达到基本公共卫生服务项目要求完成指标1项扣2分，扣完为止。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质量控制（</w:t>
            </w:r>
            <w:r>
              <w:rPr>
                <w:rFonts w:hint="eastAsia" w:ascii="仿宋_GB2312" w:hAnsi="仿宋_GB2312" w:eastAsia="仿宋_GB2312" w:cs="仿宋_GB2312"/>
                <w:kern w:val="0"/>
                <w:sz w:val="22"/>
                <w:szCs w:val="22"/>
                <w:lang w:val="en-US" w:eastAsia="zh-CN"/>
              </w:rPr>
              <w:t>6</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按相关专业业务管理要求定期完成工作质量自查，并撰写自查报告或总结。（</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无自查制度扣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档案、资料按相关专业业务管理要求备齐，接受上级机构的质量检查和督导管理。（</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无质量督导记录制度扣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满意度（</w:t>
            </w:r>
            <w:r>
              <w:rPr>
                <w:rFonts w:hint="eastAsia" w:ascii="仿宋_GB2312" w:hAnsi="仿宋_GB2312" w:eastAsia="仿宋_GB2312" w:cs="仿宋_GB2312"/>
                <w:kern w:val="0"/>
                <w:sz w:val="22"/>
                <w:szCs w:val="22"/>
                <w:lang w:val="en-US" w:eastAsia="zh-CN"/>
              </w:rPr>
              <w:t>6</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辖区居民对基本公共卫生服务项目有关妇女保健知识知晓程度达到85%以上，对辖区妇女保健服务满意度达到80%以上。</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现场或电话核实：</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调查居民20人，知识知晓率不达标扣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分，满意度不达标扣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6" w:hRule="atLeast"/>
          <w:jc w:val="center"/>
        </w:trPr>
        <w:tc>
          <w:tcPr>
            <w:tcW w:w="741" w:type="dxa"/>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八、档案管理（10分）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基本档案（10分）</w:t>
            </w:r>
          </w:p>
        </w:tc>
        <w:tc>
          <w:tcPr>
            <w:tcW w:w="283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管理档案项目齐全，内容完整，条理清晰。</w:t>
            </w:r>
          </w:p>
        </w:tc>
        <w:tc>
          <w:tcPr>
            <w:tcW w:w="350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设专人管理档案，同A级。</w:t>
            </w:r>
          </w:p>
        </w:tc>
        <w:tc>
          <w:tcPr>
            <w:tcW w:w="2742" w:type="dxa"/>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档案按相关专业业务管理要求分类归档，其他同AA级。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A级档案项目不全，内容欠完整，条理不清晰，每份每项扣2分，扣完为止。</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AA级无专人管理扣5分，其他同A级。</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AAA级档案未按专业业务管理要求分类归档扣5分，其他同A级。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4" w:hRule="atLeast"/>
          <w:jc w:val="center"/>
        </w:trPr>
        <w:tc>
          <w:tcPr>
            <w:tcW w:w="741" w:type="dxa"/>
            <w:tcBorders>
              <w:top w:val="single" w:color="auto" w:sz="4" w:space="0"/>
              <w:left w:val="single" w:color="auto" w:sz="4" w:space="0"/>
              <w:bottom w:val="single" w:color="auto" w:sz="4" w:space="0"/>
              <w:right w:val="single" w:color="auto" w:sz="4" w:space="0"/>
            </w:tcBorders>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*九、基本技能（150分）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基本技能（150分）</w:t>
            </w:r>
          </w:p>
        </w:tc>
        <w:tc>
          <w:tcPr>
            <w:tcW w:w="283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1.掌握孕产期保健的基本知识，掌握高危因素的分级要求，具有指导孕妇分级就诊的能力。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2.掌握出生缺陷防治宣传知识，具有指导育龄妇女增补叶酸的能力。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3.掌握母乳喂养及新生儿护理相关知识，并具有相应的咨询、指导能力。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4.掌握妇女常见病防治等知识，具有健康咨询和指导的能力。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5.具有高危因素初筛的能力。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6.具有产后访视的能力。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7.具有避孕节育咨询指导能力。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8.具有计算机使用能力，熟练掌握北京市妇幼保健信息系统相关模块的使用。</w:t>
            </w:r>
          </w:p>
        </w:tc>
        <w:tc>
          <w:tcPr>
            <w:tcW w:w="350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1.从事妇科检查人员需要具有基本的妇科查体能力及处理妇科常见病（妇女病防治）的能力。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2.计划生育服务人员具备避孕节育咨询指导能力及节育手术并发症识别转诊能力。其他同A级。</w:t>
            </w:r>
          </w:p>
        </w:tc>
        <w:tc>
          <w:tcPr>
            <w:tcW w:w="2742" w:type="dxa"/>
            <w:tcBorders>
              <w:top w:val="single" w:color="auto" w:sz="4" w:space="0"/>
              <w:left w:val="single" w:color="auto" w:sz="4" w:space="0"/>
              <w:bottom w:val="single" w:color="auto" w:sz="4" w:space="0"/>
              <w:right w:val="single" w:color="auto" w:sz="4" w:space="0"/>
            </w:tcBorders>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1.从事妇科检查人员具有基本的妇科查体能力、处理妇科常见病能力及妇女病防治（两癌筛查）能力。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2.从事孕产期检查的人员应具有产前常规检查（测量宫高、腹围、听胎心等）能力。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3.从事计划生育服务的人员应具备避孕节育咨询指导、高危节育手术识别转诊及节育手术并发症识别转诊能力。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4.从事孕产期营养指导人员应掌握基本营养知识、熟悉孕产期各阶段营养需求，具有膳食指导的能力。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5.从事孕产期心理指导工作的人员应了解孕产期心理变化的特点，并具有进行心理测测评的能力。其他同AA级。</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基本得分：</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所有参加考核人员的平均分，理论考核不及格者，每人次扣20分。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52" w:type="dxa"/>
            <w:gridSpan w:val="15"/>
            <w:tcBorders>
              <w:top w:val="single" w:color="auto" w:sz="4" w:space="0"/>
              <w:left w:val="single" w:color="auto" w:sz="4" w:space="0"/>
              <w:bottom w:val="single" w:color="auto" w:sz="4" w:space="0"/>
              <w:right w:val="single" w:color="auto" w:sz="4" w:space="0"/>
            </w:tcBorders>
            <w:vAlign w:val="center"/>
          </w:tcPr>
          <w:p>
            <w:pPr>
              <w:widowControl/>
              <w:snapToGrid w:val="0"/>
              <w:spacing w:line="19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备注：1.带*者为核心项目，核心项目满分150分，A级通过标准为110分，AA级通过标准为120分，AAA级通过标准为130分。</w:t>
            </w:r>
          </w:p>
          <w:p>
            <w:pPr>
              <w:widowControl/>
              <w:snapToGrid w:val="0"/>
              <w:spacing w:line="192" w:lineRule="auto"/>
              <w:ind w:firstLine="660" w:firstLineChars="30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2.通过标准：总分达到400分，并且核心项目达到各级标准。</w:t>
            </w:r>
          </w:p>
          <w:p>
            <w:pPr>
              <w:widowControl/>
              <w:snapToGrid w:val="0"/>
              <w:spacing w:line="192" w:lineRule="auto"/>
              <w:ind w:firstLine="660" w:firstLineChars="30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3.标准中未涉及的情况参考专业规范执行。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A5B47"/>
    <w:rsid w:val="38AA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2021-11-11T06:32:00Z</dcterms:created>
  <dc:creator>wyn</dc:creator>
  <cp:lastModifiedBy>wyn</cp:lastModifiedBy>
  <dcterms:modified xsi:type="dcterms:W3CDTF">2021-11-11T06:33:16Z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AAB3C3AAB8E14DA0BCEA273943CFF0B2</vt:lpwstr>
  </property>
</Properties>
</file>