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rPr>
      </w:pPr>
      <w:r>
        <w:rPr>
          <w:rFonts w:hint="eastAsia" w:ascii="黑体" w:hAnsi="黑体" w:eastAsia="黑体" w:cs="黑体"/>
          <w:sz w:val="32"/>
        </w:rPr>
        <w:t>附件2</w:t>
      </w:r>
    </w:p>
    <w:p>
      <w:pPr>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北京市儿童保健规范化门诊标准（2021版）</w:t>
      </w:r>
    </w:p>
    <w:bookmarkEnd w:id="1"/>
    <w:tbl>
      <w:tblPr>
        <w:tblStyle w:val="2"/>
        <w:tblW w:w="150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0"/>
        <w:gridCol w:w="1325"/>
        <w:gridCol w:w="3681"/>
        <w:gridCol w:w="369"/>
        <w:gridCol w:w="2039"/>
        <w:gridCol w:w="359"/>
        <w:gridCol w:w="2049"/>
        <w:gridCol w:w="43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860" w:type="dxa"/>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一级指标</w:t>
            </w:r>
          </w:p>
        </w:tc>
        <w:tc>
          <w:tcPr>
            <w:tcW w:w="1325" w:type="dxa"/>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指标内容</w:t>
            </w:r>
          </w:p>
        </w:tc>
        <w:tc>
          <w:tcPr>
            <w:tcW w:w="3681" w:type="dxa"/>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A级</w:t>
            </w:r>
          </w:p>
        </w:tc>
        <w:tc>
          <w:tcPr>
            <w:tcW w:w="2408" w:type="dxa"/>
            <w:gridSpan w:val="2"/>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AA级</w:t>
            </w:r>
          </w:p>
        </w:tc>
        <w:tc>
          <w:tcPr>
            <w:tcW w:w="2408" w:type="dxa"/>
            <w:gridSpan w:val="2"/>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AAA级</w:t>
            </w:r>
          </w:p>
        </w:tc>
        <w:tc>
          <w:tcPr>
            <w:tcW w:w="4334" w:type="dxa"/>
            <w:shd w:val="clear" w:color="000000" w:fill="D9D9D9"/>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评价办法与扣分标准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0"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一、房屋设施 (30分)</w:t>
            </w: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儿童体检室</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面积不少于15平方米。环境整洁、安静、布置温馨、流程合理、内有洗手池，与临床诊区相对独立。</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408" w:type="dxa"/>
            <w:gridSpan w:val="2"/>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2间，面积不少于20平方米，其他同A级。</w:t>
            </w:r>
          </w:p>
        </w:tc>
        <w:tc>
          <w:tcPr>
            <w:tcW w:w="4334" w:type="dxa"/>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1.无儿童体检室扣除全部分值，有体检室但面积或数量不符合要求的扣2分。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2.环境整洁、安静、布置温馨、流程合理、内有洗手池，一项不符合要求扣0.5分。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1"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五官保健诊室</w:t>
            </w:r>
            <w:r>
              <w:rPr>
                <w:rFonts w:hint="eastAsia" w:ascii="仿宋_GB2312" w:hAnsi="仿宋_GB2312" w:eastAsia="仿宋_GB2312" w:cs="仿宋_GB2312"/>
                <w:bCs/>
                <w:kern w:val="0"/>
                <w:sz w:val="22"/>
                <w:szCs w:val="22"/>
              </w:rPr>
              <w:t>（5分）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面积不少于15平方米。筛查房屋要求陈设简单，周围墙壁无镜子,应当安静隔音，远离电梯、超声等辐射干扰，与临床诊区相对独立，室内本底噪声≤45dB(A)。</w:t>
            </w:r>
          </w:p>
        </w:tc>
        <w:tc>
          <w:tcPr>
            <w:tcW w:w="4334" w:type="dxa"/>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1.无五官保健诊室扣除全部分值，有五官保健诊室但面积不符合要求的扣2分。</w:t>
            </w:r>
          </w:p>
          <w:p>
            <w:pPr>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2.筛查房屋室内本底噪声&gt;45 dB(A)扣2分。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3.陈设简单、墙壁无镜子、安静隔音、远离电梯、超声等辐射干扰，一项不符合要求扣0.5分。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9"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神经心理发育诊室</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面积不少于15平方米。环境整洁、安静、布置温馨、流程合理、内有洗手池，与临床诊区相对独立。</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有独立的神经心理发育诊室，其他同A级。</w:t>
            </w:r>
          </w:p>
        </w:tc>
        <w:tc>
          <w:tcPr>
            <w:tcW w:w="4334" w:type="dxa"/>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1.无神经心理发育诊室扣除全部分值，有神经心理发育诊室但面积不符合要求扣2分。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2.环境整洁、安静、布置温馨、流程合理、内有洗手池，一项不符合要求扣0.5分。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哺乳室</w:t>
            </w:r>
            <w:r>
              <w:rPr>
                <w:rFonts w:hint="eastAsia" w:ascii="仿宋_GB2312" w:hAnsi="仿宋_GB2312" w:eastAsia="仿宋_GB2312" w:cs="仿宋_GB2312"/>
                <w:bCs/>
                <w:kern w:val="0"/>
                <w:sz w:val="22"/>
                <w:szCs w:val="22"/>
              </w:rPr>
              <w:t>（5分）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面积不少于10平方米, 与临床诊区相对独立。指导牌醒目。</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无哺乳室扣除全部分值，有哺乳室但面积不符合要求扣1分，指导牌不醒目扣1分。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8"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儿童保健办公室</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面积不少于15平方米，可与妇女保健办公室共用。</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面积不少于20平方米，可与妇女保健办公室共用。</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无儿童保健办公室扣除全部分值，有办公室但面积不符合要求的扣1分。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宣教室</w:t>
            </w:r>
            <w:r>
              <w:rPr>
                <w:rFonts w:hint="eastAsia" w:ascii="仿宋_GB2312" w:hAnsi="仿宋_GB2312" w:eastAsia="仿宋_GB2312" w:cs="仿宋_GB2312"/>
                <w:bCs/>
                <w:kern w:val="0"/>
                <w:sz w:val="22"/>
                <w:szCs w:val="22"/>
              </w:rPr>
              <w:t>（2.5分）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面积不少于20平方米，可与其他宣教室共用。</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面积不少于30平方米，可与其他宣教室共用。</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无宣教室扣除全部分值，有宣教室但面积不符合要求的扣1分。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w:t>
            </w:r>
            <w:r>
              <w:rPr>
                <w:rFonts w:hint="eastAsia" w:ascii="仿宋_GB2312" w:hAnsi="仿宋_GB2312" w:eastAsia="仿宋_GB2312" w:cs="仿宋_GB2312"/>
                <w:bCs/>
                <w:kern w:val="0"/>
                <w:sz w:val="22"/>
                <w:szCs w:val="22"/>
              </w:rPr>
              <w:t>（2.5分）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面积不少于20平方米，有条件的机构可以独立设置。</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面积不少于30平方米，有条件的机构可以独立设置。</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面积不少于30平方米，有独立分诊、候诊区，有儿童游艺设备。</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1.无分诊、候诊区域的扣除全部分值；有分诊、候诊区域但面积不符合要求扣1分。</w:t>
            </w:r>
          </w:p>
          <w:p>
            <w:pPr>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2.AAA级分诊、候诊区域未独立设置的，扣1分。</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3.AAA级无儿童游艺设备扣0.5分。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7"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二、设备配置（50分）</w:t>
            </w: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儿童体检室</w:t>
            </w:r>
            <w:r>
              <w:rPr>
                <w:rFonts w:hint="eastAsia" w:ascii="仿宋_GB2312" w:hAnsi="仿宋_GB2312" w:eastAsia="仿宋_GB2312" w:cs="仿宋_GB2312"/>
                <w:bCs/>
                <w:kern w:val="0"/>
                <w:sz w:val="22"/>
                <w:szCs w:val="22"/>
              </w:rPr>
              <w:t>（10分）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诊查桌椅、儿童检查床、儿童体重秤、儿童量床、儿童身高计、软尺、体格测量评价表、听诊器、消毒压舌板、手电筒、口腔保健示教用品、新生儿访视包（箱）、手消设备</w:t>
            </w:r>
            <w:r>
              <w:rPr>
                <w:rFonts w:hint="eastAsia" w:ascii="仿宋_GB2312" w:hAnsi="仿宋_GB2312" w:eastAsia="仿宋_GB2312" w:cs="仿宋_GB2312"/>
                <w:kern w:val="0"/>
                <w:sz w:val="22"/>
                <w:szCs w:val="22"/>
                <w:lang w:val="en-US" w:eastAsia="zh-CN"/>
              </w:rPr>
              <w:t>等</w:t>
            </w:r>
            <w:r>
              <w:rPr>
                <w:rFonts w:hint="eastAsia" w:ascii="仿宋_GB2312" w:hAnsi="仿宋_GB2312" w:eastAsia="仿宋_GB2312" w:cs="仿宋_GB2312"/>
                <w:kern w:val="0"/>
                <w:sz w:val="22"/>
                <w:szCs w:val="22"/>
              </w:rPr>
              <w:t>。</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经皮测疸仪、儿童血压计、儿童营养测评软件/工具、带量食物模型，其他同A级。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各项设施设备少一项或不符合要求扣2分，扣完为止。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五官保健诊室</w:t>
            </w:r>
            <w:r>
              <w:rPr>
                <w:rFonts w:hint="eastAsia" w:ascii="仿宋_GB2312" w:hAnsi="仿宋_GB2312" w:eastAsia="仿宋_GB2312" w:cs="仿宋_GB2312"/>
                <w:bCs/>
                <w:kern w:val="0"/>
                <w:sz w:val="22"/>
                <w:szCs w:val="22"/>
              </w:rPr>
              <w:t>（10分）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便携式听力评估仪、国际标准视力表或对数视力表（灯箱）、指杆、遮眼勺、手电筒、红球（直径5cm左右）、手消设备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筛查性耳声发射仪、儿童图形视力表、视力筛选仪，其他同A级。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各项设备少一项或不符合要求扣5分，扣完为止。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神经心理发育诊室</w:t>
            </w:r>
            <w:r>
              <w:rPr>
                <w:rFonts w:hint="eastAsia" w:ascii="仿宋_GB2312" w:hAnsi="仿宋_GB2312" w:eastAsia="仿宋_GB2312" w:cs="仿宋_GB2312"/>
                <w:bCs/>
                <w:kern w:val="0"/>
                <w:sz w:val="22"/>
                <w:szCs w:val="22"/>
              </w:rPr>
              <w:t>（10分）</w:t>
            </w:r>
          </w:p>
        </w:tc>
        <w:tc>
          <w:tcPr>
            <w:tcW w:w="6089" w:type="dxa"/>
            <w:gridSpan w:val="3"/>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DDST测查桌椅、楼梯、围栏床、筛查工具箱、手消设备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DDST测查用软件及电脑，其他同A级。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各项设备少一项或不符合要求扣3分，扣完为止。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哺乳室</w:t>
            </w:r>
            <w:r>
              <w:rPr>
                <w:rFonts w:hint="eastAsia" w:ascii="仿宋_GB2312" w:hAnsi="仿宋_GB2312" w:eastAsia="仿宋_GB2312" w:cs="仿宋_GB2312"/>
                <w:bCs/>
                <w:kern w:val="0"/>
                <w:sz w:val="22"/>
                <w:szCs w:val="22"/>
              </w:rPr>
              <w:t>（5分）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按照爱婴社区建设要求配备设备设施，有电源，洗手池，配备沙发、婴儿换衣桌（台）、手消设备等。</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9"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办公室</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办公桌、办公椅、符合妇幼保健信息系统使用要求的电脑及上网设备、外线电话、文件柜（带锁）、打印机、物品柜、传真机、移动硬盘等。</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至少设有独立儿童保健用外线电话1部，人均1台电脑,</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至少设有独立儿童保健用外线电话2部，人均1台可上网电脑，</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宣教室</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配有儿童保健直观教具、宣传资料架及儿童保健宣传材料，如：宣传版面、挂图、书报、杂志、模型等。其他同A级。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w:t>
            </w:r>
            <w:r>
              <w:rPr>
                <w:rFonts w:hint="eastAsia" w:ascii="仿宋_GB2312" w:hAnsi="仿宋_GB2312" w:eastAsia="仿宋_GB2312" w:cs="仿宋_GB2312"/>
                <w:bCs/>
                <w:kern w:val="0"/>
                <w:sz w:val="22"/>
                <w:szCs w:val="22"/>
              </w:rPr>
              <w:t>（5分）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座椅数量视人数而定，有健康宣传资料和面板、明确的诊室标识及体检流程图。</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有分诊台，其他同A级。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有分诊叫号系统，其他同AA级。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6"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三、人员配备（60分）</w:t>
            </w: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人员数量</w:t>
            </w:r>
            <w:r>
              <w:rPr>
                <w:rFonts w:hint="eastAsia" w:ascii="仿宋_GB2312" w:hAnsi="仿宋_GB2312" w:eastAsia="仿宋_GB2312" w:cs="仿宋_GB2312"/>
                <w:bCs/>
                <w:kern w:val="0"/>
                <w:sz w:val="22"/>
                <w:szCs w:val="22"/>
              </w:rPr>
              <w:t>（30分）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应按辖区服务人口比例的1/5000配备专职妇幼保健人员。未达到1/5000的，专职儿童保健人员不少于3人；达到1/5000的，专职儿童保健人员不少于1名。</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应按辖区服务人口比例的1/5000配备专职妇幼保健人员。未达到1/5000的，专职儿童保健人员不少于3人；达到1/5000的，专职儿童保健人员不少于2名。</w:t>
            </w:r>
          </w:p>
        </w:tc>
        <w:tc>
          <w:tcPr>
            <w:tcW w:w="2408" w:type="dxa"/>
            <w:gridSpan w:val="2"/>
            <w:vAlign w:val="center"/>
          </w:tcPr>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应按辖区服务人口比例的1/5000配备专职妇幼保健人员。未达到1/5000的，专职儿童保健人员不少于4人；达到1/5000的，专职儿童保健人员不少于3名。</w:t>
            </w:r>
          </w:p>
        </w:tc>
        <w:tc>
          <w:tcPr>
            <w:tcW w:w="4334"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r>
              <w:rPr>
                <w:rFonts w:hint="eastAsia" w:ascii="仿宋_GB2312" w:hAnsi="仿宋_GB2312" w:eastAsia="仿宋_GB2312" w:cs="仿宋_GB2312"/>
                <w:kern w:val="0"/>
                <w:sz w:val="22"/>
                <w:szCs w:val="22"/>
              </w:rPr>
              <w:br w:type="textWrapping"/>
            </w:r>
            <w:r>
              <w:rPr>
                <w:rFonts w:hint="eastAsia" w:ascii="仿宋_GB2312" w:hAnsi="仿宋_GB2312" w:eastAsia="仿宋_GB2312" w:cs="仿宋_GB2312"/>
                <w:kern w:val="0"/>
                <w:sz w:val="22"/>
                <w:szCs w:val="22"/>
              </w:rPr>
              <w:t>1.未达到1/5000的，专职儿童保健人员未达到要求的扣30分。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2.未达到1/5000的，专职儿童保健人员达到要求的扣10分。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3、达到1/5000的，专职儿童保健人员不足的扣10分。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0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人员资质</w:t>
            </w:r>
            <w:r>
              <w:rPr>
                <w:rFonts w:hint="eastAsia" w:ascii="仿宋_GB2312" w:hAnsi="仿宋_GB2312" w:eastAsia="仿宋_GB2312" w:cs="仿宋_GB2312"/>
                <w:bCs/>
                <w:kern w:val="0"/>
                <w:sz w:val="22"/>
                <w:szCs w:val="22"/>
              </w:rPr>
              <w:t>（30分）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至少1人为执业医师或助理执业医师。所有人员必须参加市、区卫生健康行政部门组织的儿童保健相关业务培训，从事听力筛查、DDST筛查人员必须取得考核合格证书。</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至少2人为执业医师或助理执业医师。</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至少1人有儿科背景，至少1人为中级职称及以上人员。</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2408" w:type="dxa"/>
            <w:gridSpan w:val="2"/>
            <w:vAlign w:val="center"/>
          </w:tcPr>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至少2人为执业医师或助理执业医师，至少1人有儿科背景，至少1人为高级职称，其他同A级。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1.医师资格人数不满足要求者扣10分。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2.专业、职称不满足要求者各扣5分。</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3.从事听力筛查或DDST筛查的人员未能取得考核合格证书者扣20分。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4"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四、信息管理（50分）</w:t>
            </w:r>
          </w:p>
        </w:tc>
        <w:tc>
          <w:tcPr>
            <w:tcW w:w="1325" w:type="dxa"/>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硬件配置</w:t>
            </w:r>
            <w:r>
              <w:rPr>
                <w:rFonts w:hint="eastAsia" w:ascii="仿宋_GB2312" w:hAnsi="仿宋_GB2312" w:eastAsia="仿宋_GB2312" w:cs="仿宋_GB2312"/>
                <w:bCs/>
                <w:kern w:val="0"/>
                <w:sz w:val="22"/>
                <w:szCs w:val="22"/>
              </w:rPr>
              <w:t>（10分）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配备妇幼信息系统硬件及网络配置，配备扫码枪、二代身份证读卡器等相关设备。</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少配备一项扣2分，扣完为止。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4"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信息安全</w:t>
            </w:r>
            <w:r>
              <w:rPr>
                <w:rFonts w:hint="eastAsia" w:ascii="仿宋_GB2312" w:hAnsi="仿宋_GB2312" w:eastAsia="仿宋_GB2312" w:cs="仿宋_GB2312"/>
                <w:bCs/>
                <w:kern w:val="0"/>
                <w:sz w:val="22"/>
                <w:szCs w:val="22"/>
              </w:rPr>
              <w:t>（10分）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有信息安全制度。</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无信息安全制度扣10分。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信息录入</w:t>
            </w:r>
            <w:r>
              <w:rPr>
                <w:rFonts w:hint="eastAsia" w:ascii="仿宋_GB2312" w:hAnsi="仿宋_GB2312" w:eastAsia="仿宋_GB2312" w:cs="仿宋_GB2312"/>
                <w:bCs/>
                <w:kern w:val="0"/>
                <w:sz w:val="22"/>
                <w:szCs w:val="22"/>
              </w:rPr>
              <w:t>（20分）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按相关业务管理要求及时完成信息录入、上报、整理、归档等工作，并有信息质控记录，保证信息的及时性、完整性和准确性。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每月有信息质控记录，其他同A级。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儿童体检信息实时录入，其他同AA级。</w:t>
            </w:r>
          </w:p>
        </w:tc>
        <w:tc>
          <w:tcPr>
            <w:tcW w:w="4334" w:type="dxa"/>
            <w:vAlign w:val="center"/>
          </w:tcPr>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核实资料和妇幼信息数据。信息录入、上报、整理、归档、质控其中某一部分不符合要求扣4分，AA级无信息质控记录扣5分，AAA级儿童体检信息不能实时录入扣5分。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信息管理</w:t>
            </w:r>
            <w:r>
              <w:rPr>
                <w:rFonts w:hint="eastAsia" w:ascii="仿宋_GB2312" w:hAnsi="仿宋_GB2312" w:eastAsia="仿宋_GB2312" w:cs="仿宋_GB2312"/>
                <w:bCs/>
                <w:kern w:val="0"/>
                <w:sz w:val="22"/>
                <w:szCs w:val="22"/>
              </w:rPr>
              <w:t>（10分）</w:t>
            </w:r>
          </w:p>
        </w:tc>
        <w:tc>
          <w:tcPr>
            <w:tcW w:w="3681"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设有妇幼信息网络管理人员。</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设有儿童保健业务模块管理人员，其他同A级。</w:t>
            </w:r>
          </w:p>
        </w:tc>
        <w:tc>
          <w:tcPr>
            <w:tcW w:w="240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A级无网管人员扣10分。</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AA级和AAA级无网管人员扣5分，无业务模块管理人员扣5分。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7"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五、制度规范（40分）</w:t>
            </w:r>
          </w:p>
        </w:tc>
        <w:tc>
          <w:tcPr>
            <w:tcW w:w="1325"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管理制度</w:t>
            </w:r>
            <w:r>
              <w:rPr>
                <w:rFonts w:hint="eastAsia" w:ascii="仿宋_GB2312" w:hAnsi="仿宋_GB2312" w:eastAsia="仿宋_GB2312" w:cs="仿宋_GB2312"/>
                <w:bCs/>
                <w:kern w:val="0"/>
                <w:sz w:val="22"/>
                <w:szCs w:val="22"/>
              </w:rPr>
              <w:t>（5分）</w:t>
            </w:r>
          </w:p>
        </w:tc>
        <w:tc>
          <w:tcPr>
            <w:tcW w:w="3681"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建立儿童保健门诊工作制度、人员岗位职责。</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建立与已开展门诊相关的管理制度与诊疗流程，其他同A级。</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制度与流程执行情况良好，其他同AA级。</w:t>
            </w:r>
          </w:p>
        </w:tc>
        <w:tc>
          <w:tcPr>
            <w:tcW w:w="4334" w:type="dxa"/>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缺少1种制度、岗位职责或诊疗流程扣2分，扣完为止。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1"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工作规范</w:t>
            </w:r>
            <w:r>
              <w:rPr>
                <w:rFonts w:hint="eastAsia" w:ascii="仿宋_GB2312" w:hAnsi="仿宋_GB2312" w:eastAsia="仿宋_GB2312" w:cs="仿宋_GB2312"/>
                <w:bCs/>
                <w:kern w:val="0"/>
                <w:sz w:val="22"/>
                <w:szCs w:val="22"/>
              </w:rPr>
              <w:t>（5分）</w:t>
            </w:r>
          </w:p>
        </w:tc>
        <w:tc>
          <w:tcPr>
            <w:tcW w:w="3681"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儿童保健技术规范、儿童保健工作常规。</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制定辖区儿童保健工作方案，其他同A级。</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制定儿童保健门诊诊疗常规，其他同AA级。</w:t>
            </w:r>
          </w:p>
        </w:tc>
        <w:tc>
          <w:tcPr>
            <w:tcW w:w="4334" w:type="dxa"/>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缺少技术规范或工作常规扣2.5分，AA级缺少工作方案，AAA级缺少诊疗常规各扣2分，扣完为止。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15"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培训制度（20分）</w:t>
            </w:r>
          </w:p>
        </w:tc>
        <w:tc>
          <w:tcPr>
            <w:tcW w:w="3681" w:type="dxa"/>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定期组织相关工作人员进行各项制度及规范的培训，并有培训记录。</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按要求参加市、区两级组织的相关业务培训（实践操作规范化培训），并有培训记录。</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对新上岗人员进行岗前培训，有培训记录。科内进行二次培训，有培训记录。其他同A级。</w:t>
            </w:r>
          </w:p>
        </w:tc>
        <w:tc>
          <w:tcPr>
            <w:tcW w:w="2408" w:type="dxa"/>
            <w:gridSpan w:val="2"/>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缺少一种培训或制度扣10分，扣完为止。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restart"/>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计划与总结（10分）</w:t>
            </w:r>
          </w:p>
        </w:tc>
        <w:tc>
          <w:tcPr>
            <w:tcW w:w="3681" w:type="dxa"/>
            <w:vMerge w:val="restart"/>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每年制定工作计划，并于年终进行工作总结。</w:t>
            </w:r>
          </w:p>
        </w:tc>
        <w:tc>
          <w:tcPr>
            <w:tcW w:w="2408" w:type="dxa"/>
            <w:gridSpan w:val="2"/>
            <w:vMerge w:val="restart"/>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能根据前一年度存在问题制定工作计划，其他同A级。</w:t>
            </w:r>
          </w:p>
        </w:tc>
        <w:tc>
          <w:tcPr>
            <w:tcW w:w="2408" w:type="dxa"/>
            <w:gridSpan w:val="2"/>
            <w:vMerge w:val="restart"/>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本年度有《儿童保健专项工作总结》及《数据分析报告》，其他同AA级。</w:t>
            </w:r>
          </w:p>
        </w:tc>
        <w:tc>
          <w:tcPr>
            <w:tcW w:w="4334" w:type="dxa"/>
            <w:vMerge w:val="restart"/>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缺少工作计划或总结扣5分。</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AA级和AAA级计划不符合要求扣5分。</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AAA级缺任一报告扣2分。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Merge w:val="continue"/>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vAlign w:val="center"/>
          </w:tcPr>
          <w:p>
            <w:pPr>
              <w:widowControl/>
              <w:snapToGrid w:val="0"/>
              <w:rPr>
                <w:rFonts w:hint="eastAsia" w:ascii="仿宋_GB2312" w:hAnsi="仿宋_GB2312" w:eastAsia="仿宋_GB2312" w:cs="仿宋_GB2312"/>
                <w:kern w:val="0"/>
                <w:sz w:val="22"/>
                <w:szCs w:val="22"/>
              </w:rPr>
            </w:pPr>
          </w:p>
        </w:tc>
        <w:tc>
          <w:tcPr>
            <w:tcW w:w="4334" w:type="dxa"/>
            <w:vMerge w:val="continue"/>
            <w:vAlign w:val="center"/>
          </w:tcPr>
          <w:p>
            <w:pPr>
              <w:widowControl/>
              <w:snapToGrid w:val="0"/>
              <w:rPr>
                <w:rFonts w:hint="eastAsia" w:ascii="仿宋_GB2312" w:hAnsi="仿宋_GB2312" w:eastAsia="仿宋_GB2312" w:cs="仿宋_GB2312"/>
                <w:bCs/>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0"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Merge w:val="continue"/>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vAlign w:val="center"/>
          </w:tcPr>
          <w:p>
            <w:pPr>
              <w:widowControl/>
              <w:snapToGrid w:val="0"/>
              <w:rPr>
                <w:rFonts w:hint="eastAsia" w:ascii="仿宋_GB2312" w:hAnsi="仿宋_GB2312" w:eastAsia="仿宋_GB2312" w:cs="仿宋_GB2312"/>
                <w:kern w:val="0"/>
                <w:sz w:val="22"/>
                <w:szCs w:val="22"/>
              </w:rPr>
            </w:pPr>
          </w:p>
        </w:tc>
        <w:tc>
          <w:tcPr>
            <w:tcW w:w="4334" w:type="dxa"/>
            <w:vMerge w:val="continue"/>
            <w:vAlign w:val="center"/>
          </w:tcPr>
          <w:p>
            <w:pPr>
              <w:widowControl/>
              <w:snapToGrid w:val="0"/>
              <w:rPr>
                <w:rFonts w:hint="eastAsia" w:ascii="仿宋_GB2312" w:hAnsi="仿宋_GB2312" w:eastAsia="仿宋_GB2312" w:cs="仿宋_GB2312"/>
                <w:bCs/>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六、服务内容(80分)</w:t>
            </w:r>
          </w:p>
        </w:tc>
        <w:tc>
          <w:tcPr>
            <w:tcW w:w="1325" w:type="dxa"/>
            <w:vMerge w:val="restart"/>
            <w:vAlign w:val="center"/>
          </w:tcPr>
          <w:p>
            <w:pPr>
              <w:widowControl/>
              <w:snapToGrid w:val="0"/>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个体化</w:t>
            </w:r>
          </w:p>
          <w:p>
            <w:pPr>
              <w:widowControl/>
              <w:snapToGrid w:val="0"/>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服务部分</w:t>
            </w:r>
            <w:r>
              <w:rPr>
                <w:rFonts w:hint="eastAsia" w:ascii="仿宋_GB2312" w:hAnsi="仿宋_GB2312" w:eastAsia="仿宋_GB2312" w:cs="仿宋_GB2312"/>
                <w:bCs/>
                <w:kern w:val="0"/>
                <w:sz w:val="22"/>
                <w:szCs w:val="22"/>
              </w:rPr>
              <w:t>（30分）</w:t>
            </w: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遵循先体检后接种流程。</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遵循先体检后接种流程，并且有相应的叫号系统。</w:t>
            </w:r>
            <w:r>
              <w:rPr>
                <w:rFonts w:hint="eastAsia" w:ascii="仿宋_GB2312" w:hAnsi="仿宋_GB2312" w:eastAsia="仿宋_GB2312" w:cs="仿宋_GB2312"/>
                <w:bCs/>
                <w:kern w:val="0"/>
                <w:sz w:val="22"/>
                <w:szCs w:val="22"/>
              </w:rPr>
              <w:t>（5分）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未按流程开展服务的扣5分，AAA级未使用叫号系统扣2分。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开展新生儿访视、定期健康检查、喂养咨询与营养指导、营养性疾病防治、心理行为发育测查、评估、指导、五官保健、先天性心脏病与发育性髋关节脱位筛查，开展血红蛋白检测、健康教育等保健指导。</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眼位检查并记录、提供儿童营养计算，其他同A级</w:t>
            </w:r>
            <w:r>
              <w:rPr>
                <w:rFonts w:hint="eastAsia" w:ascii="仿宋_GB2312" w:hAnsi="仿宋_GB2312" w:eastAsia="仿宋_GB2312" w:cs="仿宋_GB2312"/>
                <w:bCs/>
                <w:kern w:val="0"/>
                <w:sz w:val="22"/>
                <w:szCs w:val="22"/>
              </w:rPr>
              <w:t>（5分）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缺少1项服务扣1分，扣完为止。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血红蛋白检测参加北京市或国家临检中心室间质评，有室内质控制度、质控记录、标准操作手册。</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有血红蛋白质控总结及分析报告，其他同A级。</w:t>
            </w:r>
            <w:r>
              <w:rPr>
                <w:rFonts w:hint="eastAsia" w:ascii="仿宋_GB2312" w:hAnsi="仿宋_GB2312" w:eastAsia="仿宋_GB2312" w:cs="仿宋_GB2312"/>
                <w:bCs/>
                <w:kern w:val="0"/>
                <w:sz w:val="22"/>
                <w:szCs w:val="22"/>
              </w:rPr>
              <w:t>（5分）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室内质控制度、质控记录、室间质评报告、标准操作手册、质控总结、分析报告，每少一项或不符合要求扣1分，扣完为止。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血常规检测有专业检验人员1人。</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血常规检测有中级及以上职称专业检验人员1人。</w:t>
            </w:r>
            <w:r>
              <w:rPr>
                <w:rFonts w:hint="eastAsia" w:ascii="仿宋_GB2312" w:hAnsi="仿宋_GB2312" w:eastAsia="仿宋_GB2312" w:cs="仿宋_GB2312"/>
                <w:bCs/>
                <w:kern w:val="0"/>
                <w:sz w:val="22"/>
                <w:szCs w:val="22"/>
              </w:rPr>
              <w:t>（5分）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血常规检测有中级及以上职称专业检验人员2人。</w:t>
            </w:r>
            <w:r>
              <w:rPr>
                <w:rFonts w:hint="eastAsia" w:ascii="仿宋_GB2312" w:hAnsi="仿宋_GB2312" w:eastAsia="仿宋_GB2312" w:cs="仿宋_GB2312"/>
                <w:bCs/>
                <w:kern w:val="0"/>
                <w:sz w:val="22"/>
                <w:szCs w:val="22"/>
              </w:rPr>
              <w:t>（5分）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不符合要求的扣5分。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提供特色服务</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提供远程会诊、互联网诊疗等线上服务；提供心理沙盘、运动指导等特色服务，其他同A级</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多科室合作开展儿童保健特色服务，其他同AA级</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restart"/>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公共卫生服务管理部分</w:t>
            </w:r>
            <w:r>
              <w:rPr>
                <w:rFonts w:hint="eastAsia" w:ascii="仿宋_GB2312" w:hAnsi="仿宋_GB2312" w:eastAsia="仿宋_GB2312" w:cs="仿宋_GB2312"/>
                <w:bCs/>
                <w:kern w:val="0"/>
                <w:sz w:val="22"/>
                <w:szCs w:val="22"/>
              </w:rPr>
              <w:t>(50分)</w:t>
            </w: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新生儿访视工作抽查正确率达到70%以上。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新生儿访视工作抽查正确率达到80%以上。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新生儿访视工作抽查正确率达到90%以上。</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体弱儿监测、管理抽查正确率达到70%以上。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体弱儿监测、管理抽查正确率达到80%以上。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体弱儿监测、管理抽查正确率达到90%以上。</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9"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对先天性心脏病、发育性髋关节脱位、视力和听力筛查异常、心理行为发育异常等儿童进行转诊，并追访诊断结果。抽查正确率达到70%以上。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对先天性心脏病、发育性髋关节脱位、视力和听力筛查异常、心理行为发育异常等儿童及时转诊，并追访诊断结果。抽查正确率达到80%以上。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对先天性心脏病、发育性髋关节脱位、视力和听力筛查异常、心理行为发育异常等儿童及时转诊，并追访诊断结果。抽查正确率达到90%以上。</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3"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上报数据及报表，抽查正确率达到70%以上。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上报数据及报表，抽查正确率达到80%以上。</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上报数据及报表，抽查正确率达到90%以上。</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根据当年上报工作数据情况给分或现场查看：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5"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3681" w:type="dxa"/>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每年至少开展2次不同主题的健康大课堂，并有效果评估。有健康教育计划及总结。</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每年至少开展4次不同主题的健康大课堂工作，并有效果评估。其他同A级。</w:t>
            </w:r>
            <w:r>
              <w:rPr>
                <w:rFonts w:hint="eastAsia" w:ascii="仿宋_GB2312" w:hAnsi="仿宋_GB2312" w:eastAsia="仿宋_GB2312" w:cs="仿宋_GB2312"/>
                <w:bCs/>
                <w:kern w:val="0"/>
                <w:sz w:val="22"/>
                <w:szCs w:val="22"/>
              </w:rPr>
              <w:t>（10分）</w:t>
            </w:r>
          </w:p>
        </w:tc>
        <w:tc>
          <w:tcPr>
            <w:tcW w:w="2408" w:type="dxa"/>
            <w:gridSpan w:val="2"/>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每年至少开展6次不同主题的健康大课堂工作，并有效果评估。其他同A级。</w:t>
            </w:r>
            <w:r>
              <w:rPr>
                <w:rFonts w:hint="eastAsia" w:ascii="仿宋_GB2312" w:hAnsi="仿宋_GB2312" w:eastAsia="仿宋_GB2312" w:cs="仿宋_GB2312"/>
                <w:bCs/>
                <w:kern w:val="0"/>
                <w:sz w:val="22"/>
                <w:szCs w:val="22"/>
              </w:rPr>
              <w:t>（10分）</w:t>
            </w:r>
          </w:p>
        </w:tc>
        <w:tc>
          <w:tcPr>
            <w:tcW w:w="4334" w:type="dxa"/>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1.无健康教育计划或总结各扣2分。</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2.未达到规定次数或未进行效果评估少1次扣4分，扣完为止。</w:t>
            </w:r>
          </w:p>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3.查看健康大课堂通知、签到、课件、影像资料、总结等相关资料，少一项扣1分。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七、效果指标（30分）</w:t>
            </w: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岁</w:t>
            </w:r>
            <w:r>
              <w:rPr>
                <w:rFonts w:hint="eastAsia" w:ascii="仿宋_GB2312" w:hAnsi="仿宋_GB2312" w:eastAsia="仿宋_GB2312" w:cs="仿宋_GB2312"/>
                <w:color w:val="auto"/>
                <w:kern w:val="0"/>
                <w:sz w:val="22"/>
                <w:szCs w:val="22"/>
                <w:lang w:eastAsia="zh-CN"/>
              </w:rPr>
              <w:t>以下</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系统</w:t>
            </w:r>
            <w:r>
              <w:rPr>
                <w:rFonts w:hint="eastAsia" w:ascii="仿宋_GB2312" w:hAnsi="仿宋_GB2312" w:eastAsia="仿宋_GB2312" w:cs="仿宋_GB2312"/>
                <w:color w:val="auto"/>
                <w:kern w:val="0"/>
                <w:sz w:val="22"/>
                <w:szCs w:val="22"/>
              </w:rPr>
              <w:t>服务率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达到北京市妇女儿童发展规划目标。</w:t>
            </w:r>
          </w:p>
        </w:tc>
        <w:tc>
          <w:tcPr>
            <w:tcW w:w="4334" w:type="dxa"/>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lang w:val="en-US" w:eastAsia="zh-CN"/>
              </w:rPr>
              <w:t>7岁以下</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健康</w:t>
            </w:r>
            <w:r>
              <w:rPr>
                <w:rFonts w:hint="eastAsia" w:ascii="仿宋_GB2312" w:hAnsi="仿宋_GB2312" w:eastAsia="仿宋_GB2312" w:cs="仿宋_GB2312"/>
                <w:color w:val="auto"/>
                <w:kern w:val="0"/>
                <w:sz w:val="22"/>
                <w:szCs w:val="22"/>
              </w:rPr>
              <w:t>服务率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达到北京市妇女儿童发展规划目标。</w:t>
            </w:r>
          </w:p>
        </w:tc>
        <w:tc>
          <w:tcPr>
            <w:tcW w:w="4334" w:type="dxa"/>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lang w:val="en-US" w:eastAsia="zh-CN"/>
              </w:rPr>
              <w:t>0-6岁</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眼保健和视力检查覆盖率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vAlign w:val="center"/>
          </w:tcPr>
          <w:p>
            <w:pPr>
              <w:widowControl/>
              <w:snapToGrid w:val="0"/>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rPr>
              <w:t>达到北京市妇女儿童发展规划目标。</w:t>
            </w:r>
          </w:p>
        </w:tc>
        <w:tc>
          <w:tcPr>
            <w:tcW w:w="4334" w:type="dxa"/>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highlight w:val="none"/>
              </w:rPr>
              <w:t>6个月内婴儿纯母乳喂养率</w:t>
            </w:r>
            <w:r>
              <w:rPr>
                <w:rFonts w:hint="eastAsia" w:ascii="仿宋_GB2312" w:hAnsi="仿宋_GB2312" w:eastAsia="仿宋_GB2312" w:cs="仿宋_GB2312"/>
                <w:bCs/>
                <w:color w:val="auto"/>
                <w:kern w:val="0"/>
                <w:sz w:val="22"/>
                <w:szCs w:val="22"/>
                <w:highlight w:val="none"/>
              </w:rPr>
              <w:t>（</w:t>
            </w:r>
            <w:r>
              <w:rPr>
                <w:rFonts w:hint="eastAsia" w:ascii="仿宋_GB2312" w:hAnsi="仿宋_GB2312" w:eastAsia="仿宋_GB2312" w:cs="仿宋_GB2312"/>
                <w:bCs/>
                <w:color w:val="auto"/>
                <w:kern w:val="0"/>
                <w:sz w:val="22"/>
                <w:szCs w:val="22"/>
                <w:highlight w:val="none"/>
                <w:lang w:val="en-US" w:eastAsia="zh-CN"/>
              </w:rPr>
              <w:t>4</w:t>
            </w:r>
            <w:r>
              <w:rPr>
                <w:rFonts w:hint="eastAsia" w:ascii="仿宋_GB2312" w:hAnsi="仿宋_GB2312" w:eastAsia="仿宋_GB2312" w:cs="仿宋_GB2312"/>
                <w:bCs/>
                <w:color w:val="auto"/>
                <w:kern w:val="0"/>
                <w:sz w:val="22"/>
                <w:szCs w:val="22"/>
                <w:highlight w:val="none"/>
              </w:rPr>
              <w:t>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highlight w:val="none"/>
                <w:lang w:eastAsia="zh-CN"/>
              </w:rPr>
              <w:t>达到</w:t>
            </w:r>
            <w:r>
              <w:rPr>
                <w:rFonts w:hint="eastAsia" w:ascii="仿宋_GB2312" w:hAnsi="仿宋_GB2312" w:eastAsia="仿宋_GB2312" w:cs="仿宋_GB2312"/>
                <w:color w:val="auto"/>
                <w:kern w:val="0"/>
                <w:sz w:val="22"/>
                <w:szCs w:val="22"/>
                <w:highlight w:val="none"/>
                <w:lang w:val="en-US" w:eastAsia="zh-CN"/>
              </w:rPr>
              <w:t>70%及以上。</w:t>
            </w:r>
          </w:p>
        </w:tc>
        <w:tc>
          <w:tcPr>
            <w:tcW w:w="4334" w:type="dxa"/>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9"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restart"/>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质量控制</w:t>
            </w:r>
            <w:r>
              <w:rPr>
                <w:rFonts w:hint="eastAsia" w:ascii="仿宋_GB2312" w:hAnsi="仿宋_GB2312" w:eastAsia="仿宋_GB2312" w:cs="仿宋_GB2312"/>
                <w:bCs/>
                <w:kern w:val="0"/>
                <w:sz w:val="22"/>
                <w:szCs w:val="22"/>
              </w:rPr>
              <w:t>（8分）</w:t>
            </w:r>
          </w:p>
        </w:tc>
        <w:tc>
          <w:tcPr>
            <w:tcW w:w="4050" w:type="dxa"/>
            <w:gridSpan w:val="2"/>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每年至少开展1次质量控制工作，有制度、记录，有总结及整改措施。</w:t>
            </w:r>
            <w:r>
              <w:rPr>
                <w:rFonts w:hint="eastAsia" w:ascii="仿宋_GB2312" w:hAnsi="仿宋_GB2312" w:eastAsia="仿宋_GB2312" w:cs="仿宋_GB2312"/>
                <w:bCs/>
                <w:kern w:val="0"/>
                <w:sz w:val="22"/>
                <w:szCs w:val="22"/>
              </w:rPr>
              <w:t>（4分）</w:t>
            </w:r>
          </w:p>
        </w:tc>
        <w:tc>
          <w:tcPr>
            <w:tcW w:w="239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每半年开展1次质量控制工作，有制度、记录、有总结及整改措施。</w:t>
            </w:r>
            <w:r>
              <w:rPr>
                <w:rFonts w:hint="eastAsia" w:ascii="仿宋_GB2312" w:hAnsi="仿宋_GB2312" w:eastAsia="仿宋_GB2312" w:cs="仿宋_GB2312"/>
                <w:bCs/>
                <w:kern w:val="0"/>
                <w:sz w:val="22"/>
                <w:szCs w:val="22"/>
              </w:rPr>
              <w:t>（4分）</w:t>
            </w:r>
          </w:p>
        </w:tc>
        <w:tc>
          <w:tcPr>
            <w:tcW w:w="2049"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每季度开展1次质量控制工作，有制度、记录，有总结及整改措施。</w:t>
            </w:r>
            <w:r>
              <w:rPr>
                <w:rFonts w:hint="eastAsia" w:ascii="仿宋_GB2312" w:hAnsi="仿宋_GB2312" w:eastAsia="仿宋_GB2312" w:cs="仿宋_GB2312"/>
                <w:bCs/>
                <w:kern w:val="0"/>
                <w:sz w:val="22"/>
                <w:szCs w:val="22"/>
              </w:rPr>
              <w:t>（4分）</w:t>
            </w:r>
          </w:p>
        </w:tc>
        <w:tc>
          <w:tcPr>
            <w:tcW w:w="4334" w:type="dxa"/>
            <w:vAlign w:val="center"/>
          </w:tcPr>
          <w:p>
            <w:pPr>
              <w:widowControl/>
              <w:snapToGrid w:val="0"/>
              <w:rPr>
                <w:rFonts w:hint="eastAsia" w:ascii="仿宋_GB2312" w:hAnsi="仿宋_GB2312" w:eastAsia="仿宋_GB2312" w:cs="仿宋_GB2312"/>
                <w:bCs/>
                <w:kern w:val="0"/>
                <w:sz w:val="22"/>
                <w:szCs w:val="22"/>
              </w:rPr>
            </w:pPr>
            <w:bookmarkStart w:id="0" w:name="RANGE_F102"/>
            <w:r>
              <w:rPr>
                <w:rFonts w:hint="eastAsia" w:ascii="仿宋_GB2312" w:hAnsi="仿宋_GB2312" w:eastAsia="仿宋_GB2312" w:cs="仿宋_GB2312"/>
                <w:bCs/>
                <w:kern w:val="0"/>
                <w:sz w:val="22"/>
                <w:szCs w:val="22"/>
              </w:rPr>
              <w:t>现场查看：</w:t>
            </w:r>
            <w:bookmarkEnd w:id="0"/>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未达到质控次数要求的扣1分，缺少制度、记录、总结及整改措施每项扣1分，扣完为止。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snapToGrid w:val="0"/>
              <w:jc w:val="left"/>
              <w:rPr>
                <w:rFonts w:hint="eastAsia" w:ascii="仿宋_GB2312" w:hAnsi="仿宋_GB2312" w:eastAsia="仿宋_GB2312" w:cs="仿宋_GB2312"/>
                <w:kern w:val="0"/>
                <w:sz w:val="22"/>
                <w:szCs w:val="22"/>
              </w:rPr>
            </w:pPr>
          </w:p>
        </w:tc>
        <w:tc>
          <w:tcPr>
            <w:tcW w:w="4050"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各种档案、资料按相关专业业务管理要求备齐，接受上级机构的质量检查和督导管理。</w:t>
            </w:r>
            <w:r>
              <w:rPr>
                <w:rFonts w:hint="eastAsia" w:ascii="仿宋_GB2312" w:hAnsi="仿宋_GB2312" w:eastAsia="仿宋_GB2312" w:cs="仿宋_GB2312"/>
                <w:bCs/>
                <w:kern w:val="0"/>
                <w:sz w:val="22"/>
                <w:szCs w:val="22"/>
              </w:rPr>
              <w:t>（4分）</w:t>
            </w:r>
          </w:p>
        </w:tc>
        <w:tc>
          <w:tcPr>
            <w:tcW w:w="2398" w:type="dxa"/>
            <w:gridSpan w:val="2"/>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同A级。（4分）</w:t>
            </w:r>
          </w:p>
        </w:tc>
        <w:tc>
          <w:tcPr>
            <w:tcW w:w="2049" w:type="dxa"/>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同A级。（4分）</w:t>
            </w:r>
          </w:p>
        </w:tc>
        <w:tc>
          <w:tcPr>
            <w:tcW w:w="4334" w:type="dxa"/>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未能备齐、集中提供档案，缺1份扣1分。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满意度（</w:t>
            </w:r>
            <w:r>
              <w:rPr>
                <w:rFonts w:hint="eastAsia" w:ascii="仿宋_GB2312" w:hAnsi="仿宋_GB2312" w:eastAsia="仿宋_GB2312" w:cs="仿宋_GB2312"/>
                <w:color w:val="auto"/>
                <w:kern w:val="0"/>
                <w:sz w:val="22"/>
                <w:szCs w:val="22"/>
                <w:lang w:val="en-US" w:eastAsia="zh-CN"/>
              </w:rPr>
              <w:t>6</w:t>
            </w:r>
            <w:r>
              <w:rPr>
                <w:rFonts w:hint="eastAsia" w:ascii="仿宋_GB2312" w:hAnsi="仿宋_GB2312" w:eastAsia="仿宋_GB2312" w:cs="仿宋_GB2312"/>
                <w:color w:val="auto"/>
                <w:kern w:val="0"/>
                <w:sz w:val="22"/>
                <w:szCs w:val="22"/>
              </w:rPr>
              <w:t>分）</w:t>
            </w:r>
          </w:p>
        </w:tc>
        <w:tc>
          <w:tcPr>
            <w:tcW w:w="8497" w:type="dxa"/>
            <w:gridSpan w:val="5"/>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辖区居民对国家基本公共卫生服务项目有关儿童保健知识知晓程度达到85%以上，对辖区儿童保健服务满意度达到80%以上。</w:t>
            </w:r>
          </w:p>
        </w:tc>
        <w:tc>
          <w:tcPr>
            <w:tcW w:w="4334" w:type="dxa"/>
            <w:vAlign w:val="center"/>
          </w:tcPr>
          <w:p>
            <w:pPr>
              <w:widowControl/>
              <w:snapToGrid w:val="0"/>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现场或电话核实：</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调查儿童养育人10人，知识知晓率不达标扣</w:t>
            </w: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分，满意度不达标扣</w:t>
            </w: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95" w:hRule="atLeast"/>
          <w:jc w:val="center"/>
        </w:trPr>
        <w:tc>
          <w:tcPr>
            <w:tcW w:w="860" w:type="dxa"/>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八、档案管理（10分）</w:t>
            </w:r>
          </w:p>
        </w:tc>
        <w:tc>
          <w:tcPr>
            <w:tcW w:w="1325" w:type="dxa"/>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基本档案</w:t>
            </w:r>
            <w:r>
              <w:rPr>
                <w:rFonts w:hint="eastAsia" w:ascii="仿宋_GB2312" w:hAnsi="仿宋_GB2312" w:eastAsia="仿宋_GB2312" w:cs="仿宋_GB2312"/>
                <w:bCs/>
                <w:kern w:val="0"/>
                <w:sz w:val="22"/>
                <w:szCs w:val="22"/>
              </w:rPr>
              <w:t>（10分）</w:t>
            </w:r>
          </w:p>
        </w:tc>
        <w:tc>
          <w:tcPr>
            <w:tcW w:w="4050" w:type="dxa"/>
            <w:gridSpan w:val="2"/>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档案项目齐全，内容完整，条理清晰。</w:t>
            </w:r>
          </w:p>
        </w:tc>
        <w:tc>
          <w:tcPr>
            <w:tcW w:w="2398" w:type="dxa"/>
            <w:gridSpan w:val="2"/>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设专人管理档案，其他同A级。</w:t>
            </w:r>
          </w:p>
        </w:tc>
        <w:tc>
          <w:tcPr>
            <w:tcW w:w="2049" w:type="dxa"/>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档案按相关专业业务管理要求分类归档，其他同AA级。</w:t>
            </w:r>
          </w:p>
        </w:tc>
        <w:tc>
          <w:tcPr>
            <w:tcW w:w="4334" w:type="dxa"/>
            <w:vAlign w:val="center"/>
          </w:tcPr>
          <w:p>
            <w:pPr>
              <w:widowControl/>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档案项目不全，内容欠完整，条理不清晰，每份每项扣2分，扣完为止。</w:t>
            </w:r>
          </w:p>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AA级和AAA级无专人管理扣5分。</w:t>
            </w:r>
          </w:p>
          <w:p>
            <w:pPr>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AAA级档案未按专业业务管理要求分类归档扣2分。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60" w:type="dxa"/>
            <w:vMerge w:val="restart"/>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*九、基本技能（150分）</w:t>
            </w:r>
          </w:p>
        </w:tc>
        <w:tc>
          <w:tcPr>
            <w:tcW w:w="1325" w:type="dxa"/>
            <w:vMerge w:val="restart"/>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基本技能</w:t>
            </w:r>
            <w:r>
              <w:rPr>
                <w:rFonts w:hint="eastAsia" w:ascii="仿宋_GB2312" w:hAnsi="仿宋_GB2312" w:eastAsia="仿宋_GB2312" w:cs="仿宋_GB2312"/>
                <w:bCs/>
                <w:kern w:val="0"/>
                <w:sz w:val="22"/>
                <w:szCs w:val="22"/>
              </w:rPr>
              <w:t>（150分）</w:t>
            </w:r>
          </w:p>
        </w:tc>
        <w:tc>
          <w:tcPr>
            <w:tcW w:w="8497" w:type="dxa"/>
            <w:gridSpan w:val="5"/>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掌握体重测量技术。</w:t>
            </w:r>
            <w:r>
              <w:rPr>
                <w:rFonts w:hint="eastAsia" w:ascii="仿宋_GB2312" w:hAnsi="仿宋_GB2312" w:eastAsia="仿宋_GB2312" w:cs="仿宋_GB2312"/>
                <w:bCs/>
                <w:kern w:val="0"/>
                <w:sz w:val="22"/>
                <w:szCs w:val="22"/>
              </w:rPr>
              <w:t>（8分）</w:t>
            </w:r>
          </w:p>
        </w:tc>
        <w:tc>
          <w:tcPr>
            <w:tcW w:w="4334" w:type="dxa"/>
            <w:vMerge w:val="restart"/>
            <w:vAlign w:val="center"/>
          </w:tcPr>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现场考核打分。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掌握身高/身长测量技术。</w:t>
            </w:r>
            <w:r>
              <w:rPr>
                <w:rFonts w:hint="eastAsia" w:ascii="仿宋_GB2312" w:hAnsi="仿宋_GB2312" w:eastAsia="仿宋_GB2312" w:cs="仿宋_GB2312"/>
                <w:bCs/>
                <w:kern w:val="0"/>
                <w:sz w:val="22"/>
                <w:szCs w:val="22"/>
              </w:rPr>
              <w:t>（8分）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掌握头围测量技术。</w:t>
            </w:r>
            <w:r>
              <w:rPr>
                <w:rFonts w:hint="eastAsia" w:ascii="仿宋_GB2312" w:hAnsi="仿宋_GB2312" w:eastAsia="仿宋_GB2312" w:cs="仿宋_GB2312"/>
                <w:bCs/>
                <w:kern w:val="0"/>
                <w:sz w:val="22"/>
                <w:szCs w:val="22"/>
              </w:rPr>
              <w:t>（8分）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9"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掌握体格评价方法。（6分）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掌握眼及视力检查技术。</w:t>
            </w:r>
            <w:r>
              <w:rPr>
                <w:rFonts w:hint="eastAsia" w:ascii="仿宋_GB2312" w:hAnsi="仿宋_GB2312" w:eastAsia="仿宋_GB2312" w:cs="仿宋_GB2312"/>
                <w:bCs/>
                <w:kern w:val="0"/>
                <w:sz w:val="22"/>
                <w:szCs w:val="22"/>
              </w:rPr>
              <w:t>（20分）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掌握口腔检查技术。</w:t>
            </w:r>
            <w:r>
              <w:rPr>
                <w:rFonts w:hint="eastAsia" w:ascii="仿宋_GB2312" w:hAnsi="仿宋_GB2312" w:eastAsia="仿宋_GB2312" w:cs="仿宋_GB2312"/>
                <w:bCs/>
                <w:kern w:val="0"/>
                <w:sz w:val="22"/>
                <w:szCs w:val="22"/>
              </w:rPr>
              <w:t>（5分）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掌握心脏听诊技术。</w:t>
            </w:r>
            <w:r>
              <w:rPr>
                <w:rFonts w:hint="eastAsia" w:ascii="仿宋_GB2312" w:hAnsi="仿宋_GB2312" w:eastAsia="仿宋_GB2312" w:cs="仿宋_GB2312"/>
                <w:bCs/>
                <w:kern w:val="0"/>
                <w:sz w:val="22"/>
                <w:szCs w:val="22"/>
              </w:rPr>
              <w:t>（15分）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掌握肝脾触诊技术。</w:t>
            </w:r>
            <w:r>
              <w:rPr>
                <w:rFonts w:hint="eastAsia" w:ascii="仿宋_GB2312" w:hAnsi="仿宋_GB2312" w:eastAsia="仿宋_GB2312" w:cs="仿宋_GB2312"/>
                <w:bCs/>
                <w:kern w:val="0"/>
                <w:sz w:val="22"/>
                <w:szCs w:val="22"/>
              </w:rPr>
              <w:t>（5分）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掌握发育性髋关节脱位筛查技术。</w:t>
            </w:r>
            <w:r>
              <w:rPr>
                <w:rFonts w:hint="eastAsia" w:ascii="仿宋_GB2312" w:hAnsi="仿宋_GB2312" w:eastAsia="仿宋_GB2312" w:cs="仿宋_GB2312"/>
                <w:bCs/>
                <w:kern w:val="0"/>
                <w:sz w:val="22"/>
                <w:szCs w:val="22"/>
              </w:rPr>
              <w:t>（20分）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掌握耳及听力检查技术。</w:t>
            </w:r>
            <w:r>
              <w:rPr>
                <w:rFonts w:hint="eastAsia" w:ascii="仿宋_GB2312" w:hAnsi="仿宋_GB2312" w:eastAsia="仿宋_GB2312" w:cs="仿宋_GB2312"/>
                <w:bCs/>
                <w:kern w:val="0"/>
                <w:sz w:val="22"/>
                <w:szCs w:val="22"/>
              </w:rPr>
              <w:t>（20分）</w:t>
            </w:r>
          </w:p>
        </w:tc>
        <w:tc>
          <w:tcPr>
            <w:tcW w:w="4334" w:type="dxa"/>
            <w:vMerge w:val="continue"/>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掌握预警征、DDST和0-1岁运动发育落后筛查技术及养育指导技能。</w:t>
            </w:r>
            <w:r>
              <w:rPr>
                <w:rFonts w:hint="eastAsia" w:ascii="仿宋_GB2312" w:hAnsi="仿宋_GB2312" w:eastAsia="仿宋_GB2312" w:cs="仿宋_GB2312"/>
                <w:bCs/>
                <w:kern w:val="0"/>
                <w:sz w:val="22"/>
                <w:szCs w:val="22"/>
              </w:rPr>
              <w:t>（25分）</w:t>
            </w:r>
          </w:p>
        </w:tc>
        <w:tc>
          <w:tcPr>
            <w:tcW w:w="4334" w:type="dxa"/>
            <w:vMerge w:val="continue"/>
            <w:vAlign w:val="top"/>
          </w:tcPr>
          <w:p>
            <w:pPr>
              <w:widowControl/>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vAlign w:val="center"/>
          </w:tcPr>
          <w:p>
            <w:pPr>
              <w:widowControl/>
              <w:jc w:val="center"/>
              <w:rPr>
                <w:rFonts w:hint="eastAsia" w:ascii="仿宋_GB2312" w:hAnsi="仿宋_GB2312" w:eastAsia="仿宋_GB2312" w:cs="仿宋_GB2312"/>
                <w:kern w:val="0"/>
                <w:sz w:val="22"/>
                <w:szCs w:val="22"/>
              </w:rPr>
            </w:pPr>
          </w:p>
        </w:tc>
        <w:tc>
          <w:tcPr>
            <w:tcW w:w="1325" w:type="dxa"/>
            <w:vMerge w:val="continue"/>
            <w:vAlign w:val="center"/>
          </w:tcPr>
          <w:p>
            <w:pPr>
              <w:widowControl/>
              <w:jc w:val="left"/>
              <w:rPr>
                <w:rFonts w:hint="eastAsia" w:ascii="仿宋_GB2312" w:hAnsi="仿宋_GB2312" w:eastAsia="仿宋_GB2312" w:cs="仿宋_GB2312"/>
                <w:kern w:val="0"/>
                <w:sz w:val="22"/>
                <w:szCs w:val="22"/>
              </w:rPr>
            </w:pPr>
          </w:p>
        </w:tc>
        <w:tc>
          <w:tcPr>
            <w:tcW w:w="8497" w:type="dxa"/>
            <w:gridSpan w:val="5"/>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提供正确的喂养与营养指导。（10分）</w:t>
            </w:r>
          </w:p>
        </w:tc>
        <w:tc>
          <w:tcPr>
            <w:tcW w:w="4334" w:type="dxa"/>
            <w:vMerge w:val="continue"/>
            <w:vAlign w:val="top"/>
          </w:tcPr>
          <w:p>
            <w:pPr>
              <w:widowControl/>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2" w:hRule="atLeast"/>
          <w:jc w:val="center"/>
        </w:trPr>
        <w:tc>
          <w:tcPr>
            <w:tcW w:w="15016" w:type="dxa"/>
            <w:gridSpan w:val="8"/>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备注：1.带*者为核心项目，核心项目满分150分，A级通过标准为110分，AA级通过标准为120分，AAA级通过标准为130分。</w:t>
            </w:r>
          </w:p>
          <w:p>
            <w:pPr>
              <w:widowControl/>
              <w:ind w:firstLine="63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2.通过标准：总分达到400分，并且核心项目达到各级标准。</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3.标准中未涉及的情况参考专业规范执行。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71C84"/>
    <w:rsid w:val="4CA7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2021-11-11T06:33:00Z</dcterms:created>
  <dc:creator>wyn</dc:creator>
  <cp:lastModifiedBy>wyn</cp:lastModifiedBy>
  <dcterms:modified xsi:type="dcterms:W3CDTF">2021-11-11T06:34:08Z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08C3D311ABAC4BC38921947342BAEB64</vt:lpwstr>
  </property>
</Properties>
</file>