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bCs/>
          <w:color w:val="000000"/>
          <w:sz w:val="30"/>
          <w:szCs w:val="28"/>
        </w:rPr>
      </w:pPr>
    </w:p>
    <w:p>
      <w:pPr>
        <w:jc w:val="left"/>
        <w:rPr>
          <w:rFonts w:ascii="楷体" w:hAnsi="楷体" w:eastAsia="楷体"/>
          <w:bCs/>
          <w:color w:val="000000"/>
          <w:sz w:val="30"/>
          <w:szCs w:val="28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000000"/>
          <w:sz w:val="52"/>
          <w:szCs w:val="52"/>
        </w:rPr>
        <w:t>居住项目建设方案</w:t>
      </w: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方正小标宋简体" w:hAnsi="华文中宋" w:eastAsia="方正小标宋简体"/>
          <w:color w:val="000000"/>
          <w:sz w:val="44"/>
          <w:szCs w:val="44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left="1606" w:hanging="1600" w:hangingChars="5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大兴区瀛海镇区级统筹集建地YZ00-0803-2025等地块共有产权房项目</w:t>
      </w:r>
    </w:p>
    <w:p>
      <w:pPr>
        <w:wordWrap w:val="0"/>
        <w:spacing w:line="640" w:lineRule="exact"/>
        <w:rPr>
          <w:rFonts w:ascii="楷体" w:hAnsi="楷体" w:eastAsia="楷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建设单位：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北京大兴发展集地开发有限公司  </w:t>
      </w:r>
      <w:r>
        <w:rPr>
          <w:rFonts w:hint="eastAsia" w:ascii="楷体" w:hAnsi="楷体" w:eastAsia="楷体"/>
          <w:color w:val="000000"/>
          <w:sz w:val="36"/>
          <w:szCs w:val="36"/>
        </w:rPr>
        <w:t xml:space="preserve"> </w:t>
      </w:r>
    </w:p>
    <w:p>
      <w:pPr>
        <w:wordWrap w:val="0"/>
        <w:spacing w:line="640" w:lineRule="exact"/>
        <w:jc w:val="center"/>
        <w:rPr>
          <w:rFonts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 xml:space="preserve"> </w:t>
      </w:r>
    </w:p>
    <w:p>
      <w:pPr>
        <w:jc w:val="left"/>
        <w:rPr>
          <w:rFonts w:ascii="楷体" w:hAnsi="楷体" w:eastAsia="楷体"/>
          <w:color w:val="FF0000"/>
          <w:sz w:val="30"/>
          <w:szCs w:val="30"/>
        </w:rPr>
      </w:pPr>
    </w:p>
    <w:p>
      <w:pPr>
        <w:jc w:val="left"/>
        <w:rPr>
          <w:rFonts w:ascii="楷体" w:hAnsi="楷体" w:eastAsia="楷体"/>
          <w:color w:val="FF0000"/>
          <w:sz w:val="30"/>
          <w:szCs w:val="30"/>
        </w:rPr>
      </w:pPr>
    </w:p>
    <w:p>
      <w:pPr>
        <w:jc w:val="left"/>
        <w:rPr>
          <w:rFonts w:ascii="楷体" w:hAnsi="楷体" w:eastAsia="楷体"/>
          <w:color w:val="FF0000"/>
          <w:sz w:val="30"/>
          <w:szCs w:val="30"/>
        </w:rPr>
      </w:pPr>
    </w:p>
    <w:p>
      <w:pPr>
        <w:jc w:val="left"/>
        <w:rPr>
          <w:rFonts w:ascii="楷体" w:hAnsi="楷体" w:eastAsia="楷体"/>
          <w:color w:val="FF0000"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大兴区瀛海镇区级统筹集建地YZ00-0803-2025等地块共有产权房项目建设方案</w:t>
      </w:r>
    </w:p>
    <w:p>
      <w:pPr>
        <w:pStyle w:val="5"/>
        <w:spacing w:before="0" w:beforeAutospacing="0" w:after="0" w:afterAutospacing="0"/>
        <w:jc w:val="center"/>
      </w:pPr>
    </w:p>
    <w:p>
      <w:pPr>
        <w:pStyle w:val="5"/>
        <w:spacing w:before="0" w:beforeAutospacing="0" w:after="0" w:afterAutospacing="0"/>
        <w:jc w:val="center"/>
      </w:pPr>
      <w:r>
        <w:t>大兴区集（202</w:t>
      </w:r>
      <w:r>
        <w:rPr>
          <w:rFonts w:hint="eastAsia"/>
        </w:rPr>
        <w:t>4</w:t>
      </w:r>
      <w:r>
        <w:t>）</w:t>
      </w:r>
      <w:r>
        <w:rPr>
          <w:rFonts w:hint="eastAsia"/>
          <w:lang w:val="en-US" w:eastAsia="zh-CN"/>
        </w:rPr>
        <w:t>2</w:t>
      </w:r>
      <w: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z w:val="32"/>
          <w:szCs w:val="32"/>
        </w:rPr>
        <w:t>本项目建设方案执行《北京市新建商品住宅小区住宅与市政公用基础设施、公共服务设施同步交付使用管理暂行办法》（京建法〔2007〕99号）规定及相关要求，依据</w:t>
      </w:r>
      <w:r>
        <w:rPr>
          <w:rFonts w:hint="eastAsia" w:ascii="仿宋_GB2312" w:hAnsi="仿宋_GB2312" w:eastAsia="仿宋_GB2312" w:cs="Times New Roman"/>
          <w:snapToGrid w:val="0"/>
          <w:color w:val="auto"/>
          <w:sz w:val="32"/>
          <w:szCs w:val="32"/>
          <w:u w:val="single"/>
          <w:lang w:val="en-US" w:eastAsia="zh-CN"/>
        </w:rPr>
        <w:t>《关于大兴区瀛海镇区级统筹集建地YZ00-0803-2025等地块共有产权房供地项目“多规合一”协同平台审核意见的函》（京规自（大)供审函[2023]0019号）、项目设计方案、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《多规合一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协同平台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会商意见》（2024规自（大）综审字0013号）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及附图中技术经济指标和居住公共服务设施指标</w:t>
      </w:r>
      <w:r>
        <w:rPr>
          <w:rFonts w:hint="eastAsia" w:ascii="仿宋_GB2312" w:hAnsi="仿宋_GB2312" w:eastAsia="仿宋_GB2312"/>
          <w:snapToGrid w:val="0"/>
          <w:color w:val="auto"/>
          <w:sz w:val="32"/>
          <w:szCs w:val="32"/>
        </w:rPr>
        <w:t>编制，</w:t>
      </w:r>
      <w:r>
        <w:rPr>
          <w:rFonts w:hint="eastAsia" w:ascii="仿宋_GB2312" w:hAnsi="仿宋_GB2312" w:eastAsia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具体内容如下：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黑体" w:eastAsia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总体建设分期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该项目建筑面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99521.46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平方米，其中住宅建筑面积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558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</w:rPr>
        <w:t>47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.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</w:rPr>
        <w:t>22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平方米（含商品住宅建筑面积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  <w:lang w:eastAsia="zh-Hans"/>
        </w:rPr>
        <w:t>.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  <w:lang w:eastAsia="zh-Hans"/>
        </w:rPr>
        <w:t>00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万平方米，政策性住房建筑面积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558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</w:rPr>
        <w:t>47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.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u w:val="single"/>
        </w:rPr>
        <w:t>22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平方米），商业建筑面积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平方米，办公建筑面积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平方米，其他建筑面积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43674.24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平方米，分为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一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期开发建设。项目位于大兴区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Hans"/>
        </w:rPr>
        <w:t>瀛海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镇，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四至范围：YZ00-0803-2025地块四至范围为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东至YZ00-0803-2022、2028地块西边线，南至YZ00-0803-2026、2027地块北边线，西至规划瀛义街东红线，北至YZ00-0803-2021地块南边线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；YZ00-0803-2026地块四至范围为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东至YZ00-0803-2027地块西边线，南至规划四义北路北红线，西至规划瀛义街东红线，北至YZ00-0803-2025地块南边线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；YZ00-0803-2027地块四至范围为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东至YZ000803-2028地块西边线，南至规划四义北路北红线，西至YZ00-0803-2026地块东边线，北至YZ00-0803-2025地块南边线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；YZ00-0803-2056地块四至范围为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东至规划瀛隆街西红线，南至规划四义北路北红线，西至YZ00-0803-2028地块东边线，北至YZ00-0803-2028地块南边线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计划建设时间为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日至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2027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30</w:t>
      </w:r>
      <w:r>
        <w:rPr>
          <w:rFonts w:hint="eastAsia" w:ascii="仿宋_GB2312" w:hAns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二、建设内容</w:t>
      </w:r>
    </w:p>
    <w:p>
      <w:pPr>
        <w:pStyle w:val="5"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建筑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99521.46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平方米，其中住宅建筑面积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558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>47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.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平方米（含商品住宅建筑面积</w:t>
      </w:r>
      <w:r>
        <w:rPr>
          <w:rFonts w:ascii="仿宋_GB2312" w:hAnsi="仿宋_GB2312" w:eastAsia="仿宋_GB2312"/>
          <w:sz w:val="32"/>
          <w:szCs w:val="32"/>
          <w:highlight w:val="none"/>
          <w:u w:val="single"/>
        </w:rPr>
        <w:t>0</w:t>
      </w:r>
      <w:r>
        <w:rPr>
          <w:rFonts w:hint="eastAsia" w:ascii="仿宋_GB2312" w:hAnsi="仿宋_GB2312" w:eastAsia="仿宋_GB2312"/>
          <w:sz w:val="32"/>
          <w:szCs w:val="32"/>
          <w:highlight w:val="none"/>
          <w:u w:val="single"/>
          <w:lang w:eastAsia="zh-Hans"/>
        </w:rPr>
        <w:t>.</w:t>
      </w:r>
      <w:r>
        <w:rPr>
          <w:rFonts w:ascii="仿宋_GB2312" w:hAnsi="仿宋_GB2312" w:eastAsia="仿宋_GB2312"/>
          <w:sz w:val="32"/>
          <w:szCs w:val="32"/>
          <w:highlight w:val="none"/>
          <w:u w:val="single"/>
          <w:lang w:eastAsia="zh-Hans"/>
        </w:rPr>
        <w:t>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平方米，政策性住房建筑面积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558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>47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.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平方米），商业建筑面积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平方米，办公建筑面积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0.00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平方米，其他建筑面积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43674.24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平方米。</w:t>
      </w:r>
    </w:p>
    <w:p>
      <w:pPr>
        <w:widowControl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本期居住公共服务设施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物业服务用房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152.69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25-1#住宅楼一层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室外运动场地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用地面积380平方米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结合中心绿地做环形健身路径面积260平方米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25-5#东侧设置集中运动场地120平方米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社区管理服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务用房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719.09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7#配套楼一层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11#配套楼一层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托老所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1084.99平方米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11#配套楼二层、三层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老年活动场站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203.35平方米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11#配套楼二层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社区助残服务中心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211.18平方米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11#配套楼一层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出租汽车站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用地面积50平方米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、建设位置：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>位于地块西侧出入口南侧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存自行车处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地上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val="en-US" w:eastAsia="zh-CN"/>
        </w:rPr>
        <w:t>560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辆，地下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val="en-US" w:eastAsia="zh-CN"/>
        </w:rPr>
        <w:t>56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8辆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、建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设位置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：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地下分别位于5#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6#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9#地下室及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  <w:lang w:val="en-US" w:eastAsia="zh-CN"/>
        </w:rPr>
        <w:t>地下车库内，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highlight w:val="none"/>
          <w:u w:val="single"/>
        </w:rPr>
        <w:t>地上分别位于各楼前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；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居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民汽车场库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地上24辆，地下610辆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位于地下车库内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小型商服（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便利店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13.93平方米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位于4#配套楼一层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再生资源回收点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用地面积6平方米</w:t>
      </w:r>
      <w:r>
        <w:rPr>
          <w:rStyle w:val="10"/>
          <w:rFonts w:ascii="仿宋_GB2312" w:hAnsi="微软雅黑" w:eastAsia="仿宋_GB2312"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位于11#配套楼北侧路旁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再生资源回收站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18.09平方米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位于4#配套楼一层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其他商业服务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098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位于1#配套楼、3#配套楼和5#配套楼二层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eastAsia="zh-Hans"/>
        </w:rPr>
        <w:t>图书馆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10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val="en-US" w:eastAsia="zh-CN"/>
        </w:rPr>
        <w:t>1.79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平方米</w:t>
      </w:r>
      <w:r>
        <w:rPr>
          <w:rStyle w:val="10"/>
          <w:rFonts w:ascii="仿宋_GB2312" w:hAnsi="微软雅黑" w:eastAsia="仿宋_GB2312"/>
          <w:sz w:val="32"/>
          <w:szCs w:val="32"/>
          <w:highlight w:val="none"/>
          <w:lang w:eastAsia="zh-Hans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建设位置：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25-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single"/>
        </w:rPr>
        <w:t>7#配套楼地下一层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eastAsia="zh-Hans"/>
        </w:rPr>
        <w:t>健身馆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  <w:lang w:val="en-US" w:eastAsia="zh-CN"/>
        </w:rPr>
        <w:t>103.97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  <w:u w:val="single"/>
        </w:rPr>
        <w:t>平方米</w:t>
      </w:r>
      <w:r>
        <w:rPr>
          <w:rStyle w:val="10"/>
          <w:rFonts w:ascii="仿宋_GB2312" w:hAnsi="微软雅黑" w:eastAsia="仿宋_GB2312"/>
          <w:sz w:val="32"/>
          <w:szCs w:val="32"/>
          <w:highlight w:val="none"/>
          <w:lang w:eastAsia="zh-Hans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highlight w:val="none"/>
        </w:rPr>
        <w:t>建设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位置：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</w:rPr>
        <w:t>25-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7#配套楼地下一层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2026地块幼儿园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489.23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-1#楼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幼儿园门卫室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61.83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-2#楼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_GB2312" w:hAnsi="仿宋_GB2312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本期市政公用基础设施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燃气调压柜</w:t>
      </w:r>
      <w:r>
        <w:rPr>
          <w:rStyle w:val="10"/>
          <w:rFonts w:ascii="仿宋_GB2312" w:hAnsi="微软雅黑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箱</w:t>
      </w:r>
      <w:r>
        <w:rPr>
          <w:rStyle w:val="10"/>
          <w:rFonts w:ascii="仿宋_GB2312" w:hAnsi="微软雅黑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用地面积27平方米</w:t>
      </w:r>
      <w:r>
        <w:rPr>
          <w:rStyle w:val="10"/>
          <w:rFonts w:ascii="仿宋_GB2312" w:hAnsi="微软雅黑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建设位置：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位于地块东北角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耦合式清洁能源站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304.69平方米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地下一层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室内覆盖系统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20.64平方米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位于5#楼南侧地下室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固定通信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设备间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20.64平方米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位于5#楼南侧地下室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有线电视光电转换间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16.13平方米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位于5#楼南侧地下室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配电室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384.6平方米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分别位于7#配套楼一层；25-12#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配套楼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</w:rPr>
        <w:t>生活垃圾分类收集点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u w:val="single"/>
        </w:rPr>
        <w:t>用地面积30平方米</w:t>
      </w:r>
      <w:r>
        <w:rPr>
          <w:rFonts w:hint="eastAsia" w:ascii="仿宋_GB2312" w:hAnsi="仿宋" w:eastAsia="仿宋_GB2312"/>
          <w:sz w:val="32"/>
          <w:szCs w:val="32"/>
        </w:rPr>
        <w:t>、建设位置：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>每处5平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方</w:t>
      </w:r>
      <w:r>
        <w:rPr>
          <w:rFonts w:hint="eastAsia" w:ascii="仿宋_GB2312" w:hAnsi="仿宋" w:eastAsia="仿宋_GB2312"/>
          <w:sz w:val="32"/>
          <w:szCs w:val="32"/>
          <w:u w:val="single"/>
        </w:rPr>
        <w:t>米，合计6处，放道路旁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  <w:lang w:eastAsia="zh-Hans"/>
        </w:rPr>
        <w:t>下凹式绿地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</w:rPr>
        <w:t>用地面积7537.11平方米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、建设位置：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>下凹式绿地面积不小于绿地面积60%，全部设置于实土绿地处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  <w:lang w:eastAsia="zh-Hans"/>
        </w:rPr>
        <w:t>透水铺装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</w:rPr>
        <w:t>率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sz w:val="32"/>
          <w:szCs w:val="32"/>
          <w:u w:val="single"/>
        </w:rPr>
        <w:t>用地面积2338平方米</w:t>
      </w:r>
      <w:r>
        <w:rPr>
          <w:rStyle w:val="10"/>
          <w:rFonts w:hint="eastAsia" w:ascii="仿宋_GB2312" w:hAnsi="微软雅黑" w:eastAsia="仿宋_GB2312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建设位置：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主要设置于室外活动场地，满足公共停车场、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人行道、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自行车道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和建设工程的外部庭院的透水铺装率不小于70%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:lang w:eastAsia="zh-Hans"/>
          <w14:textFill>
            <w14:solidFill>
              <w14:schemeClr w14:val="tx1"/>
            </w14:solidFill>
          </w14:textFill>
        </w:rPr>
        <w:t>雨水调蓄设施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容积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200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立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方米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建设位置：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位于西侧出入口北侧地下</w:t>
      </w:r>
      <w:r>
        <w:rPr>
          <w:rStyle w:val="10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邮政所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455.86平方米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建设位置：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7#配套楼一层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2027地块停车场，变电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箱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用地面积5000平方米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2027地块内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eastAsia="zh-CN"/>
        </w:rPr>
        <w:t>垃圾转运站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534.31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平方米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、建设位置：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2056地块内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本期代征道路用地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/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平方米、建设位置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/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本期代征绿化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/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平方米、建设位置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/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计划建设时间为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日至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2027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30</w:t>
      </w:r>
      <w:r>
        <w:rPr>
          <w:rFonts w:hint="eastAsia" w:ascii="仿宋_GB2312" w:hAns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三、建设时序</w:t>
      </w:r>
    </w:p>
    <w:p>
      <w:pPr>
        <w:widowControl/>
        <w:ind w:firstLine="640" w:firstLineChars="200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u w:val="single"/>
        </w:rPr>
        <w:t>25-1#共有产权楼、25-3#共有产权楼、25-5#共有产权楼、25-6#共有产权楼、25-8#共有产权楼、25-9#共有产权楼、25-</w:t>
      </w:r>
      <w:r>
        <w:rPr>
          <w:rFonts w:hint="eastAsia" w:ascii="仿宋_GB2312" w:hAnsi="仿宋" w:eastAsia="仿宋_GB2312"/>
          <w:sz w:val="32"/>
          <w:szCs w:val="32"/>
          <w:u w:val="single"/>
        </w:rPr>
        <w:t>10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u w:val="single"/>
        </w:rPr>
        <w:t>#共有产权楼、25-2#配套楼、25-4#配套楼、25-7#配套楼、25-11#配套楼、25-12#配电室、25-地下车库、25-门房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、2026地块幼儿园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幼儿园门卫室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、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垃圾</w:t>
      </w:r>
      <w:bookmarkStart w:id="0" w:name="_GoBack"/>
      <w:bookmarkEnd w:id="0"/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转运站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应与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物业服务用房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室外运动场地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社区管理服务用房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托老所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老年活动站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社区助残服务中心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出租汽车站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存自行车处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居民汽车场库、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小型商服（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便利店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再生资源回收点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>再生资源回收站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其他商业服务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图书馆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健身馆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2026地块幼儿园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2026地块幼儿园门卫室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等居住公共服务设施</w:t>
      </w:r>
      <w:r>
        <w:rPr>
          <w:rFonts w:ascii="仿宋_GB2312" w:hAnsi="仿宋" w:eastAsia="仿宋_GB2312"/>
          <w:color w:val="auto"/>
          <w:sz w:val="32"/>
          <w:szCs w:val="32"/>
        </w:rPr>
        <w:t>，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燃气调压柜</w:t>
      </w:r>
      <w:r>
        <w:rPr>
          <w:rStyle w:val="10"/>
          <w:rFonts w:ascii="仿宋_GB2312" w:hAnsi="微软雅黑" w:eastAsia="仿宋_GB2312"/>
          <w:color w:val="auto"/>
          <w:sz w:val="32"/>
          <w:szCs w:val="32"/>
          <w:u w:val="single"/>
          <w:lang w:eastAsia="zh-Hans"/>
        </w:rPr>
        <w:t>（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箱</w:t>
      </w:r>
      <w:r>
        <w:rPr>
          <w:rStyle w:val="10"/>
          <w:rFonts w:ascii="仿宋_GB2312" w:hAnsi="微软雅黑" w:eastAsia="仿宋_GB2312"/>
          <w:color w:val="auto"/>
          <w:sz w:val="32"/>
          <w:szCs w:val="32"/>
          <w:u w:val="single"/>
          <w:lang w:eastAsia="zh-Hans"/>
        </w:rPr>
        <w:t>）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耦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合式清洁能源站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eastAsia="zh-Hans"/>
        </w:rPr>
        <w:t>室内覆盖系统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机房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固定通信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eastAsia="zh-Hans"/>
        </w:rPr>
        <w:t>设备间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eastAsia="zh-Hans"/>
        </w:rPr>
        <w:t>有线电视光电转换间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配电室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生活垃圾分类收集点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下凹式绿地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透水铺装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</w:rPr>
        <w:t>率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  <w:u w:val="single"/>
          <w:lang w:eastAsia="zh-Hans"/>
        </w:rPr>
        <w:t>雨水调蓄设施</w:t>
      </w:r>
      <w:r>
        <w:rPr>
          <w:rStyle w:val="10"/>
          <w:rFonts w:hint="eastAsia" w:ascii="仿宋_GB2312" w:hAnsi="微软雅黑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邮政所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</w:rPr>
        <w:t>2027地块停车场，变电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>箱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single"/>
          <w:lang w:eastAsia="zh-CN"/>
        </w:rPr>
        <w:t>垃圾转运站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等市政公用</w:t>
      </w:r>
      <w:r>
        <w:rPr>
          <w:rFonts w:hint="eastAsia" w:ascii="仿宋_GB2312" w:hAnsi="仿宋" w:eastAsia="仿宋_GB2312"/>
          <w:sz w:val="32"/>
          <w:szCs w:val="32"/>
        </w:rPr>
        <w:t>基础设施一同办理工程施工招标、施工许可、竣工验收。</w:t>
      </w:r>
    </w:p>
    <w:p>
      <w:pPr>
        <w:pStyle w:val="11"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最后一栋</w:t>
      </w:r>
      <w:r>
        <w:rPr>
          <w:rFonts w:hint="eastAsia" w:ascii="仿宋_GB2312" w:hAnsi="仿宋" w:eastAsia="仿宋_GB2312"/>
          <w:sz w:val="32"/>
          <w:szCs w:val="32"/>
          <w:u w:val="single"/>
        </w:rPr>
        <w:t>10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u w:val="single"/>
        </w:rPr>
        <w:t>#共有产权楼</w:t>
      </w:r>
      <w:r>
        <w:rPr>
          <w:rFonts w:hint="eastAsia" w:ascii="仿宋_GB2312" w:hAnsi="仿宋" w:eastAsia="仿宋_GB2312"/>
          <w:sz w:val="32"/>
          <w:szCs w:val="32"/>
        </w:rPr>
        <w:t>竣工验收前，应完成本期内所有公共服务设施、市政公用基础设施、代征道路及代征绿化。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 xml:space="preserve">四、物业管理区域 </w:t>
      </w:r>
    </w:p>
    <w:p>
      <w:pPr>
        <w:spacing w:line="560" w:lineRule="exact"/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32"/>
          <w:szCs w:val="32"/>
        </w:rPr>
        <w:t>本居住小区为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个物业管理区域，具体范围：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YZ00-0803-2025地块四至范围为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>东至YZ00-0803-2022、2028地块西边线，南至YZ00-0803-2026、2027地块北边线，西至规划瀛义街东红线，北至YZ00-0803-2021地块南边线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五、其他事项</w:t>
      </w:r>
    </w:p>
    <w:p>
      <w:pPr>
        <w:pStyle w:val="11"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/>
          <w:sz w:val="32"/>
          <w:szCs w:val="28"/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本项目红线范围外各个方向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米范围内无化工厂、无垃圾场，红线范围外</w:t>
      </w:r>
      <w:r>
        <w:rPr>
          <w:rFonts w:hint="eastAsia" w:ascii="仿宋_GB2312" w:hAnsi="仿宋_GB2312" w:eastAsia="仿宋_GB2312" w:cs="Times New Roman"/>
          <w:sz w:val="32"/>
          <w:szCs w:val="28"/>
        </w:rPr>
        <w:t>西侧</w:t>
      </w:r>
      <w:r>
        <w:rPr>
          <w:rFonts w:hint="eastAsia" w:ascii="仿宋_GB2312" w:hAnsi="仿宋_GB2312" w:eastAsia="仿宋_GB2312" w:cs="Times New Roman"/>
          <w:sz w:val="32"/>
          <w:szCs w:val="28"/>
          <w:u w:val="single"/>
        </w:rPr>
        <w:t>2000</w:t>
      </w:r>
      <w:r>
        <w:rPr>
          <w:rFonts w:hint="eastAsia" w:ascii="仿宋_GB2312" w:hAnsi="仿宋_GB2312" w:eastAsia="仿宋_GB2312" w:cs="Times New Roman"/>
          <w:sz w:val="32"/>
          <w:szCs w:val="28"/>
        </w:rPr>
        <w:t>米内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有墓地。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仿宋_GB2312" w:eastAsia="仿宋_GB2312"/>
          <w:sz w:val="32"/>
          <w:szCs w:val="28"/>
        </w:rPr>
      </w:pPr>
    </w:p>
    <w:p>
      <w:pPr>
        <w:ind w:firstLine="2880" w:firstLineChars="900"/>
        <w:rPr>
          <w:rFonts w:ascii="仿宋_GB2312" w:hAns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仿宋_GB2312" w:hAnsi="仿宋_GB2312" w:eastAsia="仿宋_GB2312"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建设单位：</w:t>
      </w:r>
      <w:r>
        <w:rPr>
          <w:rFonts w:hint="eastAsia" w:ascii="仿宋_GB2312" w:hAnsi="仿宋_GB2312" w:eastAsia="仿宋_GB2312"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>北京大兴发展集地开发有限公司</w:t>
      </w:r>
    </w:p>
    <w:p>
      <w:pPr>
        <w:jc w:val="center"/>
        <w:rPr>
          <w:rFonts w:ascii="仿宋_GB2312" w:eastAsia="仿宋_GB2312"/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日期：2024年</w:t>
      </w:r>
      <w:r>
        <w:rPr>
          <w:rFonts w:hint="eastAsia" w:ascii="仿宋_GB2312" w:hAnsi="仿宋_GB2312" w:eastAsia="仿宋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7F050"/>
    <w:multiLevelType w:val="singleLevel"/>
    <w:tmpl w:val="AF37F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MGY5MmIxYWU2ZjNjNTZiNTQyMTcxMDdhOTY0YmEifQ=="/>
  </w:docVars>
  <w:rsids>
    <w:rsidRoot w:val="004E2DAA"/>
    <w:rsid w:val="0000029A"/>
    <w:rsid w:val="00007095"/>
    <w:rsid w:val="00017076"/>
    <w:rsid w:val="00020544"/>
    <w:rsid w:val="000337C8"/>
    <w:rsid w:val="00037264"/>
    <w:rsid w:val="000A5757"/>
    <w:rsid w:val="000A78F8"/>
    <w:rsid w:val="000B1279"/>
    <w:rsid w:val="001126F2"/>
    <w:rsid w:val="0014737F"/>
    <w:rsid w:val="00151387"/>
    <w:rsid w:val="00161BCB"/>
    <w:rsid w:val="001B1F72"/>
    <w:rsid w:val="001E6D1E"/>
    <w:rsid w:val="0020413F"/>
    <w:rsid w:val="00236276"/>
    <w:rsid w:val="002676BE"/>
    <w:rsid w:val="002778A4"/>
    <w:rsid w:val="002943AE"/>
    <w:rsid w:val="002A7796"/>
    <w:rsid w:val="002D0555"/>
    <w:rsid w:val="0030605C"/>
    <w:rsid w:val="00321F5E"/>
    <w:rsid w:val="00330646"/>
    <w:rsid w:val="003521F4"/>
    <w:rsid w:val="0037558C"/>
    <w:rsid w:val="003A000F"/>
    <w:rsid w:val="003A4764"/>
    <w:rsid w:val="003A50F8"/>
    <w:rsid w:val="003A5206"/>
    <w:rsid w:val="003A7CA7"/>
    <w:rsid w:val="003B40C5"/>
    <w:rsid w:val="003B40D6"/>
    <w:rsid w:val="003D58FA"/>
    <w:rsid w:val="003F513A"/>
    <w:rsid w:val="00411F0B"/>
    <w:rsid w:val="00422097"/>
    <w:rsid w:val="00444BDC"/>
    <w:rsid w:val="00472B28"/>
    <w:rsid w:val="00490B57"/>
    <w:rsid w:val="00492D5C"/>
    <w:rsid w:val="004A31C9"/>
    <w:rsid w:val="004E2DAA"/>
    <w:rsid w:val="005144C1"/>
    <w:rsid w:val="00590003"/>
    <w:rsid w:val="005A191F"/>
    <w:rsid w:val="005D7AFB"/>
    <w:rsid w:val="005E2BE6"/>
    <w:rsid w:val="005E6CDD"/>
    <w:rsid w:val="00627C79"/>
    <w:rsid w:val="00655E80"/>
    <w:rsid w:val="00667A13"/>
    <w:rsid w:val="0067524E"/>
    <w:rsid w:val="00700986"/>
    <w:rsid w:val="00756D4D"/>
    <w:rsid w:val="00772791"/>
    <w:rsid w:val="007B6826"/>
    <w:rsid w:val="007C39B2"/>
    <w:rsid w:val="007F3739"/>
    <w:rsid w:val="007F5BF5"/>
    <w:rsid w:val="0082259A"/>
    <w:rsid w:val="00831DE7"/>
    <w:rsid w:val="00841669"/>
    <w:rsid w:val="00843D92"/>
    <w:rsid w:val="00846DB7"/>
    <w:rsid w:val="00866692"/>
    <w:rsid w:val="00871648"/>
    <w:rsid w:val="008728C5"/>
    <w:rsid w:val="008D0570"/>
    <w:rsid w:val="008E63BC"/>
    <w:rsid w:val="008E7A7D"/>
    <w:rsid w:val="009679D5"/>
    <w:rsid w:val="009703F8"/>
    <w:rsid w:val="00996241"/>
    <w:rsid w:val="009D20A5"/>
    <w:rsid w:val="009E446F"/>
    <w:rsid w:val="009F189E"/>
    <w:rsid w:val="00A34357"/>
    <w:rsid w:val="00A40FE4"/>
    <w:rsid w:val="00A65AC2"/>
    <w:rsid w:val="00A7337B"/>
    <w:rsid w:val="00A82E2D"/>
    <w:rsid w:val="00AB2921"/>
    <w:rsid w:val="00AB3250"/>
    <w:rsid w:val="00AD7D0C"/>
    <w:rsid w:val="00AE64A1"/>
    <w:rsid w:val="00B00EC8"/>
    <w:rsid w:val="00B51800"/>
    <w:rsid w:val="00B52268"/>
    <w:rsid w:val="00B53879"/>
    <w:rsid w:val="00B56CC1"/>
    <w:rsid w:val="00BA077E"/>
    <w:rsid w:val="00BA69D5"/>
    <w:rsid w:val="00BB2EC5"/>
    <w:rsid w:val="00BD205B"/>
    <w:rsid w:val="00C03A51"/>
    <w:rsid w:val="00C04193"/>
    <w:rsid w:val="00C131D3"/>
    <w:rsid w:val="00C54623"/>
    <w:rsid w:val="00C72A53"/>
    <w:rsid w:val="00C83815"/>
    <w:rsid w:val="00C9061A"/>
    <w:rsid w:val="00CA42E0"/>
    <w:rsid w:val="00CB639F"/>
    <w:rsid w:val="00CC0A91"/>
    <w:rsid w:val="00CE519A"/>
    <w:rsid w:val="00CF4937"/>
    <w:rsid w:val="00D16BE7"/>
    <w:rsid w:val="00D34064"/>
    <w:rsid w:val="00D84C21"/>
    <w:rsid w:val="00DB3726"/>
    <w:rsid w:val="00DE2E79"/>
    <w:rsid w:val="00E36567"/>
    <w:rsid w:val="00E71594"/>
    <w:rsid w:val="00E74362"/>
    <w:rsid w:val="00E96B0C"/>
    <w:rsid w:val="00E971FD"/>
    <w:rsid w:val="00EA1152"/>
    <w:rsid w:val="00EB57F6"/>
    <w:rsid w:val="00F00CC2"/>
    <w:rsid w:val="00F14CAC"/>
    <w:rsid w:val="00F17E45"/>
    <w:rsid w:val="00F249AE"/>
    <w:rsid w:val="00FB6D70"/>
    <w:rsid w:val="00FC075B"/>
    <w:rsid w:val="00FD0261"/>
    <w:rsid w:val="013761E2"/>
    <w:rsid w:val="0147778C"/>
    <w:rsid w:val="027619AC"/>
    <w:rsid w:val="03406D51"/>
    <w:rsid w:val="040C70AC"/>
    <w:rsid w:val="049820AD"/>
    <w:rsid w:val="04FB7868"/>
    <w:rsid w:val="052878DE"/>
    <w:rsid w:val="05C14AFD"/>
    <w:rsid w:val="05C50758"/>
    <w:rsid w:val="06035C4C"/>
    <w:rsid w:val="07C37441"/>
    <w:rsid w:val="082D6900"/>
    <w:rsid w:val="083B2D6E"/>
    <w:rsid w:val="085B1D6F"/>
    <w:rsid w:val="086F75C9"/>
    <w:rsid w:val="093920B1"/>
    <w:rsid w:val="099E0166"/>
    <w:rsid w:val="09C3197A"/>
    <w:rsid w:val="09ED3EF2"/>
    <w:rsid w:val="0A142A7C"/>
    <w:rsid w:val="0A220AAD"/>
    <w:rsid w:val="0A73514E"/>
    <w:rsid w:val="0AFD1FC3"/>
    <w:rsid w:val="0B907F82"/>
    <w:rsid w:val="0BA5401E"/>
    <w:rsid w:val="0BE04A65"/>
    <w:rsid w:val="0D5154EF"/>
    <w:rsid w:val="0EAA3109"/>
    <w:rsid w:val="0EEF4FBF"/>
    <w:rsid w:val="0F885E79"/>
    <w:rsid w:val="0FED5D33"/>
    <w:rsid w:val="10190546"/>
    <w:rsid w:val="10A87050"/>
    <w:rsid w:val="10EE19D3"/>
    <w:rsid w:val="10F13271"/>
    <w:rsid w:val="11146F5F"/>
    <w:rsid w:val="123258EF"/>
    <w:rsid w:val="12C64289"/>
    <w:rsid w:val="13392CAD"/>
    <w:rsid w:val="13B32A60"/>
    <w:rsid w:val="143811B7"/>
    <w:rsid w:val="15C56A7A"/>
    <w:rsid w:val="15DA50BE"/>
    <w:rsid w:val="16314110"/>
    <w:rsid w:val="16491459"/>
    <w:rsid w:val="172C230B"/>
    <w:rsid w:val="17B91576"/>
    <w:rsid w:val="18B21F02"/>
    <w:rsid w:val="1B634D6B"/>
    <w:rsid w:val="1BBB4BA7"/>
    <w:rsid w:val="1C281B11"/>
    <w:rsid w:val="1D6F5D6D"/>
    <w:rsid w:val="1D7E5E8C"/>
    <w:rsid w:val="1F4C4878"/>
    <w:rsid w:val="1F4D1FBA"/>
    <w:rsid w:val="1FAB27EE"/>
    <w:rsid w:val="20482782"/>
    <w:rsid w:val="20F50095"/>
    <w:rsid w:val="21076199"/>
    <w:rsid w:val="210C7C53"/>
    <w:rsid w:val="215350A2"/>
    <w:rsid w:val="21E169EA"/>
    <w:rsid w:val="22394A78"/>
    <w:rsid w:val="239F4DAE"/>
    <w:rsid w:val="2492221D"/>
    <w:rsid w:val="258C35F4"/>
    <w:rsid w:val="25E00F62"/>
    <w:rsid w:val="261D6632"/>
    <w:rsid w:val="267918E7"/>
    <w:rsid w:val="26993D37"/>
    <w:rsid w:val="26A050C5"/>
    <w:rsid w:val="271635D9"/>
    <w:rsid w:val="273852FE"/>
    <w:rsid w:val="27602AA7"/>
    <w:rsid w:val="297E7214"/>
    <w:rsid w:val="2B3A130F"/>
    <w:rsid w:val="2BB313F7"/>
    <w:rsid w:val="2C4209CD"/>
    <w:rsid w:val="2DB33930"/>
    <w:rsid w:val="2E440A2C"/>
    <w:rsid w:val="2E5F36A1"/>
    <w:rsid w:val="2EDC0C65"/>
    <w:rsid w:val="2F7C41F6"/>
    <w:rsid w:val="2FFB3907"/>
    <w:rsid w:val="30316D8E"/>
    <w:rsid w:val="30F229C1"/>
    <w:rsid w:val="319C46DB"/>
    <w:rsid w:val="325D3E6B"/>
    <w:rsid w:val="32EE7A0B"/>
    <w:rsid w:val="330E1609"/>
    <w:rsid w:val="33AF5D96"/>
    <w:rsid w:val="34342886"/>
    <w:rsid w:val="34ED3C77"/>
    <w:rsid w:val="35643762"/>
    <w:rsid w:val="35731ECC"/>
    <w:rsid w:val="36C24BE4"/>
    <w:rsid w:val="376C4B50"/>
    <w:rsid w:val="37B41096"/>
    <w:rsid w:val="3A865F28"/>
    <w:rsid w:val="3AF439DA"/>
    <w:rsid w:val="3B8406BA"/>
    <w:rsid w:val="3BF10679"/>
    <w:rsid w:val="3CE533DA"/>
    <w:rsid w:val="3CF15043"/>
    <w:rsid w:val="3CFD26CE"/>
    <w:rsid w:val="3CFD6976"/>
    <w:rsid w:val="3D17158D"/>
    <w:rsid w:val="3D265EFE"/>
    <w:rsid w:val="3DF5589F"/>
    <w:rsid w:val="3E7C17DC"/>
    <w:rsid w:val="3EB31A9C"/>
    <w:rsid w:val="3F147EF4"/>
    <w:rsid w:val="3FAE5475"/>
    <w:rsid w:val="404623E2"/>
    <w:rsid w:val="40D914A8"/>
    <w:rsid w:val="40EC7AC7"/>
    <w:rsid w:val="412546ED"/>
    <w:rsid w:val="41B17D2F"/>
    <w:rsid w:val="428C0CF8"/>
    <w:rsid w:val="43151BC2"/>
    <w:rsid w:val="437C6D95"/>
    <w:rsid w:val="43F6411F"/>
    <w:rsid w:val="45DB26F2"/>
    <w:rsid w:val="46020025"/>
    <w:rsid w:val="4629258A"/>
    <w:rsid w:val="46980E72"/>
    <w:rsid w:val="48E22EC4"/>
    <w:rsid w:val="497879AC"/>
    <w:rsid w:val="49877FE6"/>
    <w:rsid w:val="4BD720DC"/>
    <w:rsid w:val="4F6C798B"/>
    <w:rsid w:val="501222E0"/>
    <w:rsid w:val="50C12188"/>
    <w:rsid w:val="50D21A70"/>
    <w:rsid w:val="5153495F"/>
    <w:rsid w:val="516E79EA"/>
    <w:rsid w:val="52F448D4"/>
    <w:rsid w:val="533407C0"/>
    <w:rsid w:val="53E677A9"/>
    <w:rsid w:val="540208BE"/>
    <w:rsid w:val="540B3CE0"/>
    <w:rsid w:val="541D4195"/>
    <w:rsid w:val="54C53DC5"/>
    <w:rsid w:val="551F1837"/>
    <w:rsid w:val="55A13D6A"/>
    <w:rsid w:val="564D0AD6"/>
    <w:rsid w:val="568B4B9B"/>
    <w:rsid w:val="582726A1"/>
    <w:rsid w:val="58951D01"/>
    <w:rsid w:val="58BB4201"/>
    <w:rsid w:val="59B620E9"/>
    <w:rsid w:val="5A6C4CE3"/>
    <w:rsid w:val="5AB346C0"/>
    <w:rsid w:val="5AB521E6"/>
    <w:rsid w:val="5B500161"/>
    <w:rsid w:val="5B501F0F"/>
    <w:rsid w:val="5C5F1818"/>
    <w:rsid w:val="5C7659A5"/>
    <w:rsid w:val="5C9A78E6"/>
    <w:rsid w:val="5D3B2BC3"/>
    <w:rsid w:val="5D9D76AB"/>
    <w:rsid w:val="5E766130"/>
    <w:rsid w:val="60206354"/>
    <w:rsid w:val="602D0A5F"/>
    <w:rsid w:val="6042276E"/>
    <w:rsid w:val="609826C2"/>
    <w:rsid w:val="631F6D97"/>
    <w:rsid w:val="639A2DF8"/>
    <w:rsid w:val="63E04014"/>
    <w:rsid w:val="641C5084"/>
    <w:rsid w:val="656511A9"/>
    <w:rsid w:val="65B80DDC"/>
    <w:rsid w:val="66106E6A"/>
    <w:rsid w:val="666B64E2"/>
    <w:rsid w:val="67F15D68"/>
    <w:rsid w:val="6B581098"/>
    <w:rsid w:val="6B874B2B"/>
    <w:rsid w:val="6C044D7B"/>
    <w:rsid w:val="6C06576A"/>
    <w:rsid w:val="6C2D03F9"/>
    <w:rsid w:val="6C904CC1"/>
    <w:rsid w:val="6CC83FFB"/>
    <w:rsid w:val="6D241EC5"/>
    <w:rsid w:val="6DE210EC"/>
    <w:rsid w:val="6E685976"/>
    <w:rsid w:val="6EC46A44"/>
    <w:rsid w:val="6ED50C51"/>
    <w:rsid w:val="6F082DD5"/>
    <w:rsid w:val="6F1F1ECC"/>
    <w:rsid w:val="6FB865A9"/>
    <w:rsid w:val="70FB13E5"/>
    <w:rsid w:val="71A389F6"/>
    <w:rsid w:val="71DB032D"/>
    <w:rsid w:val="71E8033C"/>
    <w:rsid w:val="71FE04BF"/>
    <w:rsid w:val="7375030D"/>
    <w:rsid w:val="739E5AB6"/>
    <w:rsid w:val="73FE7FD6"/>
    <w:rsid w:val="74FDA0C4"/>
    <w:rsid w:val="75D83FBC"/>
    <w:rsid w:val="75EA7D72"/>
    <w:rsid w:val="77C41863"/>
    <w:rsid w:val="78370287"/>
    <w:rsid w:val="7A08195A"/>
    <w:rsid w:val="7AD513BF"/>
    <w:rsid w:val="7C222D2B"/>
    <w:rsid w:val="7CDE33C7"/>
    <w:rsid w:val="7DB6216E"/>
    <w:rsid w:val="7E1626EC"/>
    <w:rsid w:val="7E8F7BAF"/>
    <w:rsid w:val="7EBBCB6A"/>
    <w:rsid w:val="7F264BB1"/>
    <w:rsid w:val="7F3E1EFB"/>
    <w:rsid w:val="7FB001D6"/>
    <w:rsid w:val="7FF568AD"/>
    <w:rsid w:val="AEFD0D33"/>
    <w:rsid w:val="DEE50BEF"/>
    <w:rsid w:val="DFAF5CD4"/>
    <w:rsid w:val="F73F036D"/>
    <w:rsid w:val="FB6836E4"/>
    <w:rsid w:val="FFF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underline"/>
    <w:basedOn w:val="7"/>
    <w:qFormat/>
    <w:uiPriority w:val="0"/>
  </w:style>
  <w:style w:type="paragraph" w:customStyle="1" w:styleId="11">
    <w:name w:val="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2312</Words>
  <Characters>2986</Characters>
  <Lines>21</Lines>
  <Paragraphs>6</Paragraphs>
  <TotalTime>8</TotalTime>
  <ScaleCrop>false</ScaleCrop>
  <LinksUpToDate>false</LinksUpToDate>
  <CharactersWithSpaces>2993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2024-03-21T23:50:00Z</dcterms:created>
  <dc:creator>Administrator</dc:creator>
  <cp:lastModifiedBy>周相磊</cp:lastModifiedBy>
  <cp:lastPrinted>2024-05-09T23:57:00Z</cp:lastPrinted>
  <dcterms:modified xsi:type="dcterms:W3CDTF">2024-05-09T17:25:27Z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8CBDFEB8F082488191722405FEE5110F_13</vt:lpwstr>
  </property>
</Properties>
</file>