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sz w:val="36"/>
          <w:szCs w:val="36"/>
        </w:rPr>
        <w:t>行政处罚的立案依据</w:t>
      </w:r>
    </w:p>
    <w:p>
      <w:pP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区发改委行政处罚立案依据是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《中华人民共和国行政处罚法》第五十四条“行政机关发现公民、法人或者其他组织有依法应当给予行政处罚的行为的，必须全面、客观、公正地调查，收集有关证据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；必要时，依照法律、法规的规定，可以进行检查。符合立案标准的，行政机关应当及时立案”；《北京市实施行政处罚程序若干规定》第八条“除依法可以当场决定行政处罚的外，执法人员发现公民、法人或者其他组织有违法行为依法应当给予行政处罚的，应当报行政机关负责人批准立案。”</w:t>
      </w:r>
    </w:p>
    <w:p>
      <w:pPr>
        <w:ind w:firstLine="840" w:firstLineChars="300"/>
        <w:rPr>
          <w:rFonts w:hint="eastAsia" w:ascii="微软雅黑" w:hAnsi="微软雅黑" w:eastAsia="微软雅黑" w:cs="微软雅黑"/>
          <w:i w:val="0"/>
          <w:caps w:val="0"/>
          <w:color w:val="0000FF"/>
          <w:spacing w:val="0"/>
          <w:sz w:val="28"/>
          <w:szCs w:val="28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8769CB"/>
    <w:rsid w:val="20E13575"/>
    <w:rsid w:val="5AC659BD"/>
    <w:rsid w:val="77DE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发改委公文</cp:lastModifiedBy>
  <dcterms:modified xsi:type="dcterms:W3CDTF">2026-06-25T10:00:36Z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