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C1863">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北京市大兴区礼贤镇人民政府立案依据</w:t>
      </w:r>
    </w:p>
    <w:p w14:paraId="6CAD4596">
      <w:pPr>
        <w:jc w:val="center"/>
        <w:rPr>
          <w:rFonts w:hint="eastAsia" w:ascii="黑体" w:hAnsi="黑体" w:eastAsia="黑体" w:cs="黑体"/>
          <w:sz w:val="44"/>
          <w:szCs w:val="44"/>
          <w:lang w:val="en-US" w:eastAsia="zh-CN"/>
        </w:rPr>
      </w:pPr>
    </w:p>
    <w:p w14:paraId="39D7701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3" w:firstLineChars="200"/>
        <w:jc w:val="left"/>
        <w:textAlignment w:val="auto"/>
        <w:rPr>
          <w:rFonts w:hint="default" w:ascii="仿宋_GB2312" w:hAnsi="仿宋_GB2312" w:eastAsia="仿宋_GB2312" w:cs="仿宋_GB2312"/>
          <w:b/>
          <w:bCs/>
          <w:i w:val="0"/>
          <w:iCs w:val="0"/>
          <w:caps w:val="0"/>
          <w:color w:val="333333"/>
          <w:spacing w:val="0"/>
          <w:sz w:val="32"/>
          <w:szCs w:val="32"/>
          <w:shd w:val="clear" w:fill="FFFFFF"/>
          <w:lang w:val="en-US" w:eastAsia="zh-CN"/>
        </w:rPr>
      </w:pPr>
      <w:r>
        <w:rPr>
          <w:rFonts w:hint="eastAsia" w:ascii="仿宋_GB2312" w:hAnsi="仿宋_GB2312" w:eastAsia="仿宋_GB2312" w:cs="仿宋_GB2312"/>
          <w:b/>
          <w:bCs/>
          <w:i w:val="0"/>
          <w:iCs w:val="0"/>
          <w:caps w:val="0"/>
          <w:color w:val="333333"/>
          <w:spacing w:val="0"/>
          <w:sz w:val="32"/>
          <w:szCs w:val="32"/>
          <w:shd w:val="clear" w:fill="FFFFFF"/>
          <w:lang w:val="en-US" w:eastAsia="zh-CN"/>
        </w:rPr>
        <w:t>1.《中华人民共和国行政处罚法》</w:t>
      </w:r>
    </w:p>
    <w:p w14:paraId="49F260F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sz w:val="32"/>
          <w:szCs w:val="32"/>
          <w:shd w:val="clear" w:fill="FFFFFF"/>
        </w:rPr>
      </w:pPr>
      <w:r>
        <w:rPr>
          <w:rFonts w:hint="default" w:ascii="仿宋_GB2312" w:hAnsi="仿宋_GB2312" w:eastAsia="仿宋_GB2312" w:cs="仿宋_GB2312"/>
          <w:i w:val="0"/>
          <w:iCs w:val="0"/>
          <w:caps w:val="0"/>
          <w:color w:val="333333"/>
          <w:spacing w:val="0"/>
          <w:sz w:val="32"/>
          <w:szCs w:val="32"/>
          <w:shd w:val="clear" w:fill="FFFFFF"/>
        </w:rPr>
        <w:t>第二十二条</w:t>
      </w:r>
      <w:r>
        <w:rPr>
          <w:rFonts w:hint="eastAsia" w:ascii="仿宋_GB2312" w:hAnsi="仿宋_GB2312" w:eastAsia="仿宋_GB2312" w:cs="仿宋_GB2312"/>
          <w:i w:val="0"/>
          <w:iCs w:val="0"/>
          <w:caps w:val="0"/>
          <w:color w:val="333333"/>
          <w:spacing w:val="0"/>
          <w:sz w:val="32"/>
          <w:szCs w:val="32"/>
          <w:shd w:val="clear" w:fill="FFFFFF"/>
          <w:lang w:val="en-US" w:eastAsia="zh-CN"/>
        </w:rPr>
        <w:t xml:space="preserve"> </w:t>
      </w:r>
      <w:r>
        <w:rPr>
          <w:rFonts w:hint="default" w:ascii="仿宋_GB2312" w:hAnsi="仿宋_GB2312" w:eastAsia="仿宋_GB2312" w:cs="仿宋_GB2312"/>
          <w:i w:val="0"/>
          <w:iCs w:val="0"/>
          <w:caps w:val="0"/>
          <w:color w:val="333333"/>
          <w:spacing w:val="0"/>
          <w:sz w:val="32"/>
          <w:szCs w:val="32"/>
          <w:shd w:val="clear" w:fill="FFFFFF"/>
        </w:rPr>
        <w:t>行政处罚由违法行为发生地的行政机关管辖。法律、行政法规、部门规章另有规定的，从其规定。</w:t>
      </w:r>
    </w:p>
    <w:p w14:paraId="374C830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default" w:ascii="仿宋_GB2312" w:hAnsi="仿宋_GB2312" w:eastAsia="仿宋_GB2312" w:cs="仿宋_GB2312"/>
          <w:i w:val="0"/>
          <w:iCs w:val="0"/>
          <w:caps w:val="0"/>
          <w:color w:val="333333"/>
          <w:spacing w:val="0"/>
          <w:sz w:val="32"/>
          <w:szCs w:val="32"/>
          <w:shd w:val="clear" w:fill="FFFFFF"/>
        </w:rPr>
      </w:pPr>
      <w:r>
        <w:rPr>
          <w:rFonts w:hint="default" w:ascii="仿宋_GB2312" w:hAnsi="仿宋_GB2312" w:eastAsia="仿宋_GB2312" w:cs="仿宋_GB2312"/>
          <w:i w:val="0"/>
          <w:iCs w:val="0"/>
          <w:caps w:val="0"/>
          <w:color w:val="333333"/>
          <w:spacing w:val="0"/>
          <w:sz w:val="32"/>
          <w:szCs w:val="32"/>
          <w:shd w:val="clear" w:fill="FFFFFF"/>
        </w:rPr>
        <w:t>第二十四条</w:t>
      </w:r>
      <w:r>
        <w:rPr>
          <w:rFonts w:hint="eastAsia" w:ascii="仿宋_GB2312" w:hAnsi="仿宋_GB2312" w:eastAsia="仿宋_GB2312" w:cs="仿宋_GB2312"/>
          <w:i w:val="0"/>
          <w:iCs w:val="0"/>
          <w:caps w:val="0"/>
          <w:color w:val="333333"/>
          <w:spacing w:val="0"/>
          <w:sz w:val="32"/>
          <w:szCs w:val="32"/>
          <w:shd w:val="clear" w:fill="FFFFFF"/>
          <w:lang w:val="en-US" w:eastAsia="zh-CN"/>
        </w:rPr>
        <w:t xml:space="preserve"> </w:t>
      </w:r>
      <w:r>
        <w:rPr>
          <w:rFonts w:hint="default" w:ascii="仿宋_GB2312" w:hAnsi="仿宋_GB2312" w:eastAsia="仿宋_GB2312" w:cs="仿宋_GB2312"/>
          <w:i w:val="0"/>
          <w:iCs w:val="0"/>
          <w:caps w:val="0"/>
          <w:color w:val="333333"/>
          <w:spacing w:val="0"/>
          <w:sz w:val="32"/>
          <w:szCs w:val="32"/>
          <w:shd w:val="clear" w:fill="FFFFFF"/>
        </w:rPr>
        <w:t>省、自治区、直辖市根据当地实际情况，可以决定将基层管理迫切需要的县级人民政府部门的行政处罚权交由能够有效承接的乡镇人民政府、街道办事处行使，并定期组织评估。决定应当公布。</w:t>
      </w:r>
    </w:p>
    <w:p w14:paraId="5289191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default" w:ascii="仿宋_GB2312" w:hAnsi="仿宋_GB2312" w:eastAsia="仿宋_GB2312" w:cs="仿宋_GB2312"/>
          <w:i w:val="0"/>
          <w:iCs w:val="0"/>
          <w:caps w:val="0"/>
          <w:color w:val="333333"/>
          <w:spacing w:val="0"/>
          <w:sz w:val="32"/>
          <w:szCs w:val="32"/>
          <w:shd w:val="clear" w:fill="FFFFFF"/>
        </w:rPr>
      </w:pPr>
      <w:r>
        <w:rPr>
          <w:rFonts w:hint="default" w:ascii="仿宋_GB2312" w:hAnsi="仿宋_GB2312" w:eastAsia="仿宋_GB2312" w:cs="仿宋_GB2312"/>
          <w:i w:val="0"/>
          <w:iCs w:val="0"/>
          <w:caps w:val="0"/>
          <w:color w:val="333333"/>
          <w:spacing w:val="0"/>
          <w:sz w:val="32"/>
          <w:szCs w:val="32"/>
          <w:shd w:val="clear" w:fill="FFFFFF"/>
        </w:rPr>
        <w:t>承接行政处罚权的乡镇人民政府、街道办事处应当加强执法能力建设，按照规定范围、依照法定程序实施行政处罚。</w:t>
      </w:r>
    </w:p>
    <w:p w14:paraId="2B5DB4F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default" w:ascii="仿宋_GB2312" w:hAnsi="仿宋_GB2312" w:eastAsia="仿宋_GB2312" w:cs="仿宋_GB2312"/>
          <w:i w:val="0"/>
          <w:iCs w:val="0"/>
          <w:caps w:val="0"/>
          <w:color w:val="333333"/>
          <w:spacing w:val="0"/>
          <w:sz w:val="32"/>
          <w:szCs w:val="32"/>
          <w:shd w:val="clear" w:fill="FFFFFF"/>
        </w:rPr>
      </w:pPr>
      <w:r>
        <w:rPr>
          <w:rFonts w:hint="default" w:ascii="仿宋_GB2312" w:hAnsi="仿宋_GB2312" w:eastAsia="仿宋_GB2312" w:cs="仿宋_GB2312"/>
          <w:i w:val="0"/>
          <w:iCs w:val="0"/>
          <w:caps w:val="0"/>
          <w:color w:val="333333"/>
          <w:spacing w:val="0"/>
          <w:sz w:val="32"/>
          <w:szCs w:val="32"/>
          <w:shd w:val="clear" w:fill="FFFFFF"/>
        </w:rPr>
        <w:t>有关地方人民政府及其部门应当加强组织协调、业务指导、执法监督，建立健全行政处罚协调配合机制，完善评议、考核制度。</w:t>
      </w:r>
    </w:p>
    <w:p w14:paraId="50BD326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3" w:firstLineChars="200"/>
        <w:jc w:val="left"/>
        <w:textAlignment w:val="auto"/>
        <w:rPr>
          <w:rFonts w:hint="eastAsia" w:ascii="仿宋_GB2312" w:hAnsi="仿宋_GB2312" w:eastAsia="仿宋_GB2312" w:cs="仿宋_GB2312"/>
          <w:b/>
          <w:bCs/>
          <w:i w:val="0"/>
          <w:iCs w:val="0"/>
          <w:caps w:val="0"/>
          <w:color w:val="333333"/>
          <w:spacing w:val="0"/>
          <w:sz w:val="32"/>
          <w:szCs w:val="32"/>
          <w:shd w:val="clear" w:fill="FFFFFF"/>
          <w:lang w:val="en-US" w:eastAsia="zh-CN"/>
        </w:rPr>
      </w:pPr>
      <w:r>
        <w:rPr>
          <w:rFonts w:hint="eastAsia" w:ascii="仿宋_GB2312" w:hAnsi="仿宋_GB2312" w:eastAsia="仿宋_GB2312" w:cs="仿宋_GB2312"/>
          <w:b/>
          <w:bCs/>
          <w:i w:val="0"/>
          <w:iCs w:val="0"/>
          <w:caps w:val="0"/>
          <w:color w:val="333333"/>
          <w:spacing w:val="0"/>
          <w:sz w:val="32"/>
          <w:szCs w:val="32"/>
          <w:shd w:val="clear" w:fill="FFFFFF"/>
          <w:lang w:val="en-US" w:eastAsia="zh-CN"/>
        </w:rPr>
        <w:t>2.《</w:t>
      </w:r>
      <w:r>
        <w:rPr>
          <w:rFonts w:hint="default" w:ascii="仿宋_GB2312" w:hAnsi="仿宋_GB2312" w:eastAsia="仿宋_GB2312" w:cs="仿宋_GB2312"/>
          <w:b/>
          <w:bCs/>
          <w:i w:val="0"/>
          <w:iCs w:val="0"/>
          <w:caps w:val="0"/>
          <w:color w:val="333333"/>
          <w:spacing w:val="0"/>
          <w:sz w:val="32"/>
          <w:szCs w:val="32"/>
          <w:shd w:val="clear" w:fill="FFFFFF"/>
          <w:lang w:val="en-US" w:eastAsia="zh-CN"/>
        </w:rPr>
        <w:t>北京市实施行政处罚程序若干规定</w:t>
      </w:r>
      <w:r>
        <w:rPr>
          <w:rFonts w:hint="eastAsia" w:ascii="仿宋_GB2312" w:hAnsi="仿宋_GB2312" w:eastAsia="仿宋_GB2312" w:cs="仿宋_GB2312"/>
          <w:b/>
          <w:bCs/>
          <w:i w:val="0"/>
          <w:iCs w:val="0"/>
          <w:caps w:val="0"/>
          <w:color w:val="333333"/>
          <w:spacing w:val="0"/>
          <w:sz w:val="32"/>
          <w:szCs w:val="32"/>
          <w:shd w:val="clear" w:fill="FFFFFF"/>
          <w:lang w:val="en-US" w:eastAsia="zh-CN"/>
        </w:rPr>
        <w:t>》</w:t>
      </w:r>
    </w:p>
    <w:p w14:paraId="6FD1D01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default" w:ascii="仿宋_GB2312" w:hAnsi="仿宋_GB2312" w:eastAsia="仿宋_GB2312" w:cs="仿宋_GB2312"/>
          <w:i w:val="0"/>
          <w:iCs w:val="0"/>
          <w:caps w:val="0"/>
          <w:color w:val="333333"/>
          <w:spacing w:val="0"/>
          <w:sz w:val="32"/>
          <w:szCs w:val="32"/>
          <w:shd w:val="clear" w:fill="FFFFFF"/>
          <w:lang w:val="en-US" w:eastAsia="zh-CN"/>
        </w:rPr>
      </w:pPr>
      <w:r>
        <w:rPr>
          <w:rFonts w:hint="default" w:ascii="仿宋_GB2312" w:hAnsi="仿宋_GB2312" w:eastAsia="仿宋_GB2312" w:cs="仿宋_GB2312"/>
          <w:i w:val="0"/>
          <w:iCs w:val="0"/>
          <w:caps w:val="0"/>
          <w:color w:val="333333"/>
          <w:spacing w:val="0"/>
          <w:sz w:val="32"/>
          <w:szCs w:val="32"/>
          <w:shd w:val="clear" w:fill="FFFFFF"/>
          <w:lang w:val="en-US" w:eastAsia="zh-CN"/>
        </w:rPr>
        <w:t>第九条 除依法可以当场作出的行政处罚外，符合下列条件的，行政机关应当及时立案:</w:t>
      </w:r>
    </w:p>
    <w:p w14:paraId="3CAFA99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default" w:ascii="仿宋_GB2312" w:hAnsi="仿宋_GB2312" w:eastAsia="仿宋_GB2312" w:cs="仿宋_GB2312"/>
          <w:i w:val="0"/>
          <w:iCs w:val="0"/>
          <w:caps w:val="0"/>
          <w:color w:val="333333"/>
          <w:spacing w:val="0"/>
          <w:sz w:val="32"/>
          <w:szCs w:val="32"/>
          <w:shd w:val="clear" w:fill="FFFFFF"/>
          <w:lang w:val="en-US" w:eastAsia="zh-CN"/>
        </w:rPr>
      </w:pPr>
      <w:r>
        <w:rPr>
          <w:rFonts w:hint="default" w:ascii="仿宋_GB2312" w:hAnsi="仿宋_GB2312" w:eastAsia="仿宋_GB2312" w:cs="仿宋_GB2312"/>
          <w:i w:val="0"/>
          <w:iCs w:val="0"/>
          <w:caps w:val="0"/>
          <w:color w:val="333333"/>
          <w:spacing w:val="0"/>
          <w:sz w:val="32"/>
          <w:szCs w:val="32"/>
          <w:shd w:val="clear" w:fill="FFFFFF"/>
          <w:lang w:val="en-US" w:eastAsia="zh-CN"/>
        </w:rPr>
        <w:t>(一)有证据初步证明存在违反行政管理秩序的行为;</w:t>
      </w:r>
    </w:p>
    <w:p w14:paraId="19A9A0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default" w:ascii="仿宋_GB2312" w:hAnsi="仿宋_GB2312" w:eastAsia="仿宋_GB2312" w:cs="仿宋_GB2312"/>
          <w:i w:val="0"/>
          <w:iCs w:val="0"/>
          <w:caps w:val="0"/>
          <w:color w:val="333333"/>
          <w:spacing w:val="0"/>
          <w:sz w:val="32"/>
          <w:szCs w:val="32"/>
          <w:shd w:val="clear" w:fill="FFFFFF"/>
          <w:lang w:val="en-US" w:eastAsia="zh-CN"/>
        </w:rPr>
      </w:pPr>
      <w:r>
        <w:rPr>
          <w:rFonts w:hint="default" w:ascii="仿宋_GB2312" w:hAnsi="仿宋_GB2312" w:eastAsia="仿宋_GB2312" w:cs="仿宋_GB2312"/>
          <w:i w:val="0"/>
          <w:iCs w:val="0"/>
          <w:caps w:val="0"/>
          <w:color w:val="333333"/>
          <w:spacing w:val="0"/>
          <w:sz w:val="32"/>
          <w:szCs w:val="32"/>
          <w:shd w:val="clear" w:fill="FFFFFF"/>
          <w:lang w:val="en-US" w:eastAsia="zh-CN"/>
        </w:rPr>
        <w:t>(二)依法可能给予行政处罚;</w:t>
      </w:r>
    </w:p>
    <w:p w14:paraId="7A95319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default" w:ascii="仿宋_GB2312" w:hAnsi="仿宋_GB2312" w:eastAsia="仿宋_GB2312" w:cs="仿宋_GB2312"/>
          <w:i w:val="0"/>
          <w:iCs w:val="0"/>
          <w:caps w:val="0"/>
          <w:color w:val="333333"/>
          <w:spacing w:val="0"/>
          <w:sz w:val="32"/>
          <w:szCs w:val="32"/>
          <w:shd w:val="clear" w:fill="FFFFFF"/>
          <w:lang w:val="en-US" w:eastAsia="zh-CN"/>
        </w:rPr>
        <w:t>(三)属于本行政机关管辖</w:t>
      </w:r>
      <w:r>
        <w:rPr>
          <w:rFonts w:hint="eastAsia" w:ascii="仿宋_GB2312" w:hAnsi="仿宋_GB2312" w:eastAsia="仿宋_GB2312" w:cs="仿宋_GB2312"/>
          <w:i w:val="0"/>
          <w:iCs w:val="0"/>
          <w:caps w:val="0"/>
          <w:color w:val="333333"/>
          <w:spacing w:val="0"/>
          <w:sz w:val="32"/>
          <w:szCs w:val="32"/>
          <w:shd w:val="clear" w:fill="FFFFFF"/>
          <w:lang w:val="en-US" w:eastAsia="zh-CN"/>
        </w:rPr>
        <w:t>。</w:t>
      </w:r>
    </w:p>
    <w:p w14:paraId="54DA612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3" w:firstLineChars="200"/>
        <w:jc w:val="left"/>
        <w:textAlignment w:val="auto"/>
        <w:rPr>
          <w:rFonts w:hint="default" w:ascii="仿宋_GB2312" w:hAnsi="仿宋_GB2312" w:eastAsia="仿宋_GB2312" w:cs="仿宋_GB2312"/>
          <w:b/>
          <w:bCs/>
          <w:i w:val="0"/>
          <w:iCs w:val="0"/>
          <w:caps w:val="0"/>
          <w:color w:val="333333"/>
          <w:spacing w:val="0"/>
          <w:sz w:val="32"/>
          <w:szCs w:val="32"/>
          <w:shd w:val="clear" w:fill="FFFFFF"/>
          <w:lang w:val="en-US" w:eastAsia="zh-CN"/>
        </w:rPr>
      </w:pPr>
      <w:r>
        <w:rPr>
          <w:rFonts w:hint="eastAsia" w:ascii="仿宋_GB2312" w:hAnsi="仿宋_GB2312" w:eastAsia="仿宋_GB2312" w:cs="仿宋_GB2312"/>
          <w:b/>
          <w:bCs/>
          <w:i w:val="0"/>
          <w:iCs w:val="0"/>
          <w:caps w:val="0"/>
          <w:color w:val="333333"/>
          <w:spacing w:val="0"/>
          <w:sz w:val="32"/>
          <w:szCs w:val="32"/>
          <w:shd w:val="clear" w:fill="FFFFFF"/>
          <w:lang w:val="en-US" w:eastAsia="zh-CN"/>
        </w:rPr>
        <w:t>3.《中华人民共和国行政强制法》</w:t>
      </w:r>
    </w:p>
    <w:p w14:paraId="0B49FAE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default" w:ascii="仿宋_GB2312" w:hAnsi="仿宋_GB2312" w:eastAsia="仿宋_GB2312" w:cs="仿宋_GB2312"/>
          <w:i w:val="0"/>
          <w:iCs w:val="0"/>
          <w:caps w:val="0"/>
          <w:color w:val="333333"/>
          <w:spacing w:val="0"/>
          <w:sz w:val="32"/>
          <w:szCs w:val="32"/>
          <w:shd w:val="clear" w:fill="FFFFFF"/>
          <w:lang w:val="en-US" w:eastAsia="zh-CN"/>
        </w:rPr>
      </w:pPr>
      <w:r>
        <w:rPr>
          <w:rFonts w:hint="default" w:ascii="仿宋_GB2312" w:hAnsi="仿宋_GB2312" w:eastAsia="仿宋_GB2312" w:cs="仿宋_GB2312"/>
          <w:i w:val="0"/>
          <w:iCs w:val="0"/>
          <w:caps w:val="0"/>
          <w:color w:val="333333"/>
          <w:spacing w:val="0"/>
          <w:sz w:val="32"/>
          <w:szCs w:val="32"/>
          <w:shd w:val="clear" w:fill="FFFFFF"/>
          <w:lang w:val="en-US" w:eastAsia="zh-CN"/>
        </w:rPr>
        <w:t>第十六条</w:t>
      </w:r>
      <w:r>
        <w:rPr>
          <w:rFonts w:hint="eastAsia" w:ascii="仿宋_GB2312" w:hAnsi="仿宋_GB2312" w:eastAsia="仿宋_GB2312" w:cs="仿宋_GB2312"/>
          <w:i w:val="0"/>
          <w:iCs w:val="0"/>
          <w:caps w:val="0"/>
          <w:color w:val="333333"/>
          <w:spacing w:val="0"/>
          <w:sz w:val="32"/>
          <w:szCs w:val="32"/>
          <w:shd w:val="clear" w:fill="FFFFFF"/>
          <w:lang w:val="en-US" w:eastAsia="zh-CN"/>
        </w:rPr>
        <w:t xml:space="preserve"> </w:t>
      </w:r>
      <w:r>
        <w:rPr>
          <w:rFonts w:hint="default" w:ascii="仿宋_GB2312" w:hAnsi="仿宋_GB2312" w:eastAsia="仿宋_GB2312" w:cs="仿宋_GB2312"/>
          <w:i w:val="0"/>
          <w:iCs w:val="0"/>
          <w:caps w:val="0"/>
          <w:color w:val="333333"/>
          <w:spacing w:val="0"/>
          <w:sz w:val="32"/>
          <w:szCs w:val="32"/>
          <w:shd w:val="clear" w:fill="FFFFFF"/>
          <w:lang w:val="en-US" w:eastAsia="zh-CN"/>
        </w:rPr>
        <w:t>行政机关履行行政管理职责,依照法律、法规的规定,实施行政强制措施。</w:t>
      </w:r>
    </w:p>
    <w:p w14:paraId="2D5A16C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default" w:ascii="仿宋_GB2312" w:hAnsi="仿宋_GB2312" w:eastAsia="仿宋_GB2312" w:cs="仿宋_GB2312"/>
          <w:i w:val="0"/>
          <w:iCs w:val="0"/>
          <w:caps w:val="0"/>
          <w:color w:val="333333"/>
          <w:spacing w:val="0"/>
          <w:sz w:val="32"/>
          <w:szCs w:val="32"/>
          <w:shd w:val="clear" w:fill="FFFFFF"/>
          <w:lang w:val="en-US" w:eastAsia="zh-CN"/>
        </w:rPr>
      </w:pPr>
      <w:r>
        <w:rPr>
          <w:rFonts w:hint="default" w:ascii="仿宋_GB2312" w:hAnsi="仿宋_GB2312" w:eastAsia="仿宋_GB2312" w:cs="仿宋_GB2312"/>
          <w:i w:val="0"/>
          <w:iCs w:val="0"/>
          <w:caps w:val="0"/>
          <w:color w:val="333333"/>
          <w:spacing w:val="0"/>
          <w:sz w:val="32"/>
          <w:szCs w:val="32"/>
          <w:shd w:val="clear" w:fill="FFFFFF"/>
          <w:lang w:val="en-US" w:eastAsia="zh-CN"/>
        </w:rPr>
        <w:t>违法行为情节显著轻微或者没有明显社会危害的,可以不采取行政强制措施。</w:t>
      </w:r>
    </w:p>
    <w:p w14:paraId="29C268D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default" w:ascii="仿宋_GB2312" w:hAnsi="仿宋_GB2312" w:eastAsia="仿宋_GB2312" w:cs="仿宋_GB2312"/>
          <w:i w:val="0"/>
          <w:iCs w:val="0"/>
          <w:caps w:val="0"/>
          <w:color w:val="333333"/>
          <w:spacing w:val="0"/>
          <w:sz w:val="32"/>
          <w:szCs w:val="32"/>
          <w:shd w:val="clear" w:fill="FFFFFF"/>
          <w:lang w:val="en-US" w:eastAsia="zh-CN"/>
        </w:rPr>
      </w:pPr>
      <w:r>
        <w:rPr>
          <w:rFonts w:hint="default" w:ascii="仿宋_GB2312" w:hAnsi="仿宋_GB2312" w:eastAsia="仿宋_GB2312" w:cs="仿宋_GB2312"/>
          <w:i w:val="0"/>
          <w:iCs w:val="0"/>
          <w:caps w:val="0"/>
          <w:color w:val="333333"/>
          <w:spacing w:val="0"/>
          <w:sz w:val="32"/>
          <w:szCs w:val="32"/>
          <w:shd w:val="clear" w:fill="FFFFFF"/>
          <w:lang w:val="en-US" w:eastAsia="zh-CN"/>
        </w:rPr>
        <w:t>第十七条</w:t>
      </w:r>
      <w:r>
        <w:rPr>
          <w:rFonts w:hint="eastAsia" w:ascii="仿宋_GB2312" w:hAnsi="仿宋_GB2312" w:eastAsia="仿宋_GB2312" w:cs="仿宋_GB2312"/>
          <w:i w:val="0"/>
          <w:iCs w:val="0"/>
          <w:caps w:val="0"/>
          <w:color w:val="333333"/>
          <w:spacing w:val="0"/>
          <w:sz w:val="32"/>
          <w:szCs w:val="32"/>
          <w:shd w:val="clear" w:fill="FFFFFF"/>
          <w:lang w:val="en-US" w:eastAsia="zh-CN"/>
        </w:rPr>
        <w:t xml:space="preserve"> </w:t>
      </w:r>
      <w:r>
        <w:rPr>
          <w:rFonts w:hint="default" w:ascii="仿宋_GB2312" w:hAnsi="仿宋_GB2312" w:eastAsia="仿宋_GB2312" w:cs="仿宋_GB2312"/>
          <w:i w:val="0"/>
          <w:iCs w:val="0"/>
          <w:caps w:val="0"/>
          <w:color w:val="333333"/>
          <w:spacing w:val="0"/>
          <w:sz w:val="32"/>
          <w:szCs w:val="32"/>
          <w:shd w:val="clear" w:fill="FFFFFF"/>
          <w:lang w:val="en-US" w:eastAsia="zh-CN"/>
        </w:rPr>
        <w:t>行政强制措施由法律、法规规定的行政机关在法定职权范围内实施。行政强制措施权不得委托。</w:t>
      </w:r>
    </w:p>
    <w:p w14:paraId="00F4459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default" w:ascii="仿宋_GB2312" w:hAnsi="仿宋_GB2312" w:eastAsia="仿宋_GB2312" w:cs="仿宋_GB2312"/>
          <w:i w:val="0"/>
          <w:iCs w:val="0"/>
          <w:caps w:val="0"/>
          <w:color w:val="333333"/>
          <w:spacing w:val="0"/>
          <w:sz w:val="32"/>
          <w:szCs w:val="32"/>
          <w:shd w:val="clear" w:fill="FFFFFF"/>
          <w:lang w:val="en-US" w:eastAsia="zh-CN"/>
        </w:rPr>
      </w:pPr>
      <w:r>
        <w:rPr>
          <w:rFonts w:hint="default" w:ascii="仿宋_GB2312" w:hAnsi="仿宋_GB2312" w:eastAsia="仿宋_GB2312" w:cs="仿宋_GB2312"/>
          <w:i w:val="0"/>
          <w:iCs w:val="0"/>
          <w:caps w:val="0"/>
          <w:color w:val="333333"/>
          <w:spacing w:val="0"/>
          <w:sz w:val="32"/>
          <w:szCs w:val="32"/>
          <w:shd w:val="clear" w:fill="FFFFFF"/>
          <w:lang w:val="en-US" w:eastAsia="zh-CN"/>
        </w:rPr>
        <w:t>依据《中华人民共和国行政处罚法》的规定行使相对集中行政处罚权的行政机关,可以实施法律、法规规定的与行政处罚权有关的行政强制措施。</w:t>
      </w:r>
    </w:p>
    <w:p w14:paraId="2C07B38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default" w:ascii="仿宋_GB2312" w:hAnsi="仿宋_GB2312" w:eastAsia="仿宋_GB2312" w:cs="仿宋_GB2312"/>
          <w:i w:val="0"/>
          <w:iCs w:val="0"/>
          <w:caps w:val="0"/>
          <w:color w:val="333333"/>
          <w:spacing w:val="0"/>
          <w:sz w:val="32"/>
          <w:szCs w:val="32"/>
          <w:shd w:val="clear" w:fill="FFFFFF"/>
          <w:lang w:val="en-US" w:eastAsia="zh-CN"/>
        </w:rPr>
      </w:pPr>
      <w:r>
        <w:rPr>
          <w:rFonts w:hint="default" w:ascii="仿宋_GB2312" w:hAnsi="仿宋_GB2312" w:eastAsia="仿宋_GB2312" w:cs="仿宋_GB2312"/>
          <w:i w:val="0"/>
          <w:iCs w:val="0"/>
          <w:caps w:val="0"/>
          <w:color w:val="333333"/>
          <w:spacing w:val="0"/>
          <w:sz w:val="32"/>
          <w:szCs w:val="32"/>
          <w:shd w:val="clear" w:fill="FFFFFF"/>
          <w:lang w:val="en-US" w:eastAsia="zh-CN"/>
        </w:rPr>
        <w:t>行政强制措施应当由行政机关具备资格的行政执法人员实施,其他人员不得实施。</w:t>
      </w:r>
    </w:p>
    <w:p w14:paraId="30A8726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default" w:ascii="仿宋_GB2312" w:hAnsi="仿宋_GB2312" w:eastAsia="仿宋_GB2312" w:cs="仿宋_GB2312"/>
          <w:i w:val="0"/>
          <w:iCs w:val="0"/>
          <w:caps w:val="0"/>
          <w:color w:val="333333"/>
          <w:spacing w:val="0"/>
          <w:sz w:val="32"/>
          <w:szCs w:val="32"/>
          <w:shd w:val="clear" w:fill="FFFFFF"/>
          <w:lang w:val="en-US" w:eastAsia="zh-CN"/>
        </w:rPr>
      </w:pPr>
      <w:r>
        <w:rPr>
          <w:rFonts w:hint="default" w:ascii="仿宋_GB2312" w:hAnsi="仿宋_GB2312" w:eastAsia="仿宋_GB2312" w:cs="仿宋_GB2312"/>
          <w:i w:val="0"/>
          <w:iCs w:val="0"/>
          <w:caps w:val="0"/>
          <w:color w:val="333333"/>
          <w:spacing w:val="0"/>
          <w:sz w:val="32"/>
          <w:szCs w:val="32"/>
          <w:shd w:val="clear" w:fill="FFFFFF"/>
          <w:lang w:val="en-US" w:eastAsia="zh-CN"/>
        </w:rPr>
        <w:t>第三十四条　行政机关依法作出行政决定后,当事人在行政机关决定的期限内不履行义务的,具有行政强制执行权的行政机关依照本章规定强制执行。</w:t>
      </w:r>
    </w:p>
    <w:p w14:paraId="16F39A9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3" w:firstLineChars="200"/>
        <w:jc w:val="left"/>
        <w:textAlignment w:val="auto"/>
        <w:rPr>
          <w:rFonts w:hint="eastAsia" w:ascii="仿宋_GB2312" w:hAnsi="仿宋_GB2312" w:eastAsia="仿宋_GB2312" w:cs="仿宋_GB2312"/>
          <w:b/>
          <w:bCs/>
          <w:i w:val="0"/>
          <w:iCs w:val="0"/>
          <w:caps w:val="0"/>
          <w:color w:val="333333"/>
          <w:spacing w:val="0"/>
          <w:sz w:val="32"/>
          <w:szCs w:val="32"/>
          <w:shd w:val="clear" w:fill="FFFFFF"/>
          <w:lang w:val="en-US" w:eastAsia="zh-CN"/>
        </w:rPr>
      </w:pPr>
      <w:r>
        <w:rPr>
          <w:rFonts w:hint="eastAsia" w:ascii="仿宋_GB2312" w:hAnsi="仿宋_GB2312" w:eastAsia="仿宋_GB2312" w:cs="仿宋_GB2312"/>
          <w:b/>
          <w:bCs/>
          <w:i w:val="0"/>
          <w:iCs w:val="0"/>
          <w:caps w:val="0"/>
          <w:color w:val="333333"/>
          <w:spacing w:val="0"/>
          <w:sz w:val="32"/>
          <w:szCs w:val="32"/>
          <w:shd w:val="clear" w:fill="FFFFFF"/>
          <w:lang w:val="en-US" w:eastAsia="zh-CN"/>
        </w:rPr>
        <w:t>4.《北京市禁止违法建设若干规定</w:t>
      </w:r>
      <w:r>
        <w:rPr>
          <w:rFonts w:hint="eastAsia" w:ascii="仿宋_GB2312" w:hAnsi="仿宋_GB2312" w:eastAsia="仿宋_GB2312" w:cs="仿宋_GB2312"/>
          <w:b/>
          <w:bCs/>
          <w:i w:val="0"/>
          <w:iCs w:val="0"/>
          <w:caps w:val="0"/>
          <w:color w:val="333333"/>
          <w:spacing w:val="0"/>
          <w:sz w:val="32"/>
          <w:szCs w:val="32"/>
          <w:shd w:val="clear" w:fill="FFFFFF"/>
          <w:lang w:val="en-US" w:eastAsia="zh-CN"/>
        </w:rPr>
        <w:t>》</w:t>
      </w:r>
    </w:p>
    <w:p w14:paraId="6EA3E29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default" w:ascii="仿宋_GB2312" w:hAnsi="仿宋_GB2312" w:eastAsia="仿宋_GB2312" w:cs="仿宋_GB2312"/>
          <w:i w:val="0"/>
          <w:iCs w:val="0"/>
          <w:caps w:val="0"/>
          <w:color w:val="333333"/>
          <w:spacing w:val="0"/>
          <w:sz w:val="32"/>
          <w:szCs w:val="32"/>
          <w:shd w:val="clear" w:fill="FFFFFF"/>
          <w:lang w:val="en-US" w:eastAsia="zh-CN"/>
        </w:rPr>
      </w:pPr>
      <w:r>
        <w:rPr>
          <w:rFonts w:hint="default" w:ascii="仿宋_GB2312" w:hAnsi="仿宋_GB2312" w:eastAsia="仿宋_GB2312" w:cs="仿宋_GB2312"/>
          <w:i w:val="0"/>
          <w:iCs w:val="0"/>
          <w:caps w:val="0"/>
          <w:color w:val="333333"/>
          <w:spacing w:val="0"/>
          <w:sz w:val="32"/>
          <w:szCs w:val="32"/>
          <w:shd w:val="clear" w:fill="FFFFFF"/>
          <w:lang w:val="en-US" w:eastAsia="zh-CN"/>
        </w:rPr>
        <w:t>第五条</w:t>
      </w:r>
      <w:r>
        <w:rPr>
          <w:rFonts w:hint="eastAsia" w:ascii="仿宋_GB2312" w:hAnsi="仿宋_GB2312" w:eastAsia="仿宋_GB2312" w:cs="仿宋_GB2312"/>
          <w:i w:val="0"/>
          <w:iCs w:val="0"/>
          <w:caps w:val="0"/>
          <w:color w:val="333333"/>
          <w:spacing w:val="0"/>
          <w:sz w:val="32"/>
          <w:szCs w:val="32"/>
          <w:shd w:val="clear" w:fill="FFFFFF"/>
          <w:lang w:val="en-US" w:eastAsia="zh-CN"/>
        </w:rPr>
        <w:t xml:space="preserve"> 规划和自然资源主管部门、街道办事处和乡镇人民政府(以下统称为行政执法机关)具体承担违法建设查处工作。</w:t>
      </w:r>
    </w:p>
    <w:p w14:paraId="1F36EDE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规划和自然资源主管部门负责下列情形的查处：</w:t>
      </w:r>
    </w:p>
    <w:p w14:paraId="0769FC0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(一)已经取得建设工程规划许可证、临时建设工程规划许可证、乡村建设规划许可证或者临时乡村建设规划许可证，但未按照许可内容进行建设，或者临时建设逾期未拆除的；</w:t>
      </w:r>
    </w:p>
    <w:p w14:paraId="521F845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(二)未依法取得建设工程规划许可证，但已经取得选址意见书、规划综合实施方案等规划文件，未按照前述规划文件内容进行建设的；</w:t>
      </w:r>
    </w:p>
    <w:p w14:paraId="7B86BBF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(三)其他不属于街道办事处、乡镇人民政府负责查处的情形。</w:t>
      </w:r>
      <w:bookmarkStart w:id="0" w:name="_GoBack"/>
      <w:bookmarkEnd w:id="0"/>
    </w:p>
    <w:p w14:paraId="685C61E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i w:val="0"/>
          <w:iCs w:val="0"/>
          <w:caps w:val="0"/>
          <w:color w:val="333333"/>
          <w:spacing w:val="0"/>
          <w:sz w:val="32"/>
          <w:szCs w:val="32"/>
          <w:shd w:val="clear" w:fill="FFFFFF"/>
          <w:lang w:val="en-US" w:eastAsia="zh-CN"/>
        </w:rPr>
      </w:pPr>
      <w:r>
        <w:rPr>
          <w:rFonts w:hint="eastAsia" w:ascii="仿宋_GB2312" w:hAnsi="仿宋_GB2312" w:eastAsia="仿宋_GB2312" w:cs="仿宋_GB2312"/>
          <w:i w:val="0"/>
          <w:iCs w:val="0"/>
          <w:caps w:val="0"/>
          <w:color w:val="333333"/>
          <w:spacing w:val="0"/>
          <w:sz w:val="32"/>
          <w:szCs w:val="32"/>
          <w:shd w:val="clear" w:fill="FFFFFF"/>
          <w:lang w:val="en-US" w:eastAsia="zh-CN"/>
        </w:rPr>
        <w:t>街道办事处、乡镇人民政府负责对本行政区域内未依法取得建设工程规划许可证、临时建设工程规划许可证、乡村建设规划许可证、临时乡村建设规划许可证以及选址意见书、规划综合实施方案等规划文件但进行建设的情形进行查处。</w:t>
      </w:r>
    </w:p>
    <w:p w14:paraId="638C6F0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default" w:ascii="仿宋_GB2312" w:hAnsi="仿宋_GB2312" w:eastAsia="仿宋_GB2312" w:cs="仿宋_GB2312"/>
          <w:i w:val="0"/>
          <w:iCs w:val="0"/>
          <w:caps w:val="0"/>
          <w:color w:val="333333"/>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EE2627"/>
    <w:rsid w:val="11E626AA"/>
    <w:rsid w:val="2CD23AFF"/>
    <w:rsid w:val="45E070DC"/>
    <w:rsid w:val="536E5A80"/>
    <w:rsid w:val="6EEE2627"/>
    <w:rsid w:val="71E059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5</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2026-06-26T08:07:00Z</dcterms:created>
  <dc:creator>Whisper_0904</dc:creator>
  <cp:lastModifiedBy>Whisper_0904</cp:lastModifiedBy>
  <dcterms:modified xsi:type="dcterms:W3CDTF">2026-06-26T08:47:05Z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02ED7676007A476AAE2DAE2A41B7229E_11</vt:lpwstr>
  </property>
  <property fmtid="{D5CDD505-2E9C-101B-9397-08002B2CF9AE}" pid="4" name="KSOTemplateDocerSaveRecord">
    <vt:lpwstr>eyJoZGlkIjoiZmRhY2M0M2Y0ZTA1ZWZmOWQ4NDhkNmU5ZjFjNWEwZDMiLCJ1c2VySWQiOiIzMTQ1MjE1ODIifQ==</vt:lpwstr>
  </property>
</Properties>
</file>