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变更名称、住所等特定事项或终止经营，未向文化部门公安机关办理手续或者备案的行为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是否存在变更名称、住所、法定代表人或者主要负责人、注册资本、网络地址或者终止经营活动，未向文化行政部门、公安机关办理有关手续或者备案的行为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变更名称、住所、法定代表人或者主要负责人、注册资本、网络地址或者终止经营活动的，依法到工商行政管理部门办理变更登记或者注销登记，并到文化行政部门、公安机关办理有关手续或者备案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变更名称、住所、法定代表人或者主要负责人、注册资本、网络地址或者终止经营活动，未向文化行政部门、公安机关办理有关手续或者备案的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2D31778D"/>
    <w:rsid w:val="35032A90"/>
    <w:rsid w:val="362B6A08"/>
    <w:rsid w:val="40A85E21"/>
    <w:rsid w:val="51B608BD"/>
    <w:rsid w:val="6D0B0D41"/>
    <w:rsid w:val="6D0B56FE"/>
    <w:rsid w:val="74C24C45"/>
    <w:rsid w:val="75BC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5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2021-09-10T07:25:56Z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AA3311E1E1444B14AC1CAF24F6E8C808</vt:lpwstr>
  </property>
</Properties>
</file>