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出版物进口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出版物进口资质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是否存在出版物进口经营单位变更名称、业务范围、资本结构、主办单位等事项，未依照规定办理审批的行为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是否存在出版物进口经营单位变更名称、业务范围、资本结构、主办单位或者其主管机关，合并或者分立，设立分支机构，未依照《出版管理条例》第四十二条、第四十三条的规定办理审批手续的行为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a.存在出版物进口经营单位变更名称、业务范围、资本结构、主办单位或者其主管机关，未依照《出版管理条例》第四十二条、第四十三条的规定办理审批手续的情形。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存在出版物进口经营单位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合并或者分立，设立分支机构，未依照《出版管理条例》第四十二条、第四十三条的规定办理审批手续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2021-09-16T07:03:21Z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