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北京市文化市场综合执法总队《剧本杀、密室逃脱经营场所及活动非现场检查单》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剧本杀、密室逃脱经营场所及活动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对是否存在出版、发布、传播《未成年人保护法》五十一条规定的内容，包含可能影响未成年人身心健康内容的，未以显著方式作出提示的行为（应由文化综合执法机构处罚的行为）的检查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是否存在出版、发布、传播《未成年人保护法》五十一条规定的内容，包含可能影响未成年人身心健康内容的，未以显著方式作出提示的行为（应由文化综合执法机构处罚的行为）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剧本娱乐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存在出版、发布、传播《未成年人保护法》五十一条规定的内容，包含可能影响未成年人身心健康内容的，以显著方式作出提示的行为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剧本娱乐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存在出版、发布、传播《未成年人保护法》五十一条规定的内容，包含可能影响未成年人身心健康内容的，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以显著方式作出提示的行为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1FFFDBC9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437D75F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2021-09-10T15:04:00Z</dcterms:created>
  <dc:creator>[1]鲁杲翔</dc:creator>
  <cp:lastModifiedBy>gaokun</cp:lastModifiedBy>
  <cp:lastPrinted>2021-09-12T15:22:00Z</cp:lastPrinted>
  <dcterms:modified xsi:type="dcterms:W3CDTF">2025-07-15T15:13:11Z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