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219"/>
        <w:gridCol w:w="1425"/>
        <w:gridCol w:w="1335"/>
        <w:gridCol w:w="1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799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2" w:right="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文物本体检查单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6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1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1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77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799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04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文物本体情况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是否存在对安装、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使用自动报警、灭 火、避雷等设施对 文物建筑造成破坏 造成严重后果的行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是否存在对安装、使用自动报 警、灭火、避雷等设施对文物 建筑造成破坏造成严重后果的 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是否存在对安装、使用自动报警、灭火、避雷等设施对文物建筑造成破坏造成严重后果的行为.docx"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是否存在施工单位 未取得文物保护工 程资质证书，擅自 从事文物修缮、迁 移、重建的行为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是否存在施工单位未取得文物 保护工程资质证书，擅自从事 文物修缮、迁移、重建的行为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是否存在施工单位未取得文物保护工程资质证书，擅自从事文物修缮、迁移、重建的行为.docx"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是否存在擅自变更 修缮方案修缮不可 移动文物，明显改 变文物原状造成严 重后果的行为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是否存在擅自变更修缮方案修 缮不可移动文物，明显改变文 物原状造成严重后果的行为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是否存在擅自变更修缮方案修缮不可移动文物，明显改变文物原状造成严重后果的行为.docx"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是否存在擅自迁移</w:t>
            </w:r>
          </w:p>
          <w:p>
            <w:pPr>
              <w:pStyle w:val="8"/>
              <w:spacing w:before="25" w:line="224" w:lineRule="exact"/>
              <w:ind w:left="24" w:right="96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、拆除不可移动文 物的行为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是否存在擅自迁移、拆除不可 移动文物的行为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是否存在擅自迁移、拆除不可移动文物的行为.docx" </w:instrText>
            </w:r>
            <w:r>
              <w:fldChar w:fldCharType="separate"/>
            </w:r>
            <w:r>
              <w:rPr>
                <w:rStyle w:val="5"/>
              </w:rPr>
              <w:t>004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是否存在未取得相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应资质证书，擅自 承担文物单位的修 缮迁移重建工程逾 期不改正，或者造 成严重后果的的行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是否存在未取得相应等级的文 物保护工程资质证书，擅自承 担文物保护单位的修缮、迁移</w:t>
            </w: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、重建工程逾期不改正，或者 造成严重后果的的行为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5"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07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是否存在未取得相应资质证书，擅自承担文物单位的修缮迁移重建工程逾期不改正，或者造成严重后果的的行为.docx" </w:instrText>
            </w:r>
            <w:r>
              <w:fldChar w:fldCharType="separate"/>
            </w:r>
            <w:r>
              <w:rPr>
                <w:rStyle w:val="5"/>
              </w:rPr>
              <w:t>005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是否存在文物建筑</w:t>
            </w:r>
          </w:p>
          <w:p>
            <w:pPr>
              <w:pStyle w:val="8"/>
              <w:spacing w:before="25" w:line="224" w:lineRule="exact"/>
              <w:ind w:left="23" w:right="96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进行装修，不符合 文物建筑装修标 准，对文物建筑造 成破坏造成严重后 果的行为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是否存在文物建筑进行装修， 不符合文物建筑装修标准，对 文物建筑造成破坏造成严重后 果的行为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是否存在文物建筑进行装修，不符合文物建筑装修标准，对文物建筑造成破坏造成严重后果的行为.docx" </w:instrText>
            </w:r>
            <w:r>
              <w:fldChar w:fldCharType="separate"/>
            </w:r>
            <w:r>
              <w:rPr>
                <w:rStyle w:val="5"/>
              </w:rPr>
              <w:t>006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是否存在擅自修缮 不可移动文物，明 显改变文物原状的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是否存在擅自修缮不可移动文 物，明显改变文物原状的行为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是否存在擅自修缮不可移动文物，明显改变文物原状的行为.docx" </w:instrText>
            </w:r>
            <w:r>
              <w:fldChar w:fldCharType="separate"/>
            </w:r>
            <w:r>
              <w:rPr>
                <w:rStyle w:val="5"/>
              </w:rPr>
              <w:t>007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是否存在擅自在原 址重建已全部毁坏 的不可移动文物， 造成文物破坏的行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是否存在擅自在原址重建已全 部毁坏的不可移动文物，造成 文物破坏的行为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"文物本体检查单 是否存在擅自在原址重建已全部毁坏的不可移动文物，造成文物破坏的行为.docx" </w:instrText>
            </w:r>
            <w:r>
              <w:fldChar w:fldCharType="separate"/>
            </w:r>
            <w:r>
              <w:rPr>
                <w:rStyle w:val="5"/>
              </w:rPr>
              <w:t>008</w:t>
            </w:r>
            <w:r>
              <w:fldChar w:fldCharType="end"/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市级、区级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520" w:right="560" w:bottom="580" w:left="460" w:header="720" w:footer="396" w:gutter="0"/>
          <w:pgNumType w:start="1"/>
          <w:cols w:space="720" w:num="1"/>
        </w:sectPr>
      </w:pPr>
    </w:p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2160"/>
        <w:gridCol w:w="9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53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019"/>
              </w:tabs>
              <w:spacing w:before="32" w:line="224" w:lineRule="exact"/>
              <w:ind w:left="23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bookmarkStart w:id="1" w:name="_GoBack"/>
      <w:bookmarkEnd w:id="1"/>
    </w:p>
    <w:sectPr>
      <w:pgSz w:w="11910" w:h="16840"/>
      <w:pgMar w:top="520" w:right="560" w:bottom="580" w:left="460" w:header="0" w:footer="3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4097" o:spid="_x0000_s4097" o:spt="202" type="#_x0000_t202" style="position:absolute;left:0pt;margin-left:248.25pt;margin-top:810.1pt;height:14pt;width:98pt;mso-position-horizontal-relative:page;mso-position-vertical-relative:page;z-index:-14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260" w:lineRule="exact"/>
                  <w:ind w:right="0"/>
                  <w:jc w:val="left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页，共 2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87D34889"/>
    <w:rsid w:val="FFFEB3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2022-01-21T09:20:00Z</dcterms:created>
  <dc:creator>曹进宇</dc:creator>
  <cp:lastModifiedBy>liyueyi</cp:lastModifiedBy>
  <dcterms:modified xsi:type="dcterms:W3CDTF">2025-07-13T15:29:54Z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