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娱乐场所两年内被2次责令停业整顿又有违反《娱乐场所管理条例》的行为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是否存在娱乐场所两年内被2次责令停业整顿又有违反《娱乐场所管理条例》的行为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2年内被2次责令停业整顿又有违反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的行为应受行政处罚的情形。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2年内被2次责令停业整顿又有违反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的行为应受行政处罚的情形。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FA75A41"/>
    <w:rsid w:val="31246D6D"/>
    <w:rsid w:val="35F172B2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  <w:rsid w:val="7A7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2021-09-09T07:52:22Z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B3B5C1498C0841868F328E8FEC376AD8</vt:lpwstr>
  </property>
</Properties>
</file>