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进行有奖经营活动的，奖品目录未报所在地县级文化主管部门备案的行为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是否存在进行有奖经营活动的，奖品目录未报所在地县级文化主管部门备案的行为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进行有奖经营活动的，奖品目录报所在地县级文化主管部门备案。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娱乐场所进行有奖经营活动的，奖品目录未报所在地县级文化主管部门备案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7E7827"/>
    <w:rsid w:val="18864DF2"/>
    <w:rsid w:val="1EC3056E"/>
    <w:rsid w:val="2CA97F9E"/>
    <w:rsid w:val="2EAD18B2"/>
    <w:rsid w:val="2FA75A41"/>
    <w:rsid w:val="31246D6D"/>
    <w:rsid w:val="35F172B2"/>
    <w:rsid w:val="394D43E6"/>
    <w:rsid w:val="3E3331BE"/>
    <w:rsid w:val="3EFF11E4"/>
    <w:rsid w:val="4D4F114B"/>
    <w:rsid w:val="51BF77A4"/>
    <w:rsid w:val="5D5D1D9E"/>
    <w:rsid w:val="614B4667"/>
    <w:rsid w:val="69F10BFA"/>
    <w:rsid w:val="716B6761"/>
    <w:rsid w:val="7A75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2021-09-09T07:54:48Z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94C7B254EA774312AA0D1E5A66D5E768</vt:lpwstr>
  </property>
</Properties>
</file>