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艺术考级资质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lang w:eastAsia="zh-CN"/>
        </w:rPr>
        <w:t>对委托承办单位未按规定报送文化行政部门备案的行为</w:t>
      </w:r>
      <w:r>
        <w:rPr>
          <w:rFonts w:hint="eastAsia" w:ascii="仿宋_GB2312" w:hAnsi="仿宋_GB2312" w:eastAsia="仿宋_GB2312" w:cs="仿宋_GB2312"/>
          <w:sz w:val="32"/>
          <w:szCs w:val="32"/>
          <w:highlight w:val="none"/>
        </w:rPr>
        <w:t>进行处罚</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对委托承办单位未按规定报送文化行政部门备案的行为</w:t>
      </w:r>
      <w:r>
        <w:rPr>
          <w:rFonts w:hint="eastAsia" w:ascii="仿宋_GB2312" w:hAnsi="仿宋_GB2312" w:eastAsia="仿宋_GB2312" w:cs="仿宋_GB2312"/>
          <w:sz w:val="32"/>
          <w:szCs w:val="32"/>
          <w:highlight w:val="none"/>
        </w:rPr>
        <w:t>进行处罚</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2"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 xml:space="preserve">艺术考级机构委托承办单位承办艺术考级活动的，自合作协议生效之日起20日内，将承办单位的基本情况和合作协议报审批机关及承办单位所在地县级以上文化行政部门备案，同时抄送文化市场综合执法机构。 </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b w:val="0"/>
          <w:bCs/>
          <w:sz w:val="32"/>
          <w:szCs w:val="32"/>
          <w:lang w:eastAsia="zh-CN"/>
        </w:rPr>
        <w:t>未按《社会艺术水平考级管理办法》第十七条规定将承办单位的基本情况和合作协议备案的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F561B6C"/>
    <w:rsid w:val="AFBD5AF7"/>
    <w:rsid w:val="AFDAD9FA"/>
    <w:rsid w:val="B53548D1"/>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2021-09-09T23:04:00Z</dcterms:created>
  <dc:creator>[1]鲁杲翔</dc:creator>
  <cp:lastModifiedBy>gaokun</cp:lastModifiedBy>
  <cp:lastPrinted>2021-09-11T23:22:00Z</cp:lastPrinted>
  <dcterms:modified xsi:type="dcterms:W3CDTF">2025-07-15T15:37:20Z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