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艺术品经营资质（新）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对是否存在其他经营单位增设艺术品经营业务的未到住所地县级以上人民政府文化行政部门备案的行为的检查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是否存在其他经营单位增设艺术品经营业务的未到住所地县级以上人民政府文化行政部门备案的行为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其他经营单位增设艺术品经营业务的，应当按</w:t>
      </w:r>
      <w:r>
        <w:rPr>
          <w:rFonts w:hint="eastAsia" w:ascii="仿宋_GB2312" w:hAnsi="仿宋_GB2312" w:eastAsia="仿宋_GB2312" w:cs="仿宋_GB2312"/>
          <w:sz w:val="32"/>
          <w:szCs w:val="32"/>
          <w:highlight w:val="none"/>
          <w:lang w:eastAsia="zh-CN"/>
        </w:rPr>
        <w:t>《艺术品经营管理办法》第五条第一款规定</w:t>
      </w:r>
      <w:r>
        <w:rPr>
          <w:rFonts w:hint="eastAsia" w:ascii="仿宋_GB2312" w:hAnsi="仿宋_GB2312" w:eastAsia="仿宋_GB2312" w:cs="仿宋_GB2312"/>
          <w:sz w:val="32"/>
          <w:szCs w:val="32"/>
          <w:highlight w:val="none"/>
        </w:rPr>
        <w:t>办理备案手续。</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《艺术品经营管理办法》第五条第一款：</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设立从事艺术品经营活动的经营单位，</w:t>
      </w:r>
      <w:r>
        <w:rPr>
          <w:rFonts w:hint="eastAsia" w:ascii="仿宋_GB2312" w:hAnsi="仿宋_GB2312" w:eastAsia="仿宋_GB2312" w:cs="仿宋_GB2312"/>
          <w:sz w:val="32"/>
          <w:szCs w:val="32"/>
          <w:highlight w:val="none"/>
          <w:lang w:eastAsia="zh-CN"/>
        </w:rPr>
        <w:t>应当</w:t>
      </w:r>
      <w:r>
        <w:rPr>
          <w:rFonts w:hint="eastAsia" w:ascii="仿宋_GB2312" w:hAnsi="仿宋_GB2312" w:eastAsia="仿宋_GB2312" w:cs="仿宋_GB2312"/>
          <w:sz w:val="32"/>
          <w:szCs w:val="32"/>
          <w:highlight w:val="none"/>
        </w:rPr>
        <w:t>到其住所地县级以上人民政府工商行政管理部门申领营业执照，并在领取营业执照之日起15日内，到其住所地县级以上人民政府文化行政部门备案。</w:t>
      </w:r>
    </w:p>
    <w:p>
      <w:pPr>
        <w:ind w:firstLine="642"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其他经营单位</w:t>
      </w:r>
      <w:r>
        <w:rPr>
          <w:rFonts w:hint="eastAsia" w:ascii="仿宋_GB2312" w:hAnsi="仿宋_GB2312" w:eastAsia="仿宋_GB2312" w:cs="仿宋_GB2312"/>
          <w:sz w:val="32"/>
          <w:szCs w:val="32"/>
          <w:highlight w:val="none"/>
          <w:lang w:eastAsia="zh-CN"/>
        </w:rPr>
        <w:t>违反《艺术品经营管理办法》第五条规定，</w:t>
      </w:r>
      <w:r>
        <w:rPr>
          <w:rFonts w:hint="eastAsia" w:ascii="仿宋_GB2312" w:hAnsi="仿宋_GB2312" w:eastAsia="仿宋_GB2312" w:cs="仿宋_GB2312"/>
          <w:sz w:val="32"/>
          <w:szCs w:val="32"/>
          <w:highlight w:val="none"/>
        </w:rPr>
        <w:t>增设艺术品经营业务的未到住所地县级以上人民政府文化行政部门备案的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AD552FC"/>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F561B6C"/>
    <w:rsid w:val="9EDF5E0B"/>
    <w:rsid w:val="AFBD5AF7"/>
    <w:rsid w:val="AFDAD9FA"/>
    <w:rsid w:val="B57F142C"/>
    <w:rsid w:val="D32EAC9A"/>
    <w:rsid w:val="D7DE5711"/>
    <w:rsid w:val="DEED3433"/>
    <w:rsid w:val="EA77CF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2021-09-10T23:04:00Z</dcterms:created>
  <dc:creator>[1]鲁杲翔</dc:creator>
  <cp:lastModifiedBy>gaokun</cp:lastModifiedBy>
  <cp:lastPrinted>2021-09-12T23:22:00Z</cp:lastPrinted>
  <dcterms:modified xsi:type="dcterms:W3CDTF">2025-07-15T15:48:54Z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