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108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leftChars="0" w:right="0" w:firstLine="0" w:firstLineChars="0"/>
        <w:jc w:val="center"/>
        <w:rPr>
          <w:rFonts w:hint="eastAsia" w:ascii="微软雅黑" w:hAnsi="微软雅黑" w:eastAsia="微软雅黑" w:cs="微软雅黑"/>
        </w:rPr>
      </w:pPr>
      <w:bookmarkStart w:id="0" w:name="_GoBack"/>
      <w:r>
        <w:rPr>
          <w:rFonts w:hint="eastAsia" w:ascii="微软雅黑" w:hAnsi="微软雅黑" w:eastAsia="微软雅黑" w:cs="微软雅黑"/>
          <w:b w:val="0"/>
          <w:bCs w:val="0"/>
          <w:color w:val="000000"/>
          <w:sz w:val="42"/>
          <w:szCs w:val="42"/>
          <w:bdr w:val="none" w:color="auto" w:sz="0" w:space="0"/>
        </w:rPr>
        <w:t>律师检查单</w:t>
      </w:r>
      <w:bookmarkEnd w:id="0"/>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begin"/>
      </w:r>
      <w:r>
        <w:rPr>
          <w:rFonts w:ascii="微软雅黑" w:hAnsi="微软雅黑" w:eastAsia="微软雅黑" w:cs="微软雅黑"/>
          <w:color w:val="666666"/>
          <w:kern w:val="0"/>
          <w:sz w:val="21"/>
          <w:szCs w:val="21"/>
          <w:u w:val="none"/>
          <w:bdr w:val="none" w:color="auto" w:sz="0" w:space="0"/>
          <w:shd w:val="clear" w:fill="C9C9C9"/>
          <w:lang w:val="en-US" w:eastAsia="zh-CN" w:bidi="ar"/>
        </w:rPr>
        <w:instrText xml:space="preserve"> HYPERLINK "javascript:;" </w:instrText>
      </w: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separate"/>
      </w:r>
      <w:r>
        <w:rPr>
          <w:rFonts w:hint="eastAsia" w:ascii="微软雅黑" w:hAnsi="微软雅黑" w:eastAsia="微软雅黑" w:cs="微软雅黑"/>
          <w:color w:val="666666"/>
          <w:kern w:val="0"/>
          <w:sz w:val="21"/>
          <w:szCs w:val="21"/>
          <w:u w:val="none"/>
          <w:bdr w:val="none" w:color="auto" w:sz="0" w:space="0"/>
          <w:shd w:val="clear" w:fill="C9C9C9"/>
          <w:lang w:val="en-US" w:eastAsia="zh-CN" w:bidi="ar"/>
        </w:rPr>
        <w:fldChar w:fldCharType="end"/>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18"/>
        <w:gridCol w:w="1210"/>
        <w:gridCol w:w="1147"/>
        <w:gridCol w:w="1475"/>
        <w:gridCol w:w="1344"/>
        <w:gridCol w:w="1125"/>
        <w:gridCol w:w="1127"/>
      </w:tblGrid>
      <w:tr w14:paraId="2735D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jc w:val="center"/>
        </w:trPr>
        <w:tc>
          <w:tcPr>
            <w:tcW w:w="2896" w:type="pct"/>
            <w:gridSpan w:val="4"/>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C67CD2D">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检查时间：年 月 日 时 分 秒</w:t>
            </w:r>
          </w:p>
        </w:tc>
        <w:tc>
          <w:tcPr>
            <w:tcW w:w="2103"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3D24DA6">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检查单编号：</w:t>
            </w:r>
          </w:p>
        </w:tc>
      </w:tr>
      <w:tr w14:paraId="3B742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5CE708">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任务名称</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B559C8B">
            <w:pPr>
              <w:keepNext/>
              <w:snapToGrid w:val="0"/>
              <w:jc w:val="both"/>
              <w:rPr>
                <w:rFonts w:hint="eastAsia" w:ascii="宋体" w:hAnsi="宋体" w:eastAsia="宋体" w:cs="宋体"/>
                <w:i w:val="0"/>
                <w:iCs w:val="0"/>
                <w:caps w:val="0"/>
                <w:color w:val="333333"/>
                <w:spacing w:val="0"/>
                <w:sz w:val="24"/>
                <w:szCs w:val="24"/>
              </w:rPr>
            </w:pPr>
          </w:p>
        </w:tc>
      </w:tr>
      <w:tr w14:paraId="68310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0D086EA">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任务编号</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B7C87B">
            <w:pPr>
              <w:keepNext/>
              <w:snapToGrid w:val="0"/>
              <w:jc w:val="both"/>
              <w:rPr>
                <w:rFonts w:hint="eastAsia" w:ascii="宋体" w:hAnsi="宋体" w:eastAsia="宋体" w:cs="宋体"/>
                <w:i w:val="0"/>
                <w:iCs w:val="0"/>
                <w:caps w:val="0"/>
                <w:color w:val="333333"/>
                <w:spacing w:val="0"/>
                <w:sz w:val="24"/>
                <w:szCs w:val="24"/>
              </w:rPr>
            </w:pPr>
          </w:p>
        </w:tc>
      </w:tr>
      <w:tr w14:paraId="475C3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CFA6EB">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统一社会信用代码/身份证号</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54E871">
            <w:pPr>
              <w:keepNext/>
              <w:snapToGrid w:val="0"/>
              <w:jc w:val="both"/>
              <w:rPr>
                <w:rFonts w:hint="eastAsia" w:ascii="宋体" w:hAnsi="宋体" w:eastAsia="宋体" w:cs="宋体"/>
                <w:i w:val="0"/>
                <w:iCs w:val="0"/>
                <w:caps w:val="0"/>
                <w:color w:val="333333"/>
                <w:spacing w:val="0"/>
                <w:sz w:val="24"/>
                <w:szCs w:val="24"/>
              </w:rPr>
            </w:pPr>
          </w:p>
        </w:tc>
      </w:tr>
      <w:tr w14:paraId="05092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295D65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名称</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4125699">
            <w:pPr>
              <w:keepNext/>
              <w:snapToGrid w:val="0"/>
              <w:jc w:val="both"/>
              <w:rPr>
                <w:rFonts w:hint="eastAsia" w:ascii="宋体" w:hAnsi="宋体" w:eastAsia="宋体" w:cs="宋体"/>
                <w:i w:val="0"/>
                <w:iCs w:val="0"/>
                <w:caps w:val="0"/>
                <w:color w:val="333333"/>
                <w:spacing w:val="0"/>
                <w:sz w:val="24"/>
                <w:szCs w:val="24"/>
              </w:rPr>
            </w:pPr>
          </w:p>
        </w:tc>
      </w:tr>
      <w:tr w14:paraId="053B7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CCA179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类型</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B4DBDD9">
            <w:pPr>
              <w:keepNext/>
              <w:snapToGrid w:val="0"/>
              <w:jc w:val="both"/>
              <w:rPr>
                <w:rFonts w:hint="eastAsia" w:ascii="宋体" w:hAnsi="宋体" w:eastAsia="宋体" w:cs="宋体"/>
                <w:i w:val="0"/>
                <w:iCs w:val="0"/>
                <w:caps w:val="0"/>
                <w:color w:val="333333"/>
                <w:spacing w:val="0"/>
                <w:sz w:val="24"/>
                <w:szCs w:val="24"/>
              </w:rPr>
            </w:pPr>
          </w:p>
        </w:tc>
      </w:tr>
      <w:tr w14:paraId="0D1D9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15777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法定代表人/负责人/经营者姓名</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6F30C9E">
            <w:pPr>
              <w:keepNext/>
              <w:snapToGrid w:val="0"/>
              <w:jc w:val="both"/>
              <w:rPr>
                <w:rFonts w:hint="eastAsia" w:ascii="宋体" w:hAnsi="宋体" w:eastAsia="宋体" w:cs="宋体"/>
                <w:i w:val="0"/>
                <w:iCs w:val="0"/>
                <w:caps w:val="0"/>
                <w:color w:val="333333"/>
                <w:spacing w:val="0"/>
                <w:sz w:val="24"/>
                <w:szCs w:val="24"/>
              </w:rPr>
            </w:pPr>
          </w:p>
        </w:tc>
      </w:tr>
      <w:tr w14:paraId="705F9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E0D516">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住所或地址</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D835DC2">
            <w:pPr>
              <w:keepNext/>
              <w:snapToGrid w:val="0"/>
              <w:jc w:val="both"/>
              <w:rPr>
                <w:rFonts w:hint="eastAsia" w:ascii="宋体" w:hAnsi="宋体" w:eastAsia="宋体" w:cs="宋体"/>
                <w:i w:val="0"/>
                <w:iCs w:val="0"/>
                <w:caps w:val="0"/>
                <w:color w:val="333333"/>
                <w:spacing w:val="0"/>
                <w:sz w:val="24"/>
                <w:szCs w:val="24"/>
              </w:rPr>
            </w:pPr>
          </w:p>
        </w:tc>
      </w:tr>
      <w:tr w14:paraId="374D4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DF291D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联系方式</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A8909D">
            <w:pPr>
              <w:keepNext/>
              <w:snapToGrid w:val="0"/>
              <w:jc w:val="both"/>
              <w:rPr>
                <w:rFonts w:hint="eastAsia" w:ascii="宋体" w:hAnsi="宋体" w:eastAsia="宋体" w:cs="宋体"/>
                <w:i w:val="0"/>
                <w:iCs w:val="0"/>
                <w:caps w:val="0"/>
                <w:color w:val="333333"/>
                <w:spacing w:val="0"/>
                <w:sz w:val="24"/>
                <w:szCs w:val="24"/>
              </w:rPr>
            </w:pPr>
          </w:p>
        </w:tc>
      </w:tr>
      <w:tr w14:paraId="6964D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D6CE64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检查来源</w:t>
            </w:r>
          </w:p>
        </w:tc>
        <w:tc>
          <w:tcPr>
            <w:tcW w:w="363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DD29C4B">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□日常检查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□专项检查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□投诉举报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□转办交办</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□证后核查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□巡检巡查</w:t>
            </w:r>
          </w:p>
        </w:tc>
      </w:tr>
      <w:tr w14:paraId="6C309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A4975D">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序号</w:t>
            </w:r>
          </w:p>
        </w:tc>
        <w:tc>
          <w:tcPr>
            <w:tcW w:w="70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776C961">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检查项</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C982A7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检查要点</w:t>
            </w:r>
          </w:p>
        </w:tc>
        <w:tc>
          <w:tcPr>
            <w:tcW w:w="8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E893ED6">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检查方式</w:t>
            </w:r>
          </w:p>
        </w:tc>
        <w:tc>
          <w:tcPr>
            <w:tcW w:w="7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99377A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检查标准</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DE8EA5">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实施层级</w:t>
            </w:r>
          </w:p>
        </w:tc>
        <w:tc>
          <w:tcPr>
            <w:tcW w:w="65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FE4AA00">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检查结果</w:t>
            </w:r>
          </w:p>
        </w:tc>
      </w:tr>
      <w:tr w14:paraId="44809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442DFB">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w:t>
            </w:r>
          </w:p>
        </w:tc>
        <w:tc>
          <w:tcPr>
            <w:tcW w:w="707"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65B4090">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对律师执业资质的检查</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2A4DA6">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对律师执业资格的检查</w:t>
            </w:r>
          </w:p>
        </w:tc>
        <w:tc>
          <w:tcPr>
            <w:tcW w:w="8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4B1001">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EA894D">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依法取得律师执业证书</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C659C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8CD783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1493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08176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w:t>
            </w:r>
          </w:p>
        </w:tc>
        <w:tc>
          <w:tcPr>
            <w:tcW w:w="70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EDEECE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2F270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对律师年度考核备案情况的检查</w:t>
            </w:r>
          </w:p>
        </w:tc>
        <w:tc>
          <w:tcPr>
            <w:tcW w:w="8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14F7A6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1C8D6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律师经过司法行政机关年度考核备案并在执业证书上加盖专用章</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50381A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9D2151">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B45D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DE37A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3</w:t>
            </w:r>
          </w:p>
        </w:tc>
        <w:tc>
          <w:tcPr>
            <w:tcW w:w="70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BDDB9A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E17AAE">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对律师执业机构信息的检查</w:t>
            </w:r>
          </w:p>
        </w:tc>
        <w:tc>
          <w:tcPr>
            <w:tcW w:w="8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AC1424B">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A5ABA5">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执业机构与执业证书登记信息一致</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3F42D8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AB56E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48E2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A0A75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4</w:t>
            </w:r>
          </w:p>
        </w:tc>
        <w:tc>
          <w:tcPr>
            <w:tcW w:w="70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45BA82D">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00F9E5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对律师执业证书的检查</w:t>
            </w:r>
          </w:p>
        </w:tc>
        <w:tc>
          <w:tcPr>
            <w:tcW w:w="8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5D2E2E">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B26C2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律师执业证书未进行变造、涂改、抵押、出借、出租、故意损毁</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0907C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F496A0">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F6D2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99C8A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5</w:t>
            </w:r>
          </w:p>
        </w:tc>
        <w:tc>
          <w:tcPr>
            <w:tcW w:w="707" w:type="pct"/>
            <w:vMerge w:val="restart"/>
            <w:tcBorders>
              <w:top w:val="single" w:color="000000" w:sz="6" w:space="0"/>
              <w:left w:val="single" w:color="000000" w:sz="6" w:space="0"/>
              <w:right w:val="single" w:color="000000" w:sz="6" w:space="0"/>
            </w:tcBorders>
            <w:shd w:val="clear" w:color="auto" w:fill="FFFFFF"/>
            <w:tcMar>
              <w:top w:w="120" w:type="dxa"/>
              <w:left w:w="120" w:type="dxa"/>
              <w:bottom w:w="120" w:type="dxa"/>
              <w:right w:w="120" w:type="dxa"/>
            </w:tcMar>
            <w:vAlign w:val="center"/>
          </w:tcPr>
          <w:p w14:paraId="7CE29C8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对律师执业行为的检查</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19D0E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同时在两个以上律师事务所执业的行为</w:t>
            </w:r>
          </w:p>
        </w:tc>
        <w:tc>
          <w:tcPr>
            <w:tcW w:w="8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9F06D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000000" w:sz="6" w:space="0"/>
              <w:left w:val="single" w:color="000000" w:sz="6" w:space="0"/>
              <w:bottom w:val="single" w:color="auto" w:sz="4" w:space="0"/>
              <w:right w:val="single" w:color="000000" w:sz="6" w:space="0"/>
            </w:tcBorders>
            <w:shd w:val="clear" w:color="auto" w:fill="FFFFFF"/>
            <w:tcMar>
              <w:top w:w="120" w:type="dxa"/>
              <w:left w:w="120" w:type="dxa"/>
              <w:bottom w:w="120" w:type="dxa"/>
              <w:right w:w="120" w:type="dxa"/>
            </w:tcMar>
            <w:vAlign w:val="center"/>
          </w:tcPr>
          <w:p w14:paraId="2296F50E">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1、没有在律师事务所执业的同时又在其他律师事务所或者社会法律服务机构执业的行为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2、没有在获准变更执业机构前以拟变更律师事务所律师的名义承办业务，或者在变更后仍以原所在律师事务所律师的名义承办业务的行为</w:t>
            </w:r>
          </w:p>
        </w:tc>
        <w:tc>
          <w:tcPr>
            <w:tcW w:w="658" w:type="pct"/>
            <w:tcBorders>
              <w:top w:val="single" w:color="000000" w:sz="6" w:space="0"/>
              <w:left w:val="single" w:color="000000" w:sz="6" w:space="0"/>
              <w:bottom w:val="single" w:color="auto" w:sz="4" w:space="0"/>
              <w:right w:val="single" w:color="000000" w:sz="6" w:space="0"/>
            </w:tcBorders>
            <w:shd w:val="clear" w:color="auto" w:fill="FFFFFF"/>
            <w:tcMar>
              <w:top w:w="120" w:type="dxa"/>
              <w:left w:w="120" w:type="dxa"/>
              <w:bottom w:w="120" w:type="dxa"/>
              <w:right w:w="120" w:type="dxa"/>
            </w:tcMar>
            <w:vAlign w:val="center"/>
          </w:tcPr>
          <w:p w14:paraId="7BD90DC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000000" w:sz="6" w:space="0"/>
              <w:left w:val="single" w:color="000000" w:sz="6" w:space="0"/>
              <w:bottom w:val="single" w:color="auto" w:sz="4" w:space="0"/>
              <w:right w:val="single" w:color="000000" w:sz="6" w:space="0"/>
            </w:tcBorders>
            <w:shd w:val="clear" w:color="auto" w:fill="FFFFFF"/>
            <w:tcMar>
              <w:top w:w="120" w:type="dxa"/>
              <w:left w:w="120" w:type="dxa"/>
              <w:bottom w:w="120" w:type="dxa"/>
              <w:right w:w="120" w:type="dxa"/>
            </w:tcMar>
            <w:vAlign w:val="center"/>
          </w:tcPr>
          <w:p w14:paraId="3E6BCC30">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4249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A575A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6</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68DE4F1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BAB4B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以不正当手段承揽业务的行为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3B2FF63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BDA834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1、没有以误导、利诱、威胁或者作虚假承诺等方式承揽业务的行为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2、没有以支付介绍费、给予回扣、许诺提供利益等方式承揽业务的行为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3、没有以对本人及所在律师事务所进行不真实、不适当宣传或者诋毁其他律师、律师事务所声誉等方式承揽业务的行为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4、没有在律师事务所住所以外设立办公室、接待室承揽业务的行为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E735730">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0746148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256E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3A69A1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7</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26DE442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3A771B">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在同一案件中为双方当事人担任代理人，或者代理与本人及其近亲属有利益冲突的法律事务的行为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325E3F3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5214D0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1、没有在同一民事诉讼、行政诉讼或者非诉讼法律事务中同时为有利益冲突的当事人担任代理人或者提供相关法律服务的行为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2、没有在同一刑事案件中同时为被告人和被害人担任辩护人、代理人，或者同时为二名以上的犯罪嫌疑人、被告人担任辩护人的行为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3、担任法律顾问期间，没有为与法律顾问单位有利益冲突的当事人提供法律服务的行为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4、曾担任法官、检察官的，没有以代理人、辩护人的身份承办原任职法院、检察院办理过的案件的行为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5、曾经担任仲裁员或者仍在担任仲裁员的，没有以代理人身份承办本人原任职或者现任职的仲裁机构办理的案件的行为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5951D68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FB7BF0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479B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9A50CC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8</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5F48B5F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AEF79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从人民法院、人民检察院离任后二年内担任诉讼代理人或者辩护人的行为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3EF0890F">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D57B279">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曾经担任法官、检察官的律师，没有从人民法院、人民检察院离任后二年内，担任诉讼代理人、辩护人或者以其它方式参与所在律师事务所承办的诉讼法律事务的行为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839A8D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D2BBEA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77FC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1575EC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9</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3B2A7ED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F7754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私自接受委托、收取费用，接受委托人财物或者其他利益的行为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32A3F2E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01994B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1、没有违反统一接受委托规定或者在被处以停止执业期间，私自接受委托，承办法律事务的行为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2、没有违反收费管理规定，私自收取、使用、侵占律师服务费以及律师异地办案差旅费用的行为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3、没有在律师事务所统一收费外又向委托人索要其他费用、财务或者获取其他利益的行为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4、没有向法律援助受援人索要费用或者接受受援人的财务或者其他利益的行为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4AD11DF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3002C47">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0E4F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6B214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10</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1D18C910">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3623CF">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接受委托后无正当理由，拒绝辩护或者代理，不按时出庭参加诉讼或者仲裁的行为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5ACFA40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1FF33BE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不存在除以下正当理由外，接受委托后拒绝接受辩护或者代理，不按时出庭参加诉讼或者仲裁：（1）委托事项违法，或者委托人利用律师提供的法律服务从事违法活动的（2）委托人故意隐瞒与案件有关的重要事实或者提供虚假、伪造的证据材料的（3）委托人不履行委托合同约定义务的（4）律师患严重疾病或者受到停止执业以上行政处罚的（5）其他依法可以拒绝辩护、代理的</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73D6F23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5A9CC8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4469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86FA7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11</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6049FAD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89DD7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违反规定会见法官、检察官、仲裁员以及其他有关工作人员，或者以其他不正当方式影响依法办理案件的行为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207AC3E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484D63B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1、没有在承办代理、辩护业务期间，以影响案件办理结果为目的，在非工作时间、非工作场所会见法官、检察官、仲裁员或者其他有关工作人员的行为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2、没有利用与法官、检察官、仲裁员或者其他有关工作人员的特殊关系，影响依法办理案件的行为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3、没有以对案件进行歪曲、不实、有误导性的宣传或者诋毁有关办案机关和工作人员以及对方当事人声誉等方式，影响依法办理案件的行为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D34C7B9">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DC5369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5CD1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656F4D">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12</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4925F73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D643E0">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向法官、检察官、仲裁员以及其他有关工作人员行贿，介绍贿赂或者指使、诱导当事人行贿的行为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17681CA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5DC3834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1、没有利用承办案件的法官、检察官、仲裁员以及其他工作人员或者其近亲属举办婚丧喜庆事宜等时机，以向其馈赠礼品、金钱、有价证券等方式行贿的行为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2、没有以装修住宅、报销个人费用、资助旅游娱乐等方式向法官、检察官、仲裁员以及其他工作人员行贿的行为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3、没有以提供交通工具、通讯工具、住房或者其他物品等方式向法官、检察官、仲裁员以及其他工作人员行贿的行为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4、没有以影响案件办理结果为目的，直接向法官、检察官、仲裁员以及其他工作人员行贿、介绍贿赂或者指示、诱导当事人行贿的行为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9E38E0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4F5D3E1">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9E72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BA101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13</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216FFC4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441840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扰乱法庭、仲裁庭秩序，干扰诉讼、仲裁活动的正常进行的行为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1FB6B57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2E2A01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1、没有在法庭、仲裁庭上发表或者指使、诱导委托人发表扰乱诉讼、仲裁活动正常进行的言论的行为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2、没有阻止委托人或者其他诉讼参与人出庭，致使诉讼、仲裁活动不能正常进行的行为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3、没有煽动、教唆他人扰乱法庭、仲裁庭秩序的行为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4、没有无正当理由，当庭拒绝辩护、代理，拒绝签收司法文书或者拒绝在有关诉讼文书上签署意见的行为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5D67C9CF">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EDDFB3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4751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1073D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14</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29D57B4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F5D4CBB">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向司法行政机关部门提供虚假材料或者有其他弄虚作假的行为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3533157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7642BD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1、没有在司法行政机关实施检查、监督工作中，向其隐瞒真实情况，拒不提供或者提供不实、虚假材料，或者隐匿、毁灭、伪造证据材料的行为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2、没有在参加律师执业年度考核、执业评价、评先创优活动中，提供不实、虚假、伪造的材料或者有其他弄虚作假行为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3、没有在申请变更执业机构、办理执业终止、注销等手续时，提供不实、虚假、伪造的材料的行为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AACA75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2D8363F8">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C2D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70F8FC1">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15</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6B322FEB">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1A4E9F">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故意提供虚假证据或者威胁、利诱他人提供虚假证据，妨碍对方当事人合法取得证据的行为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001396F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8288F7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1、没有故意向司法机关、行政机关或者仲裁机构提交虚假证据，或者指使、威胁、利诱他人提供虚假证据的行为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2、没有指示或者帮助委托人或者他人伪造、隐匿、毁灭证据，指使或者帮助犯罪嫌疑人、被告人串供，威胁、利诱证人不作证或者作伪证的行为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3、没有妨碍对方当事人及其代理人、辩护人合法取证，或者阻止他人向案件承办机关或者对方当事人提供证据的行为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5836A51">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299333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6431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A7682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16</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6860FFF1">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B905C9">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利用提供法律服务的便利牟取当事人争议权益的行为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49F222B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D73BE2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1、没有采用诱导、欺骗、胁迫、敲诈等手段获取当事人与他人争议的财务、权益的行为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2、没有指使、诱导当事人将财务、权益转让、出售、租赁给他人，并从中获取利益的行为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1A2E425B">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63931D1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B145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6F413E5">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17</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3B30E04E">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6108257">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接受对方当事人财物或者其他利益，与对方当事人或者第三人恶意串通，侵害委托人权益的行为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7D95678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15CCE7A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1、没有向对方当事人或者第三人提供不利于委托人的信息或者证据材料的行为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2、没有与对方当事人或者第三人恶意串通、暗中配合，妨碍委托人合法行使权利的行为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3、没有接受对方当事人财务或者其他利益，故意延误、懈怠或者不依法履行代理、辩护职责，给委托人及委托事项的办理造成不利影响和损失的行为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A47FE7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5844F369">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7D27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83A18E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18</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3CED1486">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BFEA5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拒绝或懈怠履行法律援助义务的行为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480F876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CE5D290">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1、没有无正当理由拒绝接受律师事务所或者法律援助机构指派的法律援助案件的行为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2、没有接受指派后，懈怠履行或者擅自停止履行法律援助职责的行为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3、没有不及时向受援人通报法律援助进展情况的行为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F37000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4FF0CB7">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F652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9720FA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19</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27394C3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6BC81B4">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煽动、教唆当事人采取扰乱公共秩序、危害公共安全等非法手段解决争议的行为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1DFEA2B4">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E621FB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1、没有煽动、教唆当事人采取非法集会、游行示威，聚众扰乱公共场所秩序、交通秩序，围堵、冲击国家机关等非法手段表达诉求，妨害国家机关及其工作人员依法履行职责，抗拒执法活动或者判决执行</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2、没有利用媒体或者其它方式，煽动、教唆当事人以扰乱公共秩序、危害公共安全等手段干扰诉讼、仲裁及行政执法活动正常进行的行为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457379E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0A2F8FB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F4E8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0C710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20</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2D530D2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4DB30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发表危害国家安全、恶意诽谤他人、严重扰乱法庭秩序言论的行为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2FF935B4">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1492D19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1、没有在承办代理、辩护业务期间，发表、散布危害国家安全、恶意诽谤法官、检察官、仲裁员及对方当事人、第三人，严重扰乱法庭秩序的言论的行为</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2、没有在执业期间，发表、制作、传播危害国家安全的言论、信息、音像制品或者支持、参与、实施以危害国家安全为目的的活动的行为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21B4CA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57D3CE0">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B407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2EC1CB">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21</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5B2C889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0F60E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泄露国家秘密的行为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761E612B">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54677759">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没有违反保密义务规定，故意或者过失泄露在执业中知悉的国家秘密的行为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9948E75">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10BD8D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C800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96F5E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22</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7B25D7C1">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CAD4A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泄露商业秘密或者个人隐私的行为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3DB69657">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C55AE4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没有未经委托人或者其他当事人的授权或者同意，在承办案件的过程中或者结束后，擅自披露、散布在执业中知悉的委托人或者其他当事人的商业秘密、个人隐私或者其他不愿泄露的情况和信息的行为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79F2250">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DF6E80B">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56F1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658DB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23</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302B856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48A6A8">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未取得律师执业证书的人员以律师名义从事法律服务的行为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563A0DEC">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2FF177CF">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没有未取得律师执业证书的人员以律师名义从事法律服务的行为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76D26A7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704ED72E">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B9E6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3AFB72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24</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1FF000D8">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E40DA7">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因故意犯罪受到刑事处罚的行为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6348E947">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C7D3A1B">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没有因故意犯罪受到刑事处罚的行为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75B66642">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1586C4DD">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219E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DA0B4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25</w:t>
            </w:r>
          </w:p>
        </w:tc>
        <w:tc>
          <w:tcPr>
            <w:tcW w:w="707" w:type="pct"/>
            <w:vMerge w:val="continue"/>
            <w:tcBorders>
              <w:left w:val="single" w:color="000000" w:sz="6" w:space="0"/>
              <w:right w:val="single" w:color="000000" w:sz="6" w:space="0"/>
            </w:tcBorders>
            <w:shd w:val="clear" w:color="auto" w:fill="FFFFFF"/>
            <w:tcMar>
              <w:top w:w="120" w:type="dxa"/>
              <w:left w:w="120" w:type="dxa"/>
              <w:bottom w:w="120" w:type="dxa"/>
              <w:right w:w="120" w:type="dxa"/>
            </w:tcMar>
            <w:vAlign w:val="center"/>
          </w:tcPr>
          <w:p w14:paraId="5060244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7BFBD5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违反律师法规定，连续受到警告处罚的行为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6D1F0C8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70CCCF13">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没有违反律师法规定，在受到警告处罚后一年内又发生应当给予警告处罚的行为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6568D9F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4DD1633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A3B6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2406B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26</w:t>
            </w:r>
          </w:p>
        </w:tc>
        <w:tc>
          <w:tcPr>
            <w:tcW w:w="707" w:type="pct"/>
            <w:vMerge w:val="continue"/>
            <w:tcBorders>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A3876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B59478">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违反律师法规定，连续受到停止执业处罚的行为</w:t>
            </w:r>
          </w:p>
        </w:tc>
        <w:tc>
          <w:tcPr>
            <w:tcW w:w="862" w:type="pct"/>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53C31216">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86"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31CFE50F">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没有违反律师法规定，在受到停止执业处罚期满后二年内又发生应当给予停止执业处罚的行为</w:t>
            </w:r>
          </w:p>
        </w:tc>
        <w:tc>
          <w:tcPr>
            <w:tcW w:w="658" w:type="pct"/>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5A59771A">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59" w:type="pct"/>
            <w:tcBorders>
              <w:top w:val="single" w:color="auto" w:sz="4" w:space="0"/>
              <w:left w:val="single" w:color="auto" w:sz="4" w:space="0"/>
              <w:bottom w:val="single" w:color="auto" w:sz="4" w:space="0"/>
              <w:right w:val="single" w:color="auto" w:sz="4" w:space="0"/>
            </w:tcBorders>
            <w:shd w:val="clear" w:color="auto" w:fill="FFFFFF"/>
            <w:vAlign w:val="center"/>
          </w:tcPr>
          <w:p w14:paraId="3B1CB6E9">
            <w:pPr>
              <w:keepNext/>
              <w:keepLines w:val="0"/>
              <w:widowControl/>
              <w:suppressLineNumbers w:val="0"/>
              <w:snapToGrid w:val="0"/>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CE84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1311942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检查单位</w:t>
            </w:r>
          </w:p>
        </w:tc>
        <w:tc>
          <w:tcPr>
            <w:tcW w:w="3637" w:type="pct"/>
            <w:gridSpan w:val="5"/>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120364DE">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r>
      <w:tr w14:paraId="75087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7908AC1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检查结论</w:t>
            </w:r>
          </w:p>
        </w:tc>
        <w:tc>
          <w:tcPr>
            <w:tcW w:w="3637" w:type="pct"/>
            <w:gridSpan w:val="5"/>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42A43D93">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r>
      <w:tr w14:paraId="6A1FB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A44FFE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检查人员签名</w:t>
            </w:r>
          </w:p>
        </w:tc>
        <w:tc>
          <w:tcPr>
            <w:tcW w:w="1534" w:type="pct"/>
            <w:gridSpan w:val="2"/>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47C51B26">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姓名：</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执法证号：</w:t>
            </w:r>
          </w:p>
        </w:tc>
        <w:tc>
          <w:tcPr>
            <w:tcW w:w="2103" w:type="pct"/>
            <w:gridSpan w:val="3"/>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0E62787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年 月 日</w:t>
            </w:r>
          </w:p>
        </w:tc>
      </w:tr>
      <w:tr w14:paraId="5F74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45A72B">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1534" w:type="pct"/>
            <w:gridSpan w:val="2"/>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648B9B3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姓名：</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执法证号：</w:t>
            </w:r>
          </w:p>
        </w:tc>
        <w:tc>
          <w:tcPr>
            <w:tcW w:w="2103" w:type="pct"/>
            <w:gridSpan w:val="3"/>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22DF5A0B">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年 月 日</w:t>
            </w:r>
          </w:p>
        </w:tc>
      </w:tr>
      <w:tr w14:paraId="44CE9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62" w:type="pct"/>
            <w:gridSpan w:val="2"/>
            <w:tcBorders>
              <w:top w:val="single" w:color="000000" w:sz="6" w:space="0"/>
              <w:left w:val="single" w:color="000000" w:sz="6" w:space="0"/>
              <w:bottom w:val="single" w:color="000000" w:sz="6" w:space="0"/>
              <w:right w:val="single" w:color="auto" w:sz="4" w:space="0"/>
            </w:tcBorders>
            <w:shd w:val="clear" w:color="auto" w:fill="FFFFFF"/>
            <w:tcMar>
              <w:top w:w="120" w:type="dxa"/>
              <w:left w:w="120" w:type="dxa"/>
              <w:bottom w:w="120" w:type="dxa"/>
              <w:right w:w="120" w:type="dxa"/>
            </w:tcMar>
            <w:vAlign w:val="center"/>
          </w:tcPr>
          <w:p w14:paraId="2A16B44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备注</w:t>
            </w:r>
          </w:p>
        </w:tc>
        <w:tc>
          <w:tcPr>
            <w:tcW w:w="3637" w:type="pct"/>
            <w:gridSpan w:val="5"/>
            <w:tcBorders>
              <w:top w:val="single" w:color="auto" w:sz="4" w:space="0"/>
              <w:left w:val="single" w:color="auto" w:sz="4" w:space="0"/>
              <w:bottom w:val="single" w:color="auto" w:sz="4" w:space="0"/>
              <w:right w:val="single" w:color="auto" w:sz="4" w:space="0"/>
            </w:tcBorders>
            <w:shd w:val="clear" w:color="auto" w:fill="FFFFFF"/>
            <w:tcMar>
              <w:top w:w="120" w:type="dxa"/>
              <w:left w:w="120" w:type="dxa"/>
              <w:bottom w:w="120" w:type="dxa"/>
              <w:right w:w="120" w:type="dxa"/>
            </w:tcMar>
            <w:vAlign w:val="center"/>
          </w:tcPr>
          <w:p w14:paraId="16DCD255">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r>
    </w:tbl>
    <w:p w14:paraId="5B94F76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eastAsia" w:ascii="微软雅黑" w:hAnsi="微软雅黑" w:eastAsia="微软雅黑" w:cs="微软雅黑"/>
          <w:color w:val="333333"/>
          <w:sz w:val="24"/>
          <w:szCs w:val="24"/>
        </w:rPr>
      </w:pPr>
    </w:p>
    <w:p w14:paraId="14383DE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52C93"/>
    <w:rsid w:val="1BAB04C0"/>
    <w:rsid w:val="3D1847CA"/>
    <w:rsid w:val="427F3327"/>
    <w:rsid w:val="4E101324"/>
    <w:rsid w:val="7BE5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Calibri" w:hAnsi="Calibri" w:eastAsia="仿宋_GB2312" w:cs="宋体"/>
      <w:kern w:val="2"/>
      <w:sz w:val="32"/>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2025-12-18T09:11:00Z</dcterms:created>
  <dc:creator>遥遥</dc:creator>
  <cp:lastModifiedBy>遥遥</cp:lastModifiedBy>
  <dcterms:modified xsi:type="dcterms:W3CDTF">2025-12-18T09:41:37Z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C302EE92240442A5915BB15A6246774C_13</vt:lpwstr>
  </property>
  <property fmtid="{D5CDD505-2E9C-101B-9397-08002B2CF9AE}" pid="4" name="KSOTemplateDocerSaveRecord">
    <vt:lpwstr>eyJoZGlkIjoiNTMxZDc0M2NhNmNiNGM3MGU0Y2YwNDNmZTUwNTc4YjAiLCJ1c2VySWQiOiIyMTgyMTQ1MjMifQ==</vt:lpwstr>
  </property>
</Properties>
</file>