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E4A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</w:rPr>
        <w:t>行政检查（双随机抽查）事项清单</w:t>
      </w:r>
    </w:p>
    <w:tbl>
      <w:tblPr>
        <w:tblW w:w="10443" w:type="dxa"/>
        <w:tblInd w:w="-1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615"/>
        <w:gridCol w:w="1371"/>
        <w:gridCol w:w="1825"/>
        <w:gridCol w:w="2620"/>
        <w:gridCol w:w="2146"/>
      </w:tblGrid>
      <w:tr w14:paraId="61296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66AF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7E1FA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检查事项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2C40B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D151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检查主体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705BD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检查依据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5470A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是否属于双随机事项</w:t>
            </w:r>
          </w:p>
        </w:tc>
      </w:tr>
      <w:tr w14:paraId="7C92A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C564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22AA5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对经营高危险性体育项目单位的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F959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高危险性体育运动经营单位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A345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064A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《经营高危险性体育项目许可管理办法》（国家体育总局令2013年第17号）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A68A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49E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2E9B6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6CFD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对公共体育设施的行政检查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DF36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公共体育场馆管理单位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3361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D5FC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《中华人民共和国体育法》《公共文化体育设施条例》《北京市体育设施管理条例》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AE5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7C1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699A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4C24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对违法授予运动员技术等级的行政检查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5B2DC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运动员技术等级授予单位及工作人员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02CB5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2F856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《运动员技术等级管理办法》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984D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A47F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5F6E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ED4B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对体育类社会团体的行政检查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30355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体育类社会团体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30BC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86BE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《社会团体登记管理条例》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3F366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426B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255F5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76C75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对体育类民办非企业单位的行政检查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F0C1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体育类民办非企业单位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01CAF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F878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《民办非企业单位登记管理暂行条例》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3543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5B0B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DC18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2062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对体育赛事活动的行政检查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F15A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体育赛事活动举办单位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BB7A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7C76E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《中华人民共和国体育法》《体育赛事活动管理办法》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03457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D53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D6B0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09BB1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对体育领域预付卡的行政检查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64CA2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预付卡发行企业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765AA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区级及以上体育部门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139B6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《北京市单用途预付卡管理条例》（北京市人民代表大会常务委员会公告 〔十五届〕第68号）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4082E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8C93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20EA6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3FA12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对违法设立站点的行政检查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0B88D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气功活动站点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38039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区级体育部门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7AC5C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《健身气功管理办法》(2024年8月23日国家体育总局令第35号发布)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 w14:paraId="04035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 w14:paraId="29FE7C4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86C01F">
      <w:pP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42"/>
          <w:szCs w:val="42"/>
        </w:rPr>
      </w:pPr>
    </w:p>
    <w:p w14:paraId="485B40E4"/>
    <w:p w14:paraId="159AAD36"/>
    <w:p w14:paraId="600A3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24B5F"/>
    <w:rsid w:val="08424B5F"/>
    <w:rsid w:val="657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779</Characters>
  <Lines>0</Lines>
  <Paragraphs>0</Paragraphs>
  <TotalTime>7</TotalTime>
  <ScaleCrop>false</ScaleCrop>
  <LinksUpToDate>false</LinksUpToDate>
  <CharactersWithSpaces>781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2025-07-18T00:58:00Z</dcterms:created>
  <dc:creator>HCZ-LGB-01</dc:creator>
  <cp:lastModifiedBy>HCZ-LGB-01</cp:lastModifiedBy>
  <cp:lastPrinted>2025-07-18T01:13:40Z</cp:lastPrinted>
  <dcterms:modified xsi:type="dcterms:W3CDTF">2025-07-18T01:15:20Z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77BC9751602D4DA29F8AAD6A4F3E1736_11</vt:lpwstr>
  </property>
  <property fmtid="{D5CDD505-2E9C-101B-9397-08002B2CF9AE}" pid="4" name="KSOTemplateDocerSaveRecord">
    <vt:lpwstr>eyJoZGlkIjoiMzQ4YmQxYTY2NTljZWViMDE2OWMxMjQ0OWI5MTRmNjUifQ==</vt:lpwstr>
  </property>
</Properties>
</file>