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行政处罚听证标准：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  <w:t>拟作出较大数额罚款、没收较大数额违法所得、没收较大价值非法财物、没收较大价值非法开采出的煤炭以及采掘设备、责令停止建设、责令停产停业整顿、责令停产停业、限制从业、降低有关资质等级、吊销有关许可证件、撤销有关执业资格、撤销有关岗位证书的行政处罚。前述“较大数额”“较大价值”，其数额对个人为2万元以上，对生产经营单位为10万元以上。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D22FB"/>
    <w:rsid w:val="365E7A08"/>
    <w:rsid w:val="433D22FB"/>
    <w:rsid w:val="7FFF36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2019-11-25T16:15:00Z</dcterms:created>
  <dc:creator>ZFC</dc:creator>
  <cp:lastModifiedBy>user</cp:lastModifiedBy>
  <dcterms:modified xsi:type="dcterms:W3CDTF">2026-06-25T17:32:02Z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