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both"/>
        <w:rPr>
          <w:rFonts w:hint="eastAsia"/>
          <w:color w:val="auto"/>
          <w:highlight w:val="none"/>
        </w:rPr>
      </w:pPr>
      <w:r>
        <w:rPr>
          <w:rFonts w:hint="eastAsia" w:ascii="黑体" w:hAnsi="黑体" w:eastAsia="黑体" w:cs="黑体"/>
          <w:color w:val="auto"/>
          <w:sz w:val="28"/>
          <w:szCs w:val="28"/>
          <w:highlight w:val="none"/>
          <w:lang w:eastAsia="zh-CN"/>
        </w:rPr>
        <w:t>附件</w:t>
      </w:r>
    </w:p>
    <w:p>
      <w:pPr>
        <w:bidi w:val="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北京市</w:t>
      </w:r>
      <w:r>
        <w:rPr>
          <w:rFonts w:hint="eastAsia" w:ascii="方正小标宋简体" w:hAnsi="方正小标宋简体" w:eastAsia="方正小标宋简体" w:cs="方正小标宋简体"/>
          <w:color w:val="auto"/>
          <w:sz w:val="44"/>
          <w:szCs w:val="44"/>
          <w:highlight w:val="none"/>
          <w:lang w:val="en-US" w:eastAsia="zh-CN"/>
        </w:rPr>
        <w:t>城市管理综合行政</w:t>
      </w:r>
      <w:r>
        <w:rPr>
          <w:rFonts w:hint="eastAsia" w:ascii="方正小标宋简体" w:hAnsi="方正小标宋简体" w:eastAsia="方正小标宋简体" w:cs="方正小标宋简体"/>
          <w:color w:val="auto"/>
          <w:sz w:val="44"/>
          <w:szCs w:val="44"/>
          <w:highlight w:val="none"/>
        </w:rPr>
        <w:t>执法</w:t>
      </w:r>
    </w:p>
    <w:p>
      <w:pPr>
        <w:bidi w:val="0"/>
        <w:jc w:val="center"/>
        <w:rPr>
          <w:rFonts w:hint="eastAsia" w:ascii="方正小标宋简体" w:hAnsi="方正小标宋简体" w:eastAsia="方正小标宋简体" w:cs="方正小标宋简体"/>
          <w:color w:val="auto"/>
          <w:sz w:val="44"/>
          <w:szCs w:val="44"/>
          <w:highlight w:val="none"/>
        </w:rPr>
      </w:pPr>
      <w:bookmarkStart w:id="0" w:name="OLE_LINK2"/>
      <w:bookmarkStart w:id="221" w:name="_GoBack"/>
      <w:r>
        <w:rPr>
          <w:rFonts w:hint="eastAsia" w:ascii="方正小标宋简体" w:hAnsi="方正小标宋简体" w:eastAsia="方正小标宋简体" w:cs="方正小标宋简体"/>
          <w:color w:val="auto"/>
          <w:sz w:val="44"/>
          <w:szCs w:val="44"/>
          <w:highlight w:val="none"/>
          <w:lang w:eastAsia="zh-CN"/>
        </w:rPr>
        <w:t>行政</w:t>
      </w:r>
      <w:r>
        <w:rPr>
          <w:rFonts w:hint="eastAsia" w:ascii="方正小标宋简体" w:hAnsi="方正小标宋简体" w:eastAsia="方正小标宋简体" w:cs="方正小标宋简体"/>
          <w:color w:val="auto"/>
          <w:sz w:val="44"/>
          <w:szCs w:val="44"/>
          <w:highlight w:val="none"/>
        </w:rPr>
        <w:t>处罚裁量基准表</w:t>
      </w:r>
      <w:bookmarkEnd w:id="221"/>
    </w:p>
    <w:bookmarkEnd w:id="0"/>
    <w:p>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_Toc526440799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_Toc526440799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_Toc1144378001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_Toc1144378001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_Toc599974242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_Toc599974242 \h </w:instrText>
          </w:r>
          <w:r>
            <w:fldChar w:fldCharType="separate"/>
          </w:r>
          <w:r>
            <w:t>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_Toc1887098234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_Toc1887098234 \h </w:instrText>
          </w:r>
          <w:r>
            <w:fldChar w:fldCharType="separate"/>
          </w:r>
          <w:r>
            <w:t>20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_Toc1280965736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_Toc1280965736 \h </w:instrText>
          </w:r>
          <w:r>
            <w:fldChar w:fldCharType="separate"/>
          </w:r>
          <w:r>
            <w:t>22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_Toc1752345302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_Toc1752345302 \h </w:instrText>
          </w:r>
          <w:r>
            <w:fldChar w:fldCharType="separate"/>
          </w:r>
          <w:r>
            <w:t>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_Toc1651336954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_Toc1651336954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_Toc172958056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_Toc172958056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_Toc145735833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_Toc145735833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_Toc1140185292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_Toc1140185292 \h </w:instrText>
          </w:r>
          <w:r>
            <w:fldChar w:fldCharType="separate"/>
          </w:r>
          <w:r>
            <w:t>32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_Toc1213367316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_Toc1213367316 \h </w:instrText>
          </w:r>
          <w:r>
            <w:fldChar w:fldCharType="separate"/>
          </w:r>
          <w:r>
            <w:t>33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_Toc1597996495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_Toc1597996495 \h </w:instrText>
          </w:r>
          <w:r>
            <w:fldChar w:fldCharType="separate"/>
          </w:r>
          <w:r>
            <w:t>34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_Toc1748480692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_Toc1748480692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_Toc1377620528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_Toc1377620528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_Toc39814009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_Toc39814009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_Toc1498766390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_Toc1498766390 \h </w:instrText>
          </w:r>
          <w:r>
            <w:fldChar w:fldCharType="separate"/>
          </w:r>
          <w:r>
            <w:t>43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_Toc1839556778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_Toc1839556778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_Toc1866286370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_Toc1866286370 \h </w:instrText>
          </w:r>
          <w:r>
            <w:fldChar w:fldCharType="separate"/>
          </w:r>
          <w:r>
            <w:t>44</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_Toc1709548156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_Toc1709548156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_Toc1607059839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_Toc1607059839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_Toc175167693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_Toc175167693 \h </w:instrText>
          </w:r>
          <w:r>
            <w:fldChar w:fldCharType="separate"/>
          </w:r>
          <w:r>
            <w:t>46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_Toc1724920233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_Toc1724920233 \h </w:instrText>
          </w:r>
          <w:r>
            <w:fldChar w:fldCharType="separate"/>
          </w:r>
          <w:r>
            <w:t>46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_Toc884119906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_Toc884119906 \h </w:instrText>
          </w:r>
          <w:r>
            <w:fldChar w:fldCharType="separate"/>
          </w:r>
          <w:r>
            <w:t>49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_Toc782261727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_Toc782261727 \h </w:instrText>
          </w:r>
          <w:r>
            <w:fldChar w:fldCharType="separate"/>
          </w:r>
          <w:r>
            <w:t>50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_Toc333158386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_Toc333158386 \h </w:instrText>
          </w:r>
          <w:r>
            <w:fldChar w:fldCharType="separate"/>
          </w:r>
          <w:r>
            <w:t>50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_Toc1483790773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_Toc1483790773 \h </w:instrText>
          </w:r>
          <w:r>
            <w:fldChar w:fldCharType="separate"/>
          </w:r>
          <w:r>
            <w:t>60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_Toc1517927781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_Toc1517927781 \h </w:instrText>
          </w:r>
          <w:r>
            <w:fldChar w:fldCharType="separate"/>
          </w:r>
          <w:r>
            <w:t>70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_Toc2108634677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_Toc2108634677 \h </w:instrText>
          </w:r>
          <w:r>
            <w:fldChar w:fldCharType="separate"/>
          </w:r>
          <w:r>
            <w:t>70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_Toc1514974869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_Toc1514974869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_Toc819278804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_Toc819278804 \h </w:instrText>
          </w:r>
          <w:r>
            <w:fldChar w:fldCharType="separate"/>
          </w:r>
          <w:r>
            <w:t>74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_Toc1311839352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_Toc1311839352 \h </w:instrText>
          </w:r>
          <w:r>
            <w:fldChar w:fldCharType="separate"/>
          </w:r>
          <w:r>
            <w:t>74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_Toc2041415668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_Toc2041415668 \h </w:instrText>
          </w:r>
          <w:r>
            <w:fldChar w:fldCharType="separate"/>
          </w:r>
          <w:r>
            <w:t>74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_Toc1963656805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_Toc1963656805 \h </w:instrText>
          </w:r>
          <w:r>
            <w:fldChar w:fldCharType="separate"/>
          </w:r>
          <w:r>
            <w:t>78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_Toc1911813594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_Toc1911813594 \h </w:instrText>
          </w:r>
          <w:r>
            <w:fldChar w:fldCharType="separate"/>
          </w:r>
          <w:r>
            <w:t>79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_Toc1781030255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_Toc1781030255 \h </w:instrText>
          </w:r>
          <w:r>
            <w:fldChar w:fldCharType="separate"/>
          </w:r>
          <w:r>
            <w:t>80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_Toc1097138893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_Toc1097138893 \h </w:instrText>
          </w:r>
          <w:r>
            <w:fldChar w:fldCharType="separate"/>
          </w:r>
          <w:r>
            <w:t>80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_Toc1516675248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_Toc1516675248 \h </w:instrText>
          </w:r>
          <w:r>
            <w:fldChar w:fldCharType="separate"/>
          </w:r>
          <w:r>
            <w:t>84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_Toc1284883561 </w:instrText>
          </w:r>
          <w:r>
            <w:rPr>
              <w:highlight w:val="none"/>
            </w:rPr>
            <w:fldChar w:fldCharType="separate"/>
          </w:r>
          <w:r>
            <w:rPr>
              <w:rFonts w:hint="eastAsia" w:cs="宋体" w:asciiTheme="minorEastAsia" w:hAnsiTheme="minorEastAsia" w:eastAsiaTheme="minorEastAsia"/>
              <w:szCs w:val="21"/>
              <w:highlight w:val="none"/>
            </w:rPr>
            <w:t>《古树名木保护条例》案由11项</w:t>
          </w:r>
          <w:r>
            <w:tab/>
          </w:r>
          <w:r>
            <w:fldChar w:fldCharType="begin"/>
          </w:r>
          <w:r>
            <w:instrText xml:space="preserve"> PAGEREF _Toc1284883561 \h </w:instrText>
          </w:r>
          <w:r>
            <w:fldChar w:fldCharType="separate"/>
          </w:r>
          <w:r>
            <w:t>84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_Toc1270096950 </w:instrText>
          </w:r>
          <w:r>
            <w:rPr>
              <w:highlight w:val="none"/>
            </w:rPr>
            <w:fldChar w:fldCharType="separate"/>
          </w:r>
          <w:r>
            <w:rPr>
              <w:rFonts w:hint="eastAsia"/>
            </w:rPr>
            <w:t>《北京市古树名木保护管理条例》案由</w:t>
          </w:r>
          <w:r>
            <w:rPr>
              <w:rFonts w:hint="eastAsia"/>
              <w:lang w:val="en-US" w:eastAsia="zh-CN"/>
            </w:rPr>
            <w:t>3项</w:t>
          </w:r>
          <w:r>
            <w:tab/>
          </w:r>
          <w:r>
            <w:fldChar w:fldCharType="begin"/>
          </w:r>
          <w:r>
            <w:instrText xml:space="preserve"> PAGEREF _Toc1270096950 \h </w:instrText>
          </w:r>
          <w:r>
            <w:fldChar w:fldCharType="separate"/>
          </w:r>
          <w:r>
            <w:t>89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_Toc1662411082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_Toc1662411082 \h </w:instrText>
          </w:r>
          <w:r>
            <w:fldChar w:fldCharType="separate"/>
          </w:r>
          <w:r>
            <w:t>89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_Toc277585206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_Toc277585206 \h </w:instrText>
          </w:r>
          <w:r>
            <w:fldChar w:fldCharType="separate"/>
          </w:r>
          <w:r>
            <w:t>92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_Toc335980618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_Toc335980618 \h </w:instrText>
          </w:r>
          <w:r>
            <w:fldChar w:fldCharType="separate"/>
          </w:r>
          <w:r>
            <w:t>92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_Toc1112923929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_Toc1112923929 \h </w:instrText>
          </w:r>
          <w:r>
            <w:fldChar w:fldCharType="separate"/>
          </w:r>
          <w:r>
            <w:t>95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_Toc2026065898 </w:instrText>
          </w:r>
          <w:r>
            <w:rPr>
              <w:highlight w:val="none"/>
            </w:rPr>
            <w:fldChar w:fldCharType="separate"/>
          </w:r>
          <w:r>
            <w:rPr>
              <w:rFonts w:hint="eastAsia" w:asciiTheme="minorEastAsia" w:hAnsiTheme="minorEastAsia" w:eastAsiaTheme="minorEastAsia"/>
              <w:szCs w:val="21"/>
              <w:highlight w:val="none"/>
            </w:rPr>
            <w:t>《北京市环境噪声污染防治办法》案由</w:t>
          </w:r>
          <w:r>
            <w:rPr>
              <w:rFonts w:hint="eastAsia" w:asciiTheme="minorEastAsia" w:hAnsiTheme="minorEastAsia" w:eastAsiaTheme="minorEastAsia"/>
              <w:szCs w:val="21"/>
              <w:highlight w:val="none"/>
              <w:lang w:val="en-US" w:eastAsia="zh-CN"/>
            </w:rPr>
            <w:t>1</w:t>
          </w:r>
          <w:r>
            <w:rPr>
              <w:rFonts w:hint="eastAsia" w:asciiTheme="minorEastAsia" w:hAnsiTheme="minorEastAsia" w:eastAsiaTheme="minorEastAsia"/>
              <w:szCs w:val="21"/>
              <w:highlight w:val="none"/>
            </w:rPr>
            <w:t>项</w:t>
          </w:r>
          <w:r>
            <w:tab/>
          </w:r>
          <w:r>
            <w:fldChar w:fldCharType="begin"/>
          </w:r>
          <w:r>
            <w:instrText xml:space="preserve"> PAGEREF _Toc2026065898 \h </w:instrText>
          </w:r>
          <w:r>
            <w:fldChar w:fldCharType="separate"/>
          </w:r>
          <w:r>
            <w:t>96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_Toc1713601146 </w:instrText>
          </w:r>
          <w:r>
            <w:rPr>
              <w:highlight w:val="none"/>
            </w:rPr>
            <w:fldChar w:fldCharType="separate"/>
          </w:r>
          <w:r>
            <w:rPr>
              <w:rFonts w:hint="eastAsia" w:asciiTheme="minorEastAsia" w:hAnsiTheme="minorEastAsia" w:eastAsiaTheme="minorEastAsia"/>
              <w:szCs w:val="21"/>
              <w:highlight w:val="none"/>
            </w:rPr>
            <w:t>《中华人民共和国噪声污染防治法》案由</w:t>
          </w:r>
          <w:r>
            <w:rPr>
              <w:rFonts w:hint="eastAsia" w:asciiTheme="minorEastAsia" w:hAnsiTheme="minorEastAsia" w:eastAsiaTheme="minorEastAsia"/>
              <w:szCs w:val="21"/>
              <w:highlight w:val="none"/>
              <w:lang w:val="en-US" w:eastAsia="zh-CN"/>
            </w:rPr>
            <w:t>6</w:t>
          </w:r>
          <w:r>
            <w:rPr>
              <w:rFonts w:hint="eastAsia" w:asciiTheme="minorEastAsia" w:hAnsiTheme="minorEastAsia" w:eastAsiaTheme="minorEastAsia"/>
              <w:szCs w:val="21"/>
              <w:highlight w:val="none"/>
            </w:rPr>
            <w:t>项</w:t>
          </w:r>
          <w:r>
            <w:tab/>
          </w:r>
          <w:r>
            <w:fldChar w:fldCharType="begin"/>
          </w:r>
          <w:r>
            <w:instrText xml:space="preserve"> PAGEREF _Toc1713601146 \h </w:instrText>
          </w:r>
          <w:r>
            <w:fldChar w:fldCharType="separate"/>
          </w:r>
          <w:r>
            <w:t>97</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_Toc1152737938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_Toc1152737938 \h </w:instrText>
          </w:r>
          <w:r>
            <w:fldChar w:fldCharType="separate"/>
          </w:r>
          <w:r>
            <w:t>98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_Toc1377348640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_Toc1377348640 \h </w:instrText>
          </w:r>
          <w:r>
            <w:fldChar w:fldCharType="separate"/>
          </w:r>
          <w:r>
            <w:t>98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_Toc1405674276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_Toc1405674276 \h </w:instrText>
          </w:r>
          <w:r>
            <w:fldChar w:fldCharType="separate"/>
          </w:r>
          <w:r>
            <w:t>100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_Toc871540661 </w:instrText>
          </w:r>
          <w:r>
            <w:rPr>
              <w:highlight w:val="none"/>
            </w:rPr>
            <w:fldChar w:fldCharType="separate"/>
          </w:r>
          <w:r>
            <w:rPr>
              <w:rFonts w:hint="eastAsia" w:ascii="黑体" w:hAnsi="黑体" w:eastAsia="黑体"/>
              <w:szCs w:val="36"/>
              <w:highlight w:val="none"/>
            </w:rPr>
            <w:t>停车场管理方面</w:t>
          </w:r>
          <w:r>
            <w:tab/>
          </w:r>
          <w:r>
            <w:fldChar w:fldCharType="begin"/>
          </w:r>
          <w:r>
            <w:instrText xml:space="preserve"> PAGEREF _Toc871540661 \h </w:instrText>
          </w:r>
          <w:r>
            <w:fldChar w:fldCharType="separate"/>
          </w:r>
          <w:r>
            <w:t>103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_Toc939413149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_Toc939413149 \h </w:instrText>
          </w:r>
          <w:r>
            <w:fldChar w:fldCharType="separate"/>
          </w:r>
          <w:r>
            <w:t>103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_Toc865250467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_Toc865250467 \h </w:instrText>
          </w:r>
          <w:r>
            <w:fldChar w:fldCharType="separate"/>
          </w:r>
          <w:r>
            <w:t>106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_Toc1046708354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_Toc1046708354 \h </w:instrText>
          </w:r>
          <w:r>
            <w:fldChar w:fldCharType="separate"/>
          </w:r>
          <w:r>
            <w:t>107</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_Toc516849734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_Toc516849734 \h </w:instrText>
          </w:r>
          <w:r>
            <w:fldChar w:fldCharType="separate"/>
          </w:r>
          <w:r>
            <w:t>108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_Toc1749370373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_Toc1749370373 \h </w:instrText>
          </w:r>
          <w:r>
            <w:fldChar w:fldCharType="separate"/>
          </w:r>
          <w:r>
            <w:t>108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_Toc1828970082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_Toc1828970082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_Toc850008120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_Toc850008120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_Toc1085677499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_Toc1085677499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_Toc1199414215 </w:instrText>
          </w:r>
          <w:r>
            <w:rPr>
              <w:highlight w:val="none"/>
            </w:rPr>
            <w:fldChar w:fldCharType="separate"/>
          </w:r>
          <w:r>
            <w:rPr>
              <w:rFonts w:hint="eastAsia" w:ascii="黑体" w:hAnsi="黑体" w:eastAsia="黑体"/>
              <w:szCs w:val="36"/>
              <w:highlight w:val="none"/>
            </w:rPr>
            <w:t>城</w:t>
          </w:r>
          <w:r>
            <w:rPr>
              <w:rFonts w:hint="eastAsia" w:ascii="黑体" w:hAnsi="黑体" w:eastAsia="黑体"/>
              <w:szCs w:val="36"/>
              <w:highlight w:val="none"/>
              <w:lang w:eastAsia="zh-CN"/>
            </w:rPr>
            <w:t>乡</w:t>
          </w:r>
          <w:r>
            <w:rPr>
              <w:rFonts w:hint="eastAsia" w:ascii="黑体" w:hAnsi="黑体" w:eastAsia="黑体"/>
              <w:szCs w:val="36"/>
              <w:highlight w:val="none"/>
            </w:rPr>
            <w:t>规划管理方面</w:t>
          </w:r>
          <w:r>
            <w:tab/>
          </w:r>
          <w:r>
            <w:fldChar w:fldCharType="begin"/>
          </w:r>
          <w:r>
            <w:instrText xml:space="preserve"> PAGEREF _Toc1199414215 \h </w:instrText>
          </w:r>
          <w:r>
            <w:fldChar w:fldCharType="separate"/>
          </w:r>
          <w:r>
            <w:t>110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_Toc811159149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_Toc811159149 \h </w:instrText>
          </w:r>
          <w:r>
            <w:fldChar w:fldCharType="separate"/>
          </w:r>
          <w:r>
            <w:t>110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_Toc453168720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_Toc453168720 \h </w:instrText>
          </w:r>
          <w:r>
            <w:fldChar w:fldCharType="separate"/>
          </w:r>
          <w:r>
            <w:t>111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_Toc2018693019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_Toc2018693019 \h </w:instrText>
          </w:r>
          <w:r>
            <w:fldChar w:fldCharType="separate"/>
          </w:r>
          <w:r>
            <w:t>111</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_Toc2122998501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_Toc2122998501 \h </w:instrText>
          </w:r>
          <w:r>
            <w:fldChar w:fldCharType="separate"/>
          </w:r>
          <w:r>
            <w:t>111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_Toc347100741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_Toc347100741 \h </w:instrText>
          </w:r>
          <w:r>
            <w:fldChar w:fldCharType="separate"/>
          </w:r>
          <w:r>
            <w:t>111</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_Toc1834866177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_Toc1834866177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_Toc1887328448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_Toc1887328448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_Toc2128130996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_Toc2128130996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_Toc784521422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_Toc784521422 \h </w:instrText>
          </w:r>
          <w:r>
            <w:fldChar w:fldCharType="separate"/>
          </w:r>
          <w:r>
            <w:t>118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_Toc1256520048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_Toc1256520048 \h </w:instrText>
          </w:r>
          <w:r>
            <w:fldChar w:fldCharType="separate"/>
          </w:r>
          <w:r>
            <w:t>119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_Toc1265530909 </w:instrText>
          </w:r>
          <w:r>
            <w:rPr>
              <w:highlight w:val="none"/>
            </w:rPr>
            <w:fldChar w:fldCharType="separate"/>
          </w:r>
          <w:r>
            <w:rPr>
              <w:rFonts w:hint="eastAsia"/>
              <w:szCs w:val="21"/>
              <w:lang w:val="en-US" w:eastAsia="zh-CN"/>
            </w:rPr>
            <w:t>《北京市优化营商环境条例》案由1项</w:t>
          </w:r>
          <w:r>
            <w:tab/>
          </w:r>
          <w:r>
            <w:fldChar w:fldCharType="begin"/>
          </w:r>
          <w:r>
            <w:instrText xml:space="preserve"> PAGEREF _Toc1265530909 \h </w:instrText>
          </w:r>
          <w:r>
            <w:fldChar w:fldCharType="separate"/>
          </w:r>
          <w:r>
            <w:t>120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_Toc2054618372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_Toc2054618372 \h </w:instrText>
          </w:r>
          <w:r>
            <w:fldChar w:fldCharType="separate"/>
          </w:r>
          <w:r>
            <w:t>120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_Toc771447482 </w:instrText>
          </w:r>
          <w:r>
            <w:rPr>
              <w:highlight w:val="none"/>
            </w:rPr>
            <w:fldChar w:fldCharType="separate"/>
          </w:r>
          <w:r>
            <w:rPr>
              <w:rFonts w:hint="eastAsia"/>
            </w:rPr>
            <w:t>国际交往语言环境建设方面</w:t>
          </w:r>
          <w:r>
            <w:tab/>
          </w:r>
          <w:r>
            <w:fldChar w:fldCharType="begin"/>
          </w:r>
          <w:r>
            <w:instrText xml:space="preserve"> PAGEREF _Toc771447482 \h </w:instrText>
          </w:r>
          <w:r>
            <w:fldChar w:fldCharType="separate"/>
          </w:r>
          <w:r>
            <w:t>125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_Toc1543116115 </w:instrText>
          </w:r>
          <w:r>
            <w:rPr>
              <w:highlight w:val="none"/>
            </w:rPr>
            <w:fldChar w:fldCharType="separate"/>
          </w:r>
          <w:r>
            <w:rPr>
              <w:rFonts w:hint="eastAsia"/>
            </w:rPr>
            <w:t>《</w:t>
          </w:r>
          <w:r>
            <w:rPr>
              <w:rFonts w:hint="eastAsia"/>
              <w:lang w:val="zh-CN"/>
            </w:rPr>
            <w:t>北京市国际交往语言环境建设条例</w:t>
          </w:r>
          <w:r>
            <w:rPr>
              <w:rFonts w:hint="eastAsia"/>
            </w:rPr>
            <w:t>》案由4项</w:t>
          </w:r>
          <w:r>
            <w:tab/>
          </w:r>
          <w:r>
            <w:fldChar w:fldCharType="begin"/>
          </w:r>
          <w:r>
            <w:instrText xml:space="preserve"> PAGEREF _Toc1543116115 \h </w:instrText>
          </w:r>
          <w:r>
            <w:fldChar w:fldCharType="separate"/>
          </w:r>
          <w:r>
            <w:t>125</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_Toc243115343 </w:instrText>
          </w:r>
          <w:r>
            <w:rPr>
              <w:highlight w:val="none"/>
            </w:rPr>
            <w:fldChar w:fldCharType="separate"/>
          </w:r>
          <w:r>
            <w:rPr>
              <w:rFonts w:hint="eastAsia"/>
              <w:szCs w:val="21"/>
            </w:rPr>
            <w:t>生态环境</w:t>
          </w:r>
          <w:r>
            <w:rPr>
              <w:rFonts w:hint="eastAsia"/>
              <w:szCs w:val="21"/>
              <w:lang w:eastAsia="zh-CN"/>
            </w:rPr>
            <w:t>下放</w:t>
          </w:r>
          <w:r>
            <w:rPr>
              <w:rFonts w:hint="eastAsia"/>
              <w:szCs w:val="21"/>
              <w:lang w:val="en-US" w:eastAsia="zh-CN"/>
            </w:rPr>
            <w:t>2</w:t>
          </w:r>
          <w:r>
            <w:rPr>
              <w:rFonts w:hint="eastAsia"/>
              <w:szCs w:val="21"/>
            </w:rPr>
            <w:t>项</w:t>
          </w:r>
          <w:r>
            <w:tab/>
          </w:r>
          <w:r>
            <w:fldChar w:fldCharType="begin"/>
          </w:r>
          <w:r>
            <w:instrText xml:space="preserve"> PAGEREF _Toc243115343 \h </w:instrText>
          </w:r>
          <w:r>
            <w:fldChar w:fldCharType="separate"/>
          </w:r>
          <w:r>
            <w:t>126</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_Toc1884371412 </w:instrText>
          </w:r>
          <w:r>
            <w:rPr>
              <w:highlight w:val="none"/>
            </w:rPr>
            <w:fldChar w:fldCharType="separate"/>
          </w:r>
          <w:r>
            <w:rPr>
              <w:rFonts w:hint="eastAsia"/>
              <w:szCs w:val="21"/>
            </w:rPr>
            <w:t>水务管理方面</w:t>
          </w:r>
          <w:r>
            <w:rPr>
              <w:rFonts w:hint="eastAsia"/>
              <w:szCs w:val="21"/>
              <w:lang w:val="en-US" w:eastAsia="zh-CN"/>
            </w:rPr>
            <w:t>20</w:t>
          </w:r>
          <w:r>
            <w:rPr>
              <w:rFonts w:hint="eastAsia"/>
              <w:szCs w:val="21"/>
            </w:rPr>
            <w:t>项</w:t>
          </w:r>
          <w:r>
            <w:tab/>
          </w:r>
          <w:r>
            <w:fldChar w:fldCharType="begin"/>
          </w:r>
          <w:r>
            <w:instrText xml:space="preserve"> PAGEREF _Toc1884371412 \h </w:instrText>
          </w:r>
          <w:r>
            <w:fldChar w:fldCharType="separate"/>
          </w:r>
          <w:r>
            <w:t>126</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_Toc1421698366 </w:instrText>
          </w:r>
          <w:r>
            <w:rPr>
              <w:highlight w:val="none"/>
            </w:rPr>
            <w:fldChar w:fldCharType="separate"/>
          </w:r>
          <w:r>
            <w:rPr>
              <w:rFonts w:hint="eastAsia"/>
              <w:szCs w:val="21"/>
            </w:rPr>
            <w:t>农业农村</w:t>
          </w:r>
          <w:r>
            <w:rPr>
              <w:rFonts w:hint="eastAsia"/>
              <w:szCs w:val="21"/>
              <w:lang w:eastAsia="zh-CN"/>
            </w:rPr>
            <w:t>下放</w:t>
          </w:r>
          <w:r>
            <w:rPr>
              <w:rFonts w:hint="eastAsia"/>
              <w:szCs w:val="21"/>
            </w:rPr>
            <w:t>1项</w:t>
          </w:r>
          <w:r>
            <w:tab/>
          </w:r>
          <w:r>
            <w:fldChar w:fldCharType="begin"/>
          </w:r>
          <w:r>
            <w:instrText xml:space="preserve"> PAGEREF _Toc1421698366 \h </w:instrText>
          </w:r>
          <w:r>
            <w:fldChar w:fldCharType="separate"/>
          </w:r>
          <w:r>
            <w:t>131</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_Toc1956716489 </w:instrText>
          </w:r>
          <w:r>
            <w:rPr>
              <w:highlight w:val="none"/>
            </w:rPr>
            <w:fldChar w:fldCharType="separate"/>
          </w:r>
          <w:r>
            <w:rPr>
              <w:rFonts w:hint="eastAsia"/>
              <w:szCs w:val="21"/>
            </w:rPr>
            <w:t>卫生健康</w:t>
          </w:r>
          <w:r>
            <w:rPr>
              <w:rFonts w:hint="eastAsia"/>
              <w:szCs w:val="21"/>
              <w:lang w:eastAsia="zh-CN"/>
            </w:rPr>
            <w:t>下放</w:t>
          </w:r>
          <w:r>
            <w:rPr>
              <w:rFonts w:hint="eastAsia"/>
              <w:szCs w:val="21"/>
              <w:lang w:val="en-US" w:eastAsia="zh-CN"/>
            </w:rPr>
            <w:t>5</w:t>
          </w:r>
          <w:r>
            <w:rPr>
              <w:rFonts w:hint="eastAsia"/>
              <w:szCs w:val="21"/>
            </w:rPr>
            <w:t>项</w:t>
          </w:r>
          <w:r>
            <w:tab/>
          </w:r>
          <w:r>
            <w:fldChar w:fldCharType="begin"/>
          </w:r>
          <w:r>
            <w:instrText xml:space="preserve"> PAGEREF _Toc1956716489 \h </w:instrText>
          </w:r>
          <w:r>
            <w:fldChar w:fldCharType="separate"/>
          </w:r>
          <w:r>
            <w:t>131</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_Toc889625702 </w:instrText>
          </w:r>
          <w:r>
            <w:rPr>
              <w:highlight w:val="none"/>
            </w:rPr>
            <w:fldChar w:fldCharType="separate"/>
          </w:r>
          <w:r>
            <w:rPr>
              <w:rFonts w:hint="eastAsia"/>
              <w:bCs/>
              <w:szCs w:val="21"/>
              <w:lang w:eastAsia="zh-CN"/>
            </w:rPr>
            <w:t>住房城乡建设下放</w:t>
          </w:r>
          <w:r>
            <w:rPr>
              <w:rFonts w:hint="eastAsia"/>
              <w:bCs/>
              <w:szCs w:val="21"/>
              <w:lang w:val="en-US" w:eastAsia="zh-CN"/>
            </w:rPr>
            <w:t>3项</w:t>
          </w:r>
          <w:r>
            <w:tab/>
          </w:r>
          <w:r>
            <w:fldChar w:fldCharType="begin"/>
          </w:r>
          <w:r>
            <w:instrText xml:space="preserve"> PAGEREF _Toc889625702 \h </w:instrText>
          </w:r>
          <w:r>
            <w:fldChar w:fldCharType="separate"/>
          </w:r>
          <w:r>
            <w:t>132</w:t>
          </w:r>
          <w:r>
            <w:fldChar w:fldCharType="end"/>
          </w:r>
          <w:r>
            <w:rPr>
              <w:color w:val="auto"/>
              <w:highlight w:val="none"/>
            </w:rPr>
            <w:fldChar w:fldCharType="end"/>
          </w:r>
        </w:p>
        <w:p>
          <w:pPr>
            <w:pStyle w:val="22"/>
            <w:tabs>
              <w:tab w:val="left" w:pos="1516"/>
            </w:tabs>
            <w:ind w:left="0" w:leftChars="0" w:firstLine="0" w:firstLineChars="0"/>
            <w:rPr>
              <w:color w:val="auto"/>
              <w:highlight w:val="none"/>
            </w:rPr>
          </w:pPr>
          <w:r>
            <w:rPr>
              <w:color w:val="auto"/>
              <w:highlight w:val="none"/>
            </w:rPr>
            <w:fldChar w:fldCharType="end"/>
          </w:r>
        </w:p>
      </w:sdtContent>
    </w:sdt>
    <w:p>
      <w:pPr>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pPr>
        <w:pStyle w:val="22"/>
        <w:rPr>
          <w:rFonts w:hint="eastAsia"/>
          <w:color w:val="auto"/>
          <w:highlight w:val="none"/>
        </w:rPr>
      </w:pPr>
    </w:p>
    <w:tbl>
      <w:tblPr>
        <w:tblStyle w:val="23"/>
        <w:tblW w:w="14218"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trPr>
        <w:tc>
          <w:tcPr>
            <w:tcW w:w="9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8"/>
                <w:szCs w:val="28"/>
                <w:highlight w:val="none"/>
              </w:rPr>
            </w:pPr>
            <w:bookmarkStart w:id="1" w:name="_Toc1748547838"/>
            <w:bookmarkStart w:id="2" w:name="_Toc526440799"/>
            <w:bookmarkStart w:id="3" w:name="_Toc110851435"/>
            <w:r>
              <w:rPr>
                <w:rFonts w:hint="eastAsia" w:ascii="黑体" w:hAnsi="黑体" w:eastAsia="黑体"/>
                <w:b w:val="0"/>
                <w:color w:val="auto"/>
                <w:sz w:val="28"/>
                <w:szCs w:val="28"/>
                <w:highlight w:val="none"/>
              </w:rPr>
              <w:t>市容环境卫生管理方面</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3"/>
              <w:widowControl w:val="0"/>
              <w:spacing w:line="232" w:lineRule="exact"/>
              <w:rPr>
                <w:rFonts w:asciiTheme="minorEastAsia" w:hAnsiTheme="minorEastAsia" w:eastAsiaTheme="minorEastAsia"/>
                <w:color w:val="auto"/>
                <w:sz w:val="15"/>
                <w:szCs w:val="15"/>
                <w:highlight w:val="none"/>
              </w:rPr>
            </w:pPr>
            <w:bookmarkStart w:id="4" w:name="_Toc110851436"/>
            <w:bookmarkStart w:id="5" w:name="_Toc1144378001"/>
            <w:bookmarkStart w:id="6" w:name="_Toc1944272260"/>
            <w:r>
              <w:rPr>
                <w:rFonts w:hint="eastAsia" w:asciiTheme="minorEastAsia" w:hAnsiTheme="minorEastAsia" w:eastAsiaTheme="minorEastAsia"/>
                <w:color w:val="auto"/>
                <w:sz w:val="21"/>
                <w:szCs w:val="21"/>
                <w:highlight w:val="none"/>
              </w:rPr>
              <w:t>《北京市市容环境卫生条例》案由56项</w:t>
            </w:r>
            <w:bookmarkEnd w:id="4"/>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bookmarkStart w:id="7"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54" w:hRule="atLeast"/>
          <w:jc w:val="center"/>
        </w:trPr>
        <w:tc>
          <w:tcPr>
            <w:tcW w:w="9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2789"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88" w:hRule="atLeast"/>
          <w:jc w:val="center"/>
        </w:trPr>
        <w:tc>
          <w:tcPr>
            <w:tcW w:w="940"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2789"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pStyle w:val="7"/>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pStyle w:val="7"/>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c>
          <w:tcPr>
            <w:tcW w:w="824" w:type="dxa"/>
            <w:shd w:val="clear" w:color="auto" w:fill="auto"/>
            <w:vAlign w:val="center"/>
          </w:tcPr>
          <w:p>
            <w:pPr>
              <w:pStyle w:val="7"/>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pStyle w:val="7"/>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2789"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17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spacing w:line="23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17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8"/>
              <w:rPr>
                <w:rFonts w:hint="eastAsia"/>
                <w:color w:val="auto"/>
                <w:highlight w:val="none"/>
              </w:rPr>
            </w:pP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1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2789"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22"/>
              <w:spacing w:after="0" w:line="232" w:lineRule="exact"/>
              <w:ind w:firstLine="300"/>
              <w:rPr>
                <w:rFonts w:asciiTheme="minorEastAsia" w:hAnsiTheme="minorEastAsia" w:eastAsiaTheme="minorEastAsia"/>
                <w:color w:val="auto"/>
                <w:sz w:val="15"/>
                <w:szCs w:val="15"/>
                <w:highlight w:val="none"/>
              </w:rPr>
            </w:pPr>
          </w:p>
          <w:p>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u w:val="singl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2789" w:type="dxa"/>
            <w:shd w:val="clear" w:color="auto" w:fill="auto"/>
            <w:vAlign w:val="center"/>
          </w:tcPr>
          <w:p>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385" w:type="dxa"/>
            <w:shd w:val="clear" w:color="auto" w:fill="auto"/>
            <w:vAlign w:val="center"/>
          </w:tcPr>
          <w:p>
            <w:pPr>
              <w:spacing w:line="240"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2789"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2789"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2789"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8" w:name="_Toc110851437"/>
            <w:bookmarkStart w:id="9" w:name="_Toc1542301765"/>
            <w:bookmarkStart w:id="10" w:name="_Toc599974242"/>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8"/>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2789" w:type="dxa"/>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2789"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1785"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lang w:val="en-US" w:eastAsia="zh-CN"/>
              </w:rPr>
              <w:t>1</w:t>
            </w:r>
            <w:r>
              <w:rPr>
                <w:rFonts w:hint="eastAsia" w:asciiTheme="minorEastAsia" w:hAnsiTheme="minorEastAsia" w:eastAsiaTheme="minorEastAsia"/>
                <w:strike w:val="0"/>
                <w:dstrike w:val="0"/>
                <w:color w:val="auto"/>
                <w:sz w:val="15"/>
                <w:szCs w:val="15"/>
                <w:highlight w:val="none"/>
              </w:rPr>
              <w:t>.违法行为持续时间较长，垃圾产生量较</w:t>
            </w:r>
            <w:r>
              <w:rPr>
                <w:rFonts w:hint="eastAsia" w:asciiTheme="minorEastAsia" w:hAnsiTheme="minorEastAsia" w:eastAsiaTheme="minorEastAsia"/>
                <w:strike w:val="0"/>
                <w:dstrike w:val="0"/>
                <w:color w:val="auto"/>
                <w:spacing w:val="-4"/>
                <w:sz w:val="15"/>
                <w:szCs w:val="15"/>
                <w:highlight w:val="none"/>
              </w:rPr>
              <w:t>大，系数为2-4；</w:t>
            </w:r>
            <w:r>
              <w:rPr>
                <w:rFonts w:hint="eastAsia" w:asciiTheme="minorEastAsia" w:hAnsiTheme="minorEastAsia" w:eastAsiaTheme="minorEastAsia"/>
                <w:strike w:val="0"/>
                <w:dstrike w:val="0"/>
                <w:color w:val="auto"/>
                <w:spacing w:val="-4"/>
                <w:sz w:val="15"/>
                <w:szCs w:val="15"/>
                <w:highlight w:val="none"/>
                <w:lang w:val="en-US" w:eastAsia="zh-CN"/>
              </w:rPr>
              <w:t>2</w:t>
            </w:r>
            <w:r>
              <w:rPr>
                <w:rFonts w:hint="eastAsia" w:asciiTheme="minorEastAsia" w:hAnsiTheme="minorEastAsia" w:eastAsiaTheme="minorEastAsia"/>
                <w:strike w:val="0"/>
                <w:dstrike w:val="0"/>
                <w:color w:val="auto"/>
                <w:spacing w:val="-4"/>
                <w:sz w:val="15"/>
                <w:szCs w:val="15"/>
                <w:highlight w:val="none"/>
              </w:rPr>
              <w:t>.造成环境秩序较严重影响的，系数5-9。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pPr>
              <w:pStyle w:val="8"/>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w:t>
            </w:r>
            <w:r>
              <w:rPr>
                <w:rFonts w:hint="eastAsia" w:asciiTheme="minorEastAsia" w:hAnsiTheme="minorEastAsia" w:eastAsiaTheme="minorEastAsia"/>
                <w:color w:val="auto"/>
                <w:sz w:val="15"/>
                <w:szCs w:val="15"/>
                <w:highlight w:val="none"/>
                <w:shd w:val="clear" w:fill="FF0000"/>
                <w:lang w:eastAsia="zh-CN"/>
              </w:rPr>
              <w:t>账</w:t>
            </w:r>
            <w:r>
              <w:rPr>
                <w:rFonts w:hint="eastAsia" w:asciiTheme="minorEastAsia" w:hAnsiTheme="minorEastAsia" w:eastAsiaTheme="minorEastAsia"/>
                <w:color w:val="auto"/>
                <w:sz w:val="15"/>
                <w:szCs w:val="15"/>
                <w:highlight w:val="none"/>
              </w:rPr>
              <w:t>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w:t>
            </w:r>
            <w:r>
              <w:rPr>
                <w:rFonts w:hint="eastAsia" w:cs="宋体" w:asciiTheme="minorEastAsia" w:hAnsiTheme="minorEastAsia" w:eastAsiaTheme="minorEastAsia"/>
                <w:color w:val="auto"/>
                <w:kern w:val="0"/>
                <w:sz w:val="15"/>
                <w:szCs w:val="15"/>
                <w:highlight w:val="none"/>
                <w:lang w:eastAsia="zh-CN"/>
              </w:rPr>
              <w:t>台账</w:t>
            </w:r>
            <w:r>
              <w:rPr>
                <w:rFonts w:hint="eastAsia" w:cs="宋体" w:asciiTheme="minorEastAsia" w:hAnsiTheme="minorEastAsia" w:eastAsiaTheme="minorEastAsia"/>
                <w:color w:val="auto"/>
                <w:kern w:val="0"/>
                <w:sz w:val="15"/>
                <w:szCs w:val="15"/>
                <w:highlight w:val="none"/>
              </w:rPr>
              <w:t>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3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2789"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1785"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3" w:lineRule="exact"/>
              <w:rPr>
                <w:rFonts w:cs="宋体" w:asciiTheme="minorEastAsia" w:hAnsiTheme="minorEastAsia" w:eastAsiaTheme="minorEastAsia"/>
                <w:color w:val="auto"/>
                <w:kern w:val="0"/>
                <w:sz w:val="14"/>
                <w:szCs w:val="14"/>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w:t>
            </w:r>
            <w:r>
              <w:rPr>
                <w:rFonts w:hint="eastAsia" w:asciiTheme="minorEastAsia" w:hAnsiTheme="minorEastAsia" w:eastAsiaTheme="minorEastAsia"/>
                <w:color w:val="auto"/>
                <w:sz w:val="15"/>
                <w:szCs w:val="15"/>
                <w:highlight w:val="none"/>
                <w:lang w:eastAsia="zh-CN"/>
              </w:rPr>
              <w:t>账</w:t>
            </w:r>
            <w:r>
              <w:rPr>
                <w:rFonts w:hint="eastAsia" w:asciiTheme="minorEastAsia" w:hAnsiTheme="minorEastAsia" w:eastAsiaTheme="minorEastAsia"/>
                <w:color w:val="auto"/>
                <w:sz w:val="15"/>
                <w:szCs w:val="15"/>
                <w:highlight w:val="none"/>
              </w:rPr>
              <w:t>制度</w:t>
            </w:r>
          </w:p>
        </w:tc>
        <w:tc>
          <w:tcPr>
            <w:tcW w:w="27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2789"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restart"/>
            <w:tcBorders>
              <w:top w:val="single" w:color="auto" w:sz="4" w:space="0"/>
              <w:left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2789"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2789"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38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c>
          <w:tcPr>
            <w:tcW w:w="8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8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1" w:name="_Toc1887098234"/>
            <w:bookmarkStart w:id="12" w:name="_Toc726075658"/>
            <w:bookmarkStart w:id="13" w:name="_Toc110851438"/>
            <w:r>
              <w:rPr>
                <w:rFonts w:hint="eastAsia" w:asciiTheme="minorEastAsia" w:hAnsiTheme="minorEastAsia" w:eastAsiaTheme="minorEastAsia"/>
                <w:color w:val="auto"/>
                <w:sz w:val="20"/>
                <w:szCs w:val="20"/>
                <w:highlight w:val="none"/>
              </w:rPr>
              <w:t>《城市生活垃圾管理办法》案由11项</w:t>
            </w:r>
            <w:bookmarkEnd w:id="11"/>
            <w:bookmarkEnd w:id="12"/>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2789"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2789" w:type="dxa"/>
            <w:vMerge w:val="restart"/>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pPr>
              <w:spacing w:line="20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2789"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8" w:hRule="atLeast"/>
          <w:jc w:val="center"/>
        </w:trPr>
        <w:tc>
          <w:tcPr>
            <w:tcW w:w="14218" w:type="dxa"/>
            <w:gridSpan w:val="9"/>
            <w:shd w:val="clear" w:color="auto" w:fill="auto"/>
            <w:vAlign w:val="center"/>
          </w:tcPr>
          <w:p>
            <w:pPr>
              <w:pStyle w:val="3"/>
              <w:widowControl w:val="0"/>
              <w:spacing w:line="220" w:lineRule="exact"/>
              <w:jc w:val="center"/>
              <w:rPr>
                <w:rFonts w:asciiTheme="minorEastAsia" w:hAnsiTheme="minorEastAsia" w:eastAsiaTheme="minorEastAsia"/>
                <w:color w:val="auto"/>
                <w:sz w:val="15"/>
                <w:szCs w:val="15"/>
                <w:highlight w:val="none"/>
              </w:rPr>
            </w:pPr>
            <w:bookmarkStart w:id="14" w:name="_Toc1544417110"/>
            <w:bookmarkStart w:id="15" w:name="_Toc1280965736"/>
            <w:bookmarkStart w:id="16" w:name="_Toc110851439"/>
            <w:r>
              <w:rPr>
                <w:rFonts w:hint="eastAsia" w:asciiTheme="minorEastAsia" w:hAnsiTheme="minorEastAsia" w:eastAsiaTheme="minorEastAsia"/>
                <w:color w:val="auto"/>
                <w:sz w:val="20"/>
                <w:szCs w:val="20"/>
                <w:highlight w:val="none"/>
              </w:rPr>
              <w:t>《城市建筑垃圾管理规定》案由11项</w:t>
            </w:r>
            <w:bookmarkEnd w:id="14"/>
            <w:bookmarkEnd w:id="15"/>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pStyle w:val="22"/>
              <w:ind w:left="0" w:leftChars="0" w:firstLine="0" w:firstLineChars="0"/>
              <w:rPr>
                <w:rFonts w:hint="default"/>
                <w:strike/>
                <w:dstrike w:val="0"/>
                <w:color w:val="auto"/>
                <w:highlight w:val="none"/>
                <w:lang w:val="en-US" w:eastAsia="zh-CN"/>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strike/>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17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17" w:name="_Toc1752345302"/>
            <w:bookmarkStart w:id="18" w:name="_Toc110851440"/>
            <w:bookmarkStart w:id="19" w:name="_Toc80602247"/>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7"/>
            <w:bookmarkEnd w:id="18"/>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6"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pPr>
              <w:pStyle w:val="8"/>
              <w:rPr>
                <w:rFonts w:hint="eastAsia" w:asciiTheme="minorEastAsia" w:hAnsiTheme="minorEastAsia" w:eastAsiaTheme="minorEastAsia"/>
                <w:color w:val="auto"/>
                <w:sz w:val="15"/>
                <w:szCs w:val="15"/>
                <w:highlight w:val="none"/>
                <w:lang w:eastAsia="zh-CN"/>
              </w:rPr>
            </w:pPr>
          </w:p>
          <w:p>
            <w:pPr>
              <w:pStyle w:val="9"/>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continue"/>
            <w:shd w:val="clear" w:color="auto" w:fill="auto"/>
          </w:tcPr>
          <w:p>
            <w:pPr>
              <w:spacing w:line="190"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vMerge w:val="continue"/>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75" w:hRule="atLeast"/>
          <w:jc w:val="center"/>
        </w:trPr>
        <w:tc>
          <w:tcPr>
            <w:tcW w:w="940" w:type="dxa"/>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190"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190"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9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0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b/>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w:t>
            </w:r>
            <w:r>
              <w:rPr>
                <w:rFonts w:hint="eastAsia" w:asciiTheme="minorEastAsia" w:hAnsiTheme="minorEastAsia" w:eastAsiaTheme="minorEastAsia"/>
                <w:color w:val="0000FF"/>
                <w:sz w:val="15"/>
                <w:szCs w:val="15"/>
                <w:highlight w:val="none"/>
                <w:lang w:eastAsia="zh-CN"/>
              </w:rPr>
              <w:t>；</w:t>
            </w:r>
            <w:r>
              <w:rPr>
                <w:rFonts w:hint="eastAsia" w:asciiTheme="minorEastAsia" w:hAnsiTheme="minorEastAsia" w:eastAsiaTheme="minorEastAsia"/>
                <w:color w:val="auto"/>
                <w:sz w:val="15"/>
                <w:szCs w:val="15"/>
                <w:highlight w:val="none"/>
              </w:rPr>
              <w:t>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0" w:name="_Toc110851441"/>
            <w:bookmarkStart w:id="21" w:name="_Toc1651336954"/>
            <w:bookmarkStart w:id="22" w:name="_Toc812078872"/>
            <w:r>
              <w:rPr>
                <w:rFonts w:hint="eastAsia" w:asciiTheme="minorEastAsia" w:hAnsiTheme="minorEastAsia" w:eastAsiaTheme="minorEastAsia"/>
                <w:color w:val="auto"/>
                <w:sz w:val="20"/>
                <w:szCs w:val="20"/>
                <w:highlight w:val="none"/>
              </w:rPr>
              <w:t>《北京市“门前三包”责任制管理办法》案由1项</w:t>
            </w:r>
            <w:bookmarkEnd w:id="20"/>
            <w:bookmarkEnd w:id="21"/>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3" w:name="_Toc110851442"/>
            <w:bookmarkStart w:id="24" w:name="_Toc1567388814"/>
            <w:bookmarkStart w:id="25" w:name="_Toc172958056"/>
            <w:r>
              <w:rPr>
                <w:rFonts w:hint="eastAsia" w:asciiTheme="minorEastAsia" w:hAnsiTheme="minorEastAsia" w:eastAsiaTheme="minorEastAsia"/>
                <w:color w:val="auto"/>
                <w:sz w:val="20"/>
                <w:szCs w:val="20"/>
                <w:highlight w:val="none"/>
              </w:rPr>
              <w:t>《北京市人民政府关于扫雪铲冰管理的规定》案由1项</w:t>
            </w:r>
            <w:bookmarkEnd w:id="23"/>
            <w:bookmarkEnd w:id="24"/>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9"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6" w:name="_Toc110851443"/>
            <w:bookmarkStart w:id="27" w:name="_Toc145735833"/>
            <w:bookmarkStart w:id="28" w:name="_Toc764526123"/>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6"/>
            <w:bookmarkEnd w:id="27"/>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hint="eastAsia" w:asciiTheme="minorEastAsia" w:hAnsiTheme="minorEastAsia" w:eastAsiaTheme="minorEastAsia"/>
                <w:strike/>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8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pPr>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4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1785" w:type="dxa"/>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29" w:name="_Toc110851445"/>
            <w:bookmarkStart w:id="30" w:name="_Toc295250662"/>
            <w:bookmarkStart w:id="31" w:name="_Toc1140185292"/>
            <w:r>
              <w:rPr>
                <w:rFonts w:hint="eastAsia" w:asciiTheme="minorEastAsia" w:hAnsiTheme="minorEastAsia" w:eastAsiaTheme="minorEastAsia"/>
                <w:color w:val="auto"/>
                <w:sz w:val="21"/>
                <w:szCs w:val="21"/>
                <w:highlight w:val="none"/>
              </w:rPr>
              <w:t>《北京市标语宣传品设置管理规定》案由6项</w:t>
            </w:r>
            <w:bookmarkEnd w:id="29"/>
            <w:bookmarkEnd w:id="30"/>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32" w:name="_Toc110851446"/>
            <w:bookmarkStart w:id="33" w:name="_Toc2072230684"/>
            <w:bookmarkStart w:id="34" w:name="_Toc1213367316"/>
            <w:r>
              <w:rPr>
                <w:rFonts w:hint="eastAsia" w:asciiTheme="minorEastAsia" w:hAnsiTheme="minorEastAsia" w:eastAsiaTheme="minorEastAsia"/>
                <w:color w:val="auto"/>
                <w:sz w:val="21"/>
                <w:szCs w:val="21"/>
                <w:highlight w:val="none"/>
              </w:rPr>
              <w:t>《北京市城市道路和公共场所环境卫生管理若干规定》案由7项</w:t>
            </w:r>
            <w:bookmarkEnd w:id="32"/>
            <w:bookmarkEnd w:id="33"/>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5" w:hRule="atLeast"/>
          <w:jc w:val="center"/>
        </w:trPr>
        <w:tc>
          <w:tcPr>
            <w:tcW w:w="14218" w:type="dxa"/>
            <w:gridSpan w:val="9"/>
            <w:shd w:val="clear" w:color="auto" w:fill="auto"/>
            <w:vAlign w:val="center"/>
          </w:tcPr>
          <w:p>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5" w:name="_Toc110851447"/>
            <w:bookmarkStart w:id="36" w:name="_Toc660874911"/>
            <w:bookmarkStart w:id="37" w:name="_Toc1597996495"/>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5"/>
          </w:p>
          <w:bookmarkEnd w:id="36"/>
          <w:bookmarkEnd w:id="37"/>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pPr>
              <w:pStyle w:val="8"/>
              <w:rPr>
                <w:rFonts w:hint="eastAsia"/>
                <w:color w:val="auto"/>
                <w:highlight w:val="none"/>
                <w:lang w:eastAsia="zh-CN"/>
              </w:rPr>
            </w:pPr>
          </w:p>
          <w:p>
            <w:pPr>
              <w:pStyle w:val="8"/>
              <w:rPr>
                <w:color w:val="auto"/>
                <w:highlight w:val="none"/>
              </w:rPr>
            </w:pPr>
          </w:p>
        </w:tc>
        <w:tc>
          <w:tcPr>
            <w:tcW w:w="824" w:type="dxa"/>
            <w:vMerge w:val="restart"/>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180" w:lineRule="exact"/>
              <w:jc w:val="center"/>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c>
          <w:tcPr>
            <w:tcW w:w="824" w:type="dxa"/>
            <w:vMerge w:val="continue"/>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c>
          <w:tcPr>
            <w:tcW w:w="824" w:type="dxa"/>
            <w:vMerge w:val="restart"/>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04"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c>
          <w:tcPr>
            <w:tcW w:w="824"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w:t>
            </w:r>
            <w:r>
              <w:rPr>
                <w:rFonts w:hint="eastAsia" w:asciiTheme="minorEastAsia" w:hAnsiTheme="minorEastAsia" w:eastAsiaTheme="minorEastAsia"/>
                <w:color w:val="auto"/>
                <w:sz w:val="15"/>
                <w:szCs w:val="15"/>
                <w:highlight w:val="none"/>
                <w:shd w:val="clear" w:fill="FF0000"/>
                <w:lang w:eastAsia="zh-CN"/>
              </w:rPr>
              <w:t>责任</w:t>
            </w:r>
            <w:r>
              <w:rPr>
                <w:rFonts w:asciiTheme="minorEastAsia" w:hAnsiTheme="minorEastAsia" w:eastAsiaTheme="minorEastAsia"/>
                <w:color w:val="auto"/>
                <w:sz w:val="15"/>
                <w:szCs w:val="15"/>
                <w:highlight w:val="none"/>
              </w:rPr>
              <w:t>人</w:t>
            </w:r>
            <w:r>
              <w:rPr>
                <w:rFonts w:hint="eastAsia" w:asciiTheme="minorEastAsia" w:hAnsiTheme="minorEastAsia" w:eastAsiaTheme="minorEastAsia"/>
                <w:color w:val="auto"/>
                <w:sz w:val="15"/>
                <w:szCs w:val="15"/>
                <w:highlight w:val="none"/>
              </w:rPr>
              <w:t>对居民装饰装修产生的建筑垃圾未制定治理方案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1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pPr>
              <w:pStyle w:val="8"/>
              <w:rPr>
                <w:rFonts w:hint="default"/>
                <w:color w:val="auto"/>
                <w:highlight w:val="none"/>
                <w:lang w:val="en-US" w:eastAsia="zh-CN"/>
              </w:rPr>
            </w:pPr>
          </w:p>
        </w:tc>
        <w:tc>
          <w:tcPr>
            <w:tcW w:w="1785"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2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1785"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1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3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2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pPr>
              <w:spacing w:line="232" w:lineRule="exact"/>
              <w:rPr>
                <w:rFonts w:cs="宋体" w:asciiTheme="minorEastAsia" w:hAnsiTheme="minorEastAsia" w:eastAsiaTheme="minorEastAsia"/>
                <w:b/>
                <w:bCs/>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9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3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55"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91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1785"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7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01"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8" w:name="_Toc1748480692"/>
            <w:bookmarkStart w:id="39" w:name="_Toc110851448"/>
            <w:bookmarkStart w:id="40" w:name="_Toc495418307"/>
            <w:r>
              <w:rPr>
                <w:rFonts w:hint="eastAsia" w:asciiTheme="minorEastAsia" w:hAnsiTheme="minorEastAsia" w:eastAsiaTheme="minorEastAsia"/>
                <w:color w:val="auto"/>
                <w:sz w:val="21"/>
                <w:szCs w:val="21"/>
                <w:highlight w:val="none"/>
              </w:rPr>
              <w:t>《北京市养犬管理规定》案由1项</w:t>
            </w:r>
            <w:bookmarkEnd w:id="38"/>
            <w:bookmarkEnd w:id="39"/>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1" w:name="_Toc1377620528"/>
            <w:bookmarkStart w:id="42" w:name="_Toc986557284"/>
            <w:bookmarkStart w:id="43" w:name="_Toc110851449"/>
            <w:r>
              <w:rPr>
                <w:rFonts w:hint="eastAsia" w:asciiTheme="minorEastAsia" w:hAnsiTheme="minorEastAsia" w:eastAsiaTheme="minorEastAsia"/>
                <w:color w:val="auto"/>
                <w:sz w:val="21"/>
                <w:szCs w:val="21"/>
                <w:highlight w:val="none"/>
              </w:rPr>
              <w:t>《北京市长城保护管理办法》案由1项</w:t>
            </w:r>
            <w:bookmarkEnd w:id="41"/>
            <w:bookmarkEnd w:id="42"/>
            <w:bookmarkEnd w:id="4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4" w:name="_Toc39814009"/>
            <w:bookmarkStart w:id="45" w:name="_Toc703776516"/>
            <w:bookmarkStart w:id="46" w:name="_Toc110851450"/>
            <w:r>
              <w:rPr>
                <w:rFonts w:hint="eastAsia" w:asciiTheme="minorEastAsia" w:hAnsiTheme="minorEastAsia" w:eastAsiaTheme="minorEastAsia"/>
                <w:color w:val="auto"/>
                <w:sz w:val="21"/>
                <w:szCs w:val="21"/>
                <w:highlight w:val="none"/>
              </w:rPr>
              <w:t>《北京历史文化名城保护条例》案由1项</w:t>
            </w:r>
            <w:bookmarkEnd w:id="44"/>
            <w:bookmarkEnd w:id="45"/>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4"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7" w:name="_Toc1498766390"/>
            <w:bookmarkStart w:id="48" w:name="_Toc958675012"/>
            <w:bookmarkStart w:id="49" w:name="_Toc110851451"/>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7"/>
            <w:bookmarkEnd w:id="48"/>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2789"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50" w:name="_Toc1563678502"/>
            <w:bookmarkStart w:id="51" w:name="_Toc1839556778"/>
            <w:bookmarkStart w:id="52" w:name="_Toc110851452"/>
            <w:r>
              <w:rPr>
                <w:rFonts w:hint="eastAsia" w:asciiTheme="minorEastAsia" w:hAnsiTheme="minorEastAsia" w:eastAsiaTheme="minorEastAsia"/>
                <w:color w:val="auto"/>
                <w:sz w:val="21"/>
                <w:szCs w:val="21"/>
                <w:highlight w:val="none"/>
              </w:rPr>
              <w:t>《城市照明管理规定》案由2项</w:t>
            </w:r>
            <w:bookmarkEnd w:id="50"/>
            <w:bookmarkEnd w:id="51"/>
            <w:bookmarkEnd w:id="5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strike/>
                <w:dstrike w:val="0"/>
                <w:color w:val="auto"/>
                <w:sz w:val="15"/>
                <w:szCs w:val="15"/>
                <w:highlight w:val="none"/>
              </w:rPr>
            </w:pPr>
          </w:p>
        </w:tc>
        <w:tc>
          <w:tcPr>
            <w:tcW w:w="824"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1000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1785"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3"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3" w:name="_Toc110851453"/>
            <w:bookmarkStart w:id="54" w:name="_Toc275604405"/>
            <w:bookmarkStart w:id="55" w:name="_Toc1866286370"/>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3"/>
            <w:bookmarkEnd w:id="54"/>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7" w:hRule="atLeast"/>
          <w:jc w:val="center"/>
        </w:trPr>
        <w:tc>
          <w:tcPr>
            <w:tcW w:w="9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617"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2"/>
              <w:bidi w:val="0"/>
              <w:rPr>
                <w:rFonts w:ascii="黑体" w:hAnsi="黑体" w:eastAsia="黑体" w:cs="仿宋_GB2312"/>
                <w:color w:val="auto"/>
                <w:highlight w:val="none"/>
                <w:lang w:val="en"/>
              </w:rPr>
            </w:pPr>
            <w:bookmarkStart w:id="56" w:name="_Toc435705406"/>
            <w:bookmarkStart w:id="57" w:name="_Toc1709548156"/>
            <w:r>
              <w:rPr>
                <w:rFonts w:hint="eastAsia" w:ascii="黑体" w:hAnsi="黑体" w:eastAsia="黑体" w:cs="黑体"/>
                <w:b w:val="0"/>
                <w:bCs w:val="0"/>
                <w:color w:val="auto"/>
                <w:highlight w:val="none"/>
              </w:rPr>
              <w:t>市政管理方面</w:t>
            </w:r>
            <w:bookmarkEnd w:id="56"/>
            <w:bookmarkEnd w:id="5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Layout w:type="fixed"/>
          <w:tblCellMar>
            <w:top w:w="0" w:type="dxa"/>
            <w:left w:w="57" w:type="dxa"/>
            <w:bottom w:w="0" w:type="dxa"/>
            <w:right w:w="57" w:type="dxa"/>
          </w:tblCellMar>
        </w:tblPrEx>
        <w:trPr>
          <w:trHeight w:val="453" w:hRule="atLeast"/>
          <w:jc w:val="center"/>
        </w:trPr>
        <w:tc>
          <w:tcPr>
            <w:tcW w:w="14218" w:type="dxa"/>
            <w:gridSpan w:val="9"/>
            <w:tcBorders>
              <w:left w:val="single" w:color="000000" w:sz="4" w:space="0"/>
              <w:bottom w:val="single" w:color="000000" w:sz="4" w:space="0"/>
              <w:right w:val="single" w:color="000000"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58" w:name="_Toc1018838380"/>
            <w:bookmarkStart w:id="59" w:name="_Toc1607059839"/>
            <w:r>
              <w:rPr>
                <w:rFonts w:hint="eastAsia"/>
                <w:color w:val="auto"/>
                <w:sz w:val="21"/>
                <w:szCs w:val="21"/>
                <w:highlight w:val="none"/>
                <w:lang w:val="en-US" w:eastAsia="zh-CN"/>
              </w:rPr>
              <w:t>《北京市无障碍环境建设条例》案由6</w:t>
            </w:r>
            <w:bookmarkEnd w:id="58"/>
            <w:r>
              <w:rPr>
                <w:rFonts w:hint="eastAsia"/>
                <w:color w:val="auto"/>
                <w:sz w:val="21"/>
                <w:szCs w:val="21"/>
                <w:highlight w:val="none"/>
                <w:lang w:val="en-US" w:eastAsia="zh-CN"/>
              </w:rPr>
              <w:t>项</w:t>
            </w:r>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0"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2789" w:type="dxa"/>
            <w:shd w:val="clear" w:color="auto" w:fill="auto"/>
            <w:vAlign w:val="center"/>
          </w:tcPr>
          <w:p>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32"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19"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2789" w:type="dxa"/>
            <w:shd w:val="clear" w:color="auto" w:fill="auto"/>
            <w:vAlign w:val="center"/>
          </w:tcPr>
          <w:p>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1"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kern w:val="0"/>
                <w:sz w:val="15"/>
                <w:szCs w:val="15"/>
                <w:highlight w:val="none"/>
                <w:lang w:val="en" w:eastAsia="zh-CN"/>
              </w:rPr>
            </w:pP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8"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2789"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17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5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2"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pPr>
              <w:spacing w:line="220"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2789"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17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8" w:hRule="atLeast"/>
          <w:jc w:val="center"/>
        </w:trPr>
        <w:tc>
          <w:tcPr>
            <w:tcW w:w="14218" w:type="dxa"/>
            <w:gridSpan w:val="9"/>
            <w:shd w:val="clear" w:color="auto" w:fill="auto"/>
            <w:vAlign w:val="center"/>
          </w:tcPr>
          <w:p>
            <w:pPr>
              <w:pStyle w:val="3"/>
              <w:bidi w:val="0"/>
              <w:jc w:val="center"/>
              <w:rPr>
                <w:rFonts w:hint="default" w:ascii="宋体" w:hAnsi="宋体" w:eastAsia="宋体" w:cs="宋体"/>
                <w:color w:val="auto"/>
                <w:sz w:val="21"/>
                <w:szCs w:val="21"/>
                <w:highlight w:val="none"/>
                <w:lang w:val="en-US"/>
              </w:rPr>
            </w:pPr>
            <w:bookmarkStart w:id="60" w:name="_Toc175167693"/>
            <w:bookmarkStart w:id="61" w:name="_Toc1038902727"/>
            <w:r>
              <w:rPr>
                <w:rFonts w:hint="eastAsia" w:ascii="宋体" w:hAnsi="宋体" w:eastAsia="宋体" w:cs="宋体"/>
                <w:color w:val="auto"/>
                <w:sz w:val="21"/>
                <w:szCs w:val="21"/>
                <w:highlight w:val="none"/>
                <w:lang w:val="en-US" w:eastAsia="zh-CN"/>
              </w:rPr>
              <w:t>《中华人民共和国无障碍环境建设法》案由2项</w:t>
            </w:r>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2789" w:type="dxa"/>
            <w:vMerge w:val="restart"/>
            <w:shd w:val="clear" w:color="auto" w:fill="auto"/>
            <w:vAlign w:val="center"/>
          </w:tcPr>
          <w:p>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2789"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restart"/>
            <w:shd w:val="clear" w:color="auto" w:fill="auto"/>
            <w:vAlign w:val="center"/>
          </w:tcPr>
          <w:p>
            <w:pPr>
              <w:spacing w:line="220" w:lineRule="exact"/>
              <w:jc w:val="center"/>
              <w:rPr>
                <w:rFonts w:hint="eastAsia" w:ascii="宋体" w:hAnsi="宋体" w:eastAsia="宋体" w:cs="仿宋_GB2312"/>
                <w:color w:val="auto"/>
                <w:sz w:val="15"/>
                <w:szCs w:val="15"/>
                <w:highlight w:val="none"/>
                <w:lang w:val="en" w:eastAsia="zh-CN"/>
              </w:rPr>
            </w:pPr>
            <w:r>
              <w:rPr>
                <w:rFonts w:hint="eastAsia" w:ascii="宋体" w:hAnsi="宋体" w:eastAsia="宋体" w:cs="仿宋_GB2312"/>
                <w:color w:val="auto"/>
                <w:sz w:val="15"/>
                <w:szCs w:val="15"/>
                <w:highlight w:val="none"/>
                <w:lang w:val="en" w:eastAsia="zh-CN"/>
              </w:rPr>
              <w:t>街道</w:t>
            </w:r>
          </w:p>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304"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385" w:type="dxa"/>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c>
          <w:tcPr>
            <w:tcW w:w="824"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3" w:hRule="atLeast"/>
          <w:jc w:val="center"/>
        </w:trPr>
        <w:tc>
          <w:tcPr>
            <w:tcW w:w="14218" w:type="dxa"/>
            <w:gridSpan w:val="9"/>
            <w:shd w:val="clear" w:color="auto" w:fill="auto"/>
            <w:vAlign w:val="center"/>
          </w:tcPr>
          <w:p>
            <w:pPr>
              <w:pStyle w:val="3"/>
              <w:bidi w:val="0"/>
              <w:jc w:val="center"/>
              <w:rPr>
                <w:color w:val="auto"/>
                <w:highlight w:val="none"/>
              </w:rPr>
            </w:pPr>
            <w:bookmarkStart w:id="62" w:name="_Toc1724920233"/>
            <w:r>
              <w:rPr>
                <w:rFonts w:hint="eastAsia"/>
                <w:color w:val="auto"/>
                <w:sz w:val="21"/>
                <w:szCs w:val="21"/>
                <w:highlight w:val="none"/>
              </w:rPr>
              <w:t>《城市道路管理条例》《北京市城市道路管理办法》案由16项</w:t>
            </w:r>
            <w:bookmarkEnd w:id="61"/>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17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2789"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c>
          <w:tcPr>
            <w:tcW w:w="824" w:type="dxa"/>
            <w:shd w:val="clear" w:color="auto" w:fill="auto"/>
            <w:vAlign w:val="center"/>
          </w:tcPr>
          <w:p>
            <w:pPr>
              <w:spacing w:line="25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3" w:name="_Toc110851455"/>
            <w:bookmarkStart w:id="64" w:name="_Toc884119906"/>
            <w:bookmarkStart w:id="65" w:name="_Toc1973624040"/>
            <w:r>
              <w:rPr>
                <w:rFonts w:hint="eastAsia" w:asciiTheme="minorEastAsia" w:hAnsiTheme="minorEastAsia" w:eastAsiaTheme="minorEastAsia"/>
                <w:color w:val="auto"/>
                <w:sz w:val="21"/>
                <w:szCs w:val="21"/>
                <w:highlight w:val="none"/>
              </w:rPr>
              <w:t>《北京市地下设施检查井井盖管理规定》案由5项</w:t>
            </w:r>
            <w:bookmarkEnd w:id="63"/>
            <w:bookmarkEnd w:id="64"/>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2789" w:type="dxa"/>
            <w:shd w:val="clear" w:color="auto" w:fill="auto"/>
            <w:vAlign w:val="center"/>
          </w:tcPr>
          <w:p>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c>
          <w:tcPr>
            <w:tcW w:w="824" w:type="dxa"/>
            <w:shd w:val="clear" w:color="auto" w:fill="auto"/>
            <w:vAlign w:val="center"/>
          </w:tcPr>
          <w:p>
            <w:pPr>
              <w:spacing w:line="22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97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20"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66" w:name="_Toc110851456"/>
            <w:bookmarkStart w:id="67" w:name="_Toc1693504403"/>
            <w:bookmarkStart w:id="68" w:name="_Toc782261727"/>
            <w:r>
              <w:rPr>
                <w:rFonts w:hint="eastAsia" w:ascii="黑体" w:hAnsi="黑体" w:eastAsia="黑体"/>
                <w:b w:val="0"/>
                <w:color w:val="auto"/>
                <w:sz w:val="36"/>
                <w:szCs w:val="36"/>
                <w:highlight w:val="none"/>
              </w:rPr>
              <w:t>公用事业管理方面</w:t>
            </w:r>
            <w:bookmarkEnd w:id="66"/>
            <w:bookmarkEnd w:id="67"/>
            <w:bookmarkEnd w:id="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54"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69" w:name="_Toc1349825120"/>
            <w:bookmarkStart w:id="70" w:name="_Toc110851457"/>
            <w:bookmarkStart w:id="71" w:name="_Toc333158386"/>
            <w:r>
              <w:rPr>
                <w:rFonts w:hint="eastAsia" w:asciiTheme="minorEastAsia" w:hAnsiTheme="minorEastAsia" w:eastAsiaTheme="minorEastAsia"/>
                <w:color w:val="auto"/>
                <w:sz w:val="21"/>
                <w:szCs w:val="21"/>
                <w:highlight w:val="none"/>
              </w:rPr>
              <w:t>《城镇燃气管理条例》案由30项</w:t>
            </w:r>
            <w:bookmarkEnd w:id="69"/>
            <w:bookmarkEnd w:id="70"/>
            <w:bookmarkEnd w:id="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1785" w:type="dxa"/>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tcBorders>
              <w:left w:val="single" w:color="auto" w:sz="4" w:space="0"/>
            </w:tcBorders>
            <w:shd w:val="clear" w:color="auto" w:fill="FFFFFF"/>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top w:val="single" w:color="auto" w:sz="4" w:space="0"/>
            </w:tcBorders>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8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5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7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2789"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1785"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区级</w:t>
            </w:r>
          </w:p>
          <w:p>
            <w:pPr>
              <w:autoSpaceDE w:val="0"/>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auto"/>
            <w:vAlign w:val="center"/>
          </w:tcPr>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7"/>
              <w:rPr>
                <w:rFonts w:hint="eastAsia" w:asciiTheme="minorEastAsia" w:hAnsiTheme="minorEastAsia" w:eastAsiaTheme="minorEastAsia" w:cstheme="minorEastAsia"/>
                <w:color w:val="auto"/>
                <w:spacing w:val="-4"/>
                <w:sz w:val="15"/>
                <w:szCs w:val="15"/>
                <w:highlight w:val="yellow"/>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一、（十七）</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1.未在有较大危险因素的生产经营场所和有关设施、设备上设置明显的安全警示标志有 5 处以下的，处 2 万元以下的罚款；逾期未改正的，处 5 万元以上 10 万元以下的罚款，对其直接负责的主管人员和其他直接责任人员处 1万元以上 2 万元以下的罚款；</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2.未在有较大危险因素的生产经营场所和有关设施、设备上设置明显的安全警示标志有 5 处以上 10 处以下的，处 2 万元以上 4 万元以下的罚款；逾期未改正的，处 10 万元以上 15 万元以下的罚款，对其直接负责的主管人员和其他直接责任人员处 1 万元以上 2 万元以下的罚款；</w:t>
            </w:r>
          </w:p>
          <w:p>
            <w:pPr>
              <w:pStyle w:val="8"/>
              <w:rPr>
                <w:rFonts w:hint="eastAsia"/>
                <w:lang w:val="en-US" w:eastAsia="zh-CN"/>
              </w:rPr>
            </w:pPr>
            <w:r>
              <w:rPr>
                <w:rFonts w:hint="eastAsia" w:cs="Times New Roman" w:asciiTheme="minorEastAsia" w:hAnsiTheme="minorEastAsia" w:eastAsiaTheme="minorEastAsia"/>
                <w:color w:val="auto"/>
                <w:spacing w:val="-4"/>
                <w:sz w:val="15"/>
                <w:szCs w:val="15"/>
                <w:highlight w:val="none"/>
                <w:lang w:val="en-US" w:eastAsia="zh-CN"/>
              </w:rPr>
              <w:t>3.未在有较大危险因素的生产经营场所和有关设施、设备上设置明显的安全警示标志有 10 处以上的，处 4 万元以上 5 万元以下的罚款；逾期未改正的，处 15 万元以上 20 万元以下的罚款，对其直接负责的主管人员和其他直接责任人员处 1 万元以上 2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pPr>
              <w:pStyle w:val="22"/>
              <w:ind w:left="0" w:leftChars="0" w:firstLine="0" w:firstLineChars="0"/>
              <w:rPr>
                <w:color w:val="auto"/>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0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4"/>
            <w:shd w:val="clear" w:color="auto" w:fill="auto"/>
            <w:vAlign w:val="center"/>
          </w:tcPr>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【《北京市安全生产行政处罚自由裁量基准</w:t>
            </w:r>
            <w:r>
              <w:rPr>
                <w:rFonts w:hint="eastAsia" w:asciiTheme="minorEastAsia" w:hAnsiTheme="minorEastAsia" w:eastAsiaTheme="minorEastAsia" w:cstheme="minorEastAsia"/>
                <w:sz w:val="15"/>
                <w:szCs w:val="15"/>
                <w:highlight w:val="none"/>
                <w:lang w:val="en-US" w:eastAsia="zh-CN"/>
              </w:rPr>
              <w:t>（</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pStyle w:val="8"/>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一、（二十七）</w:t>
            </w:r>
          </w:p>
          <w:p>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1.对 1 处一般事故隐患未采取措施消除的，处 2 万元以下的罚款；拒不执行的，对其直接负责的主管人员和其他直接责任人员处 5 万元以上 7 万元以下的罚款；</w:t>
            </w:r>
          </w:p>
          <w:p>
            <w:pPr>
              <w:pStyle w:val="8"/>
              <w:rPr>
                <w:rFonts w:hint="eastAsia" w:asciiTheme="minorEastAsia" w:hAnsiTheme="minorEastAsia" w:eastAsiaTheme="minorEastAsia" w:cstheme="minorEastAsia"/>
                <w:b w:val="0"/>
                <w:bCs w:val="0"/>
                <w:color w:val="auto"/>
                <w:spacing w:val="-4"/>
                <w:sz w:val="15"/>
                <w:szCs w:val="15"/>
                <w:highlight w:val="none"/>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2.对 2 处一般事故隐患未采取措施消除的，处 2 万元以上 4 万元以下的罚款；拒不执行的，对其直接负责的主管人员和其他直接责任人员处 7 万元以上 9 万元以下的罚款；</w:t>
            </w:r>
          </w:p>
          <w:p>
            <w:pPr>
              <w:pStyle w:val="8"/>
              <w:rPr>
                <w:rFonts w:hint="eastAsia" w:asciiTheme="minorEastAsia" w:hAnsiTheme="minorEastAsia" w:eastAsiaTheme="minorEastAsia" w:cstheme="minorEastAsia"/>
                <w:b w:val="0"/>
                <w:bCs w:val="0"/>
                <w:sz w:val="15"/>
                <w:szCs w:val="15"/>
                <w:lang w:val="en-US" w:eastAsia="zh-CN"/>
              </w:rPr>
            </w:pPr>
            <w:r>
              <w:rPr>
                <w:rFonts w:hint="eastAsia" w:asciiTheme="minorEastAsia" w:hAnsiTheme="minorEastAsia" w:eastAsiaTheme="minorEastAsia" w:cstheme="minorEastAsia"/>
                <w:b w:val="0"/>
                <w:bCs w:val="0"/>
                <w:color w:val="auto"/>
                <w:spacing w:val="-4"/>
                <w:sz w:val="15"/>
                <w:szCs w:val="15"/>
                <w:highlight w:val="none"/>
                <w:lang w:val="en-US" w:eastAsia="zh-CN"/>
              </w:rPr>
              <w:t>3.对重大事故隐患或者 3 处以上一般事故隐患未采取措施消除的，处 4 万元以上 5 万元以下的罚款；拒不执行的，对其直接负责的主管人员和其他直接责任人员处 9 万元以上 10 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shd w:val="clear" w:color="auto" w:fill="auto"/>
            <w:vAlign w:val="center"/>
          </w:tcPr>
          <w:p>
            <w:pPr>
              <w:spacing w:line="232" w:lineRule="exact"/>
              <w:ind w:firstLine="242"/>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2789"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2789"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2789"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2789"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17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17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6"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2" w:name="_Toc110851458"/>
            <w:bookmarkStart w:id="73" w:name="_Toc1968530984"/>
            <w:bookmarkStart w:id="74" w:name="_Toc1483790773"/>
            <w:r>
              <w:rPr>
                <w:rFonts w:hint="eastAsia" w:asciiTheme="minorEastAsia" w:hAnsiTheme="minorEastAsia" w:eastAsiaTheme="minorEastAsia"/>
                <w:color w:val="auto"/>
                <w:sz w:val="21"/>
                <w:szCs w:val="21"/>
                <w:highlight w:val="none"/>
              </w:rPr>
              <w:t>《北京市燃气管理条例》案由26项</w:t>
            </w:r>
            <w:bookmarkEnd w:id="72"/>
            <w:bookmarkEnd w:id="73"/>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pPr>
              <w:spacing w:line="232" w:lineRule="exact"/>
              <w:rPr>
                <w:rFonts w:cs="仿宋_GB2312"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6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keepNext w:val="0"/>
              <w:keepLines w:val="0"/>
              <w:pageBreakBefore w:val="0"/>
              <w:widowControl w:val="0"/>
              <w:kinsoku/>
              <w:wordWrap/>
              <w:overflowPunct/>
              <w:topLinePunct w:val="0"/>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keepNext w:val="0"/>
              <w:keepLines w:val="0"/>
              <w:pageBreakBefore w:val="0"/>
              <w:widowControl w:val="0"/>
              <w:kinsoku/>
              <w:wordWrap/>
              <w:overflowPunct/>
              <w:topLinePunct w:val="0"/>
              <w:autoSpaceDE w:val="0"/>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0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1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1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3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57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1"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9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c>
          <w:tcPr>
            <w:tcW w:w="2304" w:type="dxa"/>
            <w:shd w:val="clear" w:color="auto" w:fill="auto"/>
            <w:vAlign w:val="center"/>
          </w:tcPr>
          <w:p>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8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8"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8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2789" w:type="dxa"/>
            <w:vMerge w:val="restart"/>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1785" w:type="dxa"/>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17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0" w:hRule="atLeast"/>
          <w:jc w:val="center"/>
        </w:trPr>
        <w:tc>
          <w:tcPr>
            <w:tcW w:w="14218" w:type="dxa"/>
            <w:gridSpan w:val="9"/>
            <w:shd w:val="clear" w:color="auto" w:fill="auto"/>
            <w:vAlign w:val="center"/>
          </w:tcPr>
          <w:p>
            <w:pPr>
              <w:pStyle w:val="3"/>
              <w:widowControl w:val="0"/>
              <w:spacing w:line="232" w:lineRule="exact"/>
              <w:jc w:val="center"/>
              <w:rPr>
                <w:rFonts w:asciiTheme="minorEastAsia" w:hAnsiTheme="minorEastAsia" w:eastAsiaTheme="minorEastAsia"/>
                <w:color w:val="auto"/>
                <w:sz w:val="15"/>
                <w:szCs w:val="15"/>
                <w:highlight w:val="none"/>
              </w:rPr>
            </w:pPr>
            <w:bookmarkStart w:id="75" w:name="_Toc697937810"/>
            <w:bookmarkStart w:id="76" w:name="_Toc1517927781"/>
            <w:bookmarkStart w:id="77" w:name="_Toc110851459"/>
            <w:r>
              <w:rPr>
                <w:rFonts w:hint="eastAsia" w:asciiTheme="minorEastAsia" w:hAnsiTheme="minorEastAsia" w:eastAsiaTheme="minorEastAsia"/>
                <w:color w:val="auto"/>
                <w:sz w:val="21"/>
                <w:szCs w:val="21"/>
                <w:highlight w:val="none"/>
              </w:rPr>
              <w:t>《北京市消防条例》案由1项</w:t>
            </w:r>
            <w:bookmarkEnd w:id="75"/>
            <w:bookmarkEnd w:id="76"/>
            <w:bookmarkEnd w:id="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78" w:name="_Toc2108634677"/>
            <w:bookmarkStart w:id="79" w:name="_Toc110851460"/>
            <w:bookmarkStart w:id="80" w:name="_Toc1826085962"/>
            <w:r>
              <w:rPr>
                <w:rFonts w:hint="eastAsia" w:asciiTheme="minorEastAsia" w:hAnsiTheme="minorEastAsia" w:eastAsiaTheme="minorEastAsia"/>
                <w:color w:val="auto"/>
                <w:sz w:val="21"/>
                <w:szCs w:val="21"/>
                <w:highlight w:val="none"/>
              </w:rPr>
              <w:t>《北京市清洁燃料车辆加气站管理规定》案由7项</w:t>
            </w:r>
            <w:bookmarkEnd w:id="78"/>
            <w:bookmarkEnd w:id="79"/>
            <w:bookmarkEnd w:id="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5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8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6"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使用明火检查燃气泄露</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1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32"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1"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17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市级</w:t>
            </w:r>
          </w:p>
          <w:p>
            <w:pPr>
              <w:spacing w:line="220" w:lineRule="exact"/>
              <w:ind w:left="-7"/>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1" w:name="_Toc110851461"/>
            <w:bookmarkStart w:id="82" w:name="_Toc1473999580"/>
            <w:bookmarkStart w:id="83" w:name="_Toc1514974869"/>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1"/>
            <w:bookmarkEnd w:id="82"/>
            <w:bookmarkEnd w:id="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2789"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autoSpaceDE w:val="0"/>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8"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7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5"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97"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2789"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17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2789"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hint="eastAsia"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w:t>
            </w:r>
          </w:p>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autoSpaceDE w:val="0"/>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2789"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26"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区级街道乡镇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4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2789" w:type="dxa"/>
            <w:vMerge w:val="restart"/>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2789" w:type="dxa"/>
            <w:vMerge w:val="continue"/>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17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26" w:lineRule="exact"/>
              <w:ind w:left="6" w:hanging="21"/>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26" w:lineRule="exact"/>
              <w:ind w:left="6" w:hanging="21"/>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2789"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6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9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2789"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危害、损坏供热设施的行为</w:t>
            </w:r>
          </w:p>
        </w:tc>
        <w:tc>
          <w:tcPr>
            <w:tcW w:w="2789"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17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4" w:name="_Toc110851462"/>
            <w:bookmarkStart w:id="85" w:name="_Toc819278804"/>
            <w:bookmarkStart w:id="86" w:name="_Toc984069521"/>
            <w:r>
              <w:rPr>
                <w:rFonts w:hint="eastAsia" w:asciiTheme="minorEastAsia" w:hAnsiTheme="minorEastAsia" w:eastAsiaTheme="minorEastAsia"/>
                <w:color w:val="auto"/>
                <w:sz w:val="21"/>
                <w:szCs w:val="21"/>
                <w:highlight w:val="none"/>
              </w:rPr>
              <w:t>《北京市民用建筑节能管理办法》案由2项</w:t>
            </w:r>
            <w:bookmarkEnd w:id="84"/>
            <w:bookmarkEnd w:id="85"/>
            <w:bookmarkEnd w:id="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2789" w:type="dxa"/>
            <w:vMerge w:val="restart"/>
            <w:shd w:val="clear" w:color="auto" w:fill="auto"/>
            <w:vAlign w:val="center"/>
          </w:tcPr>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区级</w:t>
            </w:r>
          </w:p>
          <w:p>
            <w:pPr>
              <w:spacing w:line="232" w:lineRule="exact"/>
              <w:jc w:val="center"/>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7" w:name="_Toc636329439"/>
            <w:bookmarkStart w:id="88" w:name="_Toc1311839352"/>
            <w:bookmarkStart w:id="89" w:name="_Toc110851463"/>
            <w:bookmarkStart w:id="90" w:name="_Toc2100881276"/>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7"/>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leftChars="0" w:hanging="21" w:firstLineChars="0"/>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供电、供气、供热单位未按照规定报送结算数据</w:t>
            </w:r>
          </w:p>
        </w:tc>
        <w:tc>
          <w:tcPr>
            <w:tcW w:w="2789"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违反条款：第二十六条第三款</w:t>
            </w:r>
          </w:p>
          <w:p>
            <w:pPr>
              <w:pStyle w:val="8"/>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处罚条款：第五十八条，责令限期改正。</w:t>
            </w:r>
          </w:p>
        </w:tc>
        <w:tc>
          <w:tcPr>
            <w:tcW w:w="851"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leftChars="0" w:hanging="21" w:firstLineChars="0"/>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ind w:left="6" w:leftChars="0" w:hanging="21" w:firstLineChars="0"/>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w:t>
            </w:r>
            <w:r>
              <w:rPr>
                <w:rFonts w:hint="eastAsia" w:cs="宋体" w:asciiTheme="minorEastAsia" w:hAnsiTheme="minorEastAsia" w:eastAsiaTheme="minorEastAsia"/>
                <w:color w:val="auto"/>
                <w:kern w:val="0"/>
                <w:sz w:val="15"/>
                <w:szCs w:val="15"/>
                <w:highlight w:val="none"/>
                <w:lang w:eastAsia="zh-CN"/>
              </w:rPr>
              <w:t>行政</w:t>
            </w:r>
            <w:r>
              <w:rPr>
                <w:rFonts w:hint="eastAsia" w:cs="宋体" w:asciiTheme="minorEastAsia" w:hAnsiTheme="minorEastAsia" w:eastAsiaTheme="minorEastAsia"/>
                <w:color w:val="auto"/>
                <w:kern w:val="0"/>
                <w:sz w:val="15"/>
                <w:szCs w:val="15"/>
                <w:highlight w:val="none"/>
              </w:rPr>
              <w:t>处罚。</w:t>
            </w:r>
          </w:p>
          <w:p>
            <w:pPr>
              <w:spacing w:line="232" w:lineRule="exact"/>
              <w:ind w:left="6" w:leftChars="0" w:hanging="21" w:firstLineChars="0"/>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自</w:t>
            </w:r>
            <w:r>
              <w:rPr>
                <w:rFonts w:hint="eastAsia" w:cs="宋体" w:asciiTheme="minorEastAsia" w:hAnsiTheme="minorEastAsia" w:eastAsiaTheme="minorEastAsia"/>
                <w:color w:val="auto"/>
                <w:kern w:val="0"/>
                <w:sz w:val="15"/>
                <w:szCs w:val="15"/>
                <w:highlight w:val="none"/>
                <w:lang w:val="en-US" w:eastAsia="zh-CN"/>
              </w:rPr>
              <w:t>2024年3月1日起施行。</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hint="eastAsia"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1" w:name="_Toc2041415668"/>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89"/>
            <w:bookmarkEnd w:id="90"/>
            <w:bookmarkEnd w:id="9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1.未履行第一项至第七项中任一项职责的，处 2 万元以上 3 万元以下的罚款；逾期未改正的，处 5 万元以上 7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2.未履行第一项至第七项中任两项职责的，处 3 万元以上 4 万元以下的罚款；逾期未改正的，处 7 万元以上 9 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3.未履行第一项至第七项中任三项以上职责的，处 4 万元以上 5 万元以下的罚款；逾期未改正的，处 9 万元以上 10 万元以下的罚款。</w:t>
            </w:r>
          </w:p>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8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highlight w:val="none"/>
                <w:lang w:val="en-US" w:eastAsia="zh-CN"/>
              </w:rPr>
              <w:t>北京市安全生产行政处罚自由裁量基准（</w:t>
            </w:r>
            <w:r>
              <w:rPr>
                <w:rFonts w:hint="default" w:asciiTheme="minorEastAsia" w:hAnsiTheme="minorEastAsia" w:eastAsiaTheme="minorEastAsia" w:cstheme="minorEastAsia"/>
                <w:sz w:val="15"/>
                <w:szCs w:val="15"/>
                <w:highlight w:val="none"/>
                <w:lang w:val="en-US" w:eastAsia="zh-CN"/>
              </w:rPr>
              <w:t>2024</w:t>
            </w:r>
            <w:r>
              <w:rPr>
                <w:rFonts w:hint="eastAsia" w:asciiTheme="minorEastAsia" w:hAnsiTheme="minorEastAsia" w:eastAsiaTheme="minorEastAsia" w:cstheme="minorEastAsia"/>
                <w:sz w:val="15"/>
                <w:szCs w:val="15"/>
                <w:highlight w:val="none"/>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1.违反第五项、第七项中任一项职责的，并处2万元以上3万元以下的罚款；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hint="eastAsia" w:cs="Times New Roman" w:asciiTheme="minorEastAsia" w:hAnsiTheme="minorEastAsia" w:eastAsiaTheme="minorEastAsia"/>
                <w:color w:val="auto"/>
                <w:spacing w:val="-4"/>
                <w:sz w:val="15"/>
                <w:szCs w:val="15"/>
                <w:highlight w:val="none"/>
                <w:lang w:val="en-US" w:eastAsia="zh-CN"/>
              </w:rPr>
              <w:t>2.同时违反第五项、第七项两项职责的，并处3万元以上5万元以下的罚款。</w:t>
            </w:r>
          </w:p>
        </w:tc>
        <w:tc>
          <w:tcPr>
            <w:tcW w:w="824"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widowControl/>
              <w:suppressLineNumbers w:val="0"/>
              <w:jc w:val="left"/>
              <w:rPr>
                <w:rFonts w:ascii="宋体" w:hAnsi="宋体" w:eastAsia="宋体" w:cs="宋体"/>
                <w:kern w:val="0"/>
                <w:sz w:val="15"/>
                <w:szCs w:val="15"/>
                <w:lang w:val="en-US" w:eastAsia="zh-CN" w:bidi="ar"/>
              </w:rPr>
            </w:pPr>
            <w:r>
              <w:rPr>
                <w:rFonts w:ascii="宋体" w:hAnsi="宋体" w:eastAsia="宋体" w:cs="宋体"/>
                <w:kern w:val="0"/>
                <w:sz w:val="15"/>
                <w:szCs w:val="15"/>
                <w:lang w:val="en-US" w:eastAsia="zh-CN" w:bidi="ar"/>
              </w:rPr>
              <w:t>1.除矿山、金属冶炼、建筑施工、运输单位和危险物品的生产、经营、储存、装卸单位以外的生产经营单位，从业人员总数为 100人或者 100人以下， 未配备专职或者兼职安全生产管理人员的处 3万元以下的罚款；逾期未改正的，并处 10 万元以上 13万元以下的罚款，对其直接负责的主管人员和其他直接责任人员处2万元以上3万元以下的罚款；</w:t>
            </w:r>
          </w:p>
          <w:p>
            <w:pPr>
              <w:keepNext w:val="0"/>
              <w:keepLines w:val="0"/>
              <w:widowControl/>
              <w:suppressLineNumbers w:val="0"/>
              <w:jc w:val="left"/>
              <w:rPr>
                <w:sz w:val="15"/>
                <w:szCs w:val="15"/>
              </w:rPr>
            </w:pPr>
            <w:r>
              <w:rPr>
                <w:rFonts w:ascii="宋体" w:hAnsi="宋体" w:eastAsia="宋体" w:cs="宋体"/>
                <w:kern w:val="0"/>
                <w:sz w:val="15"/>
                <w:szCs w:val="15"/>
                <w:lang w:val="en-US" w:eastAsia="zh-CN" w:bidi="ar"/>
              </w:rPr>
              <w:t xml:space="preserve"> 2.除矿山、金属冶炼、建筑施工、运输单位和危险物品的生产、经营、储存、装卸单位以外的生产经营单位，从业人员总数超过 100 人，未设置安全生产管理机构或者未配备专职安全生产管理人员的，处3万元以上5万元以下的罚款；逾期未改正的，并处13万元以上15万元以下的罚款，对其直接负责的主管人员和其他直接责任人员处3万元以上4万元以下的罚款；</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5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0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dstrike w:val="0"/>
                <w:color w:val="auto"/>
                <w:kern w:val="0"/>
                <w:sz w:val="15"/>
                <w:szCs w:val="15"/>
                <w:highlight w:val="none"/>
                <w:lang w:val="en-US" w:eastAsia="zh-CN" w:bidi="ar-SA"/>
              </w:rPr>
              <w:t>1</w:t>
            </w:r>
            <w:r>
              <w:rPr>
                <w:rFonts w:hint="eastAsia" w:cs="宋体" w:asciiTheme="minorEastAsia" w:hAnsiTheme="minorEastAsia" w:eastAsiaTheme="minorEastAsia"/>
                <w:strike w:val="0"/>
                <w:dstrike w:val="0"/>
                <w:color w:val="auto"/>
                <w:kern w:val="0"/>
                <w:sz w:val="15"/>
                <w:szCs w:val="15"/>
                <w:highlight w:val="none"/>
                <w:lang w:val="en-US" w:eastAsia="zh-CN" w:bidi="ar-SA"/>
              </w:rPr>
              <w:t>.未履行第一项至第七项中任一项职责的，处1万元以上2万元以下的罚款；</w:t>
            </w:r>
          </w:p>
          <w:p>
            <w:pPr>
              <w:spacing w:line="232" w:lineRule="exact"/>
              <w:ind w:left="6" w:leftChars="0" w:hanging="21" w:firstLineChars="0"/>
              <w:rPr>
                <w:rFonts w:hint="eastAsia" w:cs="宋体" w:asciiTheme="minorEastAsia" w:hAnsiTheme="minorEastAsia" w:eastAsiaTheme="minorEastAsia"/>
                <w:strike w:val="0"/>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2.未履行第一项至第七项中任两项职责的，处2万元以上3万元以下的罚款；</w:t>
            </w:r>
          </w:p>
          <w:p>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r>
              <w:rPr>
                <w:rFonts w:hint="eastAsia" w:cs="宋体" w:asciiTheme="minorEastAsia" w:hAnsiTheme="minorEastAsia" w:eastAsiaTheme="minorEastAsia"/>
                <w:strike w:val="0"/>
                <w:dstrike w:val="0"/>
                <w:color w:val="auto"/>
                <w:kern w:val="0"/>
                <w:sz w:val="15"/>
                <w:szCs w:val="15"/>
                <w:highlight w:val="none"/>
                <w:lang w:val="en-US" w:eastAsia="zh-CN" w:bidi="ar-SA"/>
              </w:rPr>
              <w:t>3.未履行第一项至第七项中任三项以上职责的，处3万元的罚款；</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72"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对从业人员、被派遣劳动者、实习学生进行安全生产教育和培训的人数为3人以下的，处5万元以下的罚款；逾期未改正的，处10万元以上15万元以下的罚款，对其直接负责的主管人员和其他直接责任人员 2万元以上3万元以下的罚款；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对从业人员、被派遣劳动者、实习学生进行安全生产教育和培训的人数为3人以上的，处5万元以上10万元以下的罚款；逾期未改正的，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41"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6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1.生产经营单位未如实记录安全生产教育和培训情况的人数为 5 人以下的，处 5 万元以下的罚款；逾期未改正的，并处 10 万元以上 15 万元以下的罚款，对其直接负责的主管人员和其他责任人员处 2 万元以上 4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2.生产经营单位未如实记录安全生产教育和培训情况人数为 5 人以上的，处 5 万元以上 10 万元以下的罚款；逾期未改正的，并处 15 万元以上 20 万元以下的罚款，对其直接负责的主管人员和其他责任人员处 4 万元以上 5 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未在有较大危险因素的生产经营场所和有关设施、设备上设置明显的安全警示标志有5处以下的，处2万元以下的罚款；逾期未改正的，处5万元以上10万元以下的罚款，对其直接负责的主管人员和其他直接责任人员处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2.未在有较大危险因素的生产经营场所和有关设施、设备上设置明显的安全警示标志有5处以上10处以下的，处2万元以上 4万元以下的罚款；逾期未改正的，处10万元以上15万元以下的罚款，对其直接负责的主管人员和其他直接责任人员处 1万元以上2万元以下的罚款；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未在有较大危险因素的生产经营场所和有关设施、设备上设置明显的安全警示标志有10处以上的，处4万元以上5万元以下的罚款；逾期未改正的，处15万元以上20万元以下的罚款，对其直接负责的主管人员和其他直接责任人员处1万元以上 2万元以下的罚款。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18"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未建立事故隐患排查治理制度，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9"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存在未将事故隐患排查治理情况如实记录或者未向从业人员通报情况之一的，处5万元以下的罚款；逾期未改正的，并处10万元以上15万元以下的罚款，对其直接负责的主管人员和其他直接责任人员处2万元以上4万元以下的罚款；</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未将事故隐患排查治理情况如实记录并且未向从业人员通报的，处5万元以上10万元以下的罚款；逾期未改正的，并处15万元以上20万元以下的罚款，对其直接负责的主管人员和其他直接责任人员处4万元以上5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5"/>
            <w:shd w:val="clear" w:color="auto" w:fill="auto"/>
            <w:vAlign w:val="center"/>
          </w:tcPr>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除危险物品的生产、经营、储存、装卸单位以及矿山、金属冶炼、建筑施工、运输单位以外的生产经营单位，重大事故隐患排查治理情况未按照规定报告的，处5万元以下的罚款；逾期未改正的，并处10万元以上15万元以下的罚款，对其直接负责的主管人员和其他直接责任人员处2万元以上3万元以下的罚款；</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99"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2789"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restart"/>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1.生产经营单位未按照规定向从业人员如实告知作业场所和工作岗位存在的危险因素、防范措施以及事故应急措施中的任一项安全生产事项的，处 5万元以下的罚款；逾期未改正的，并处10万元以上15万元以下的罚款，对其直接负责的主管人员和其他直接责任人员处2万元以上3万元以下的罚款；</w:t>
            </w:r>
          </w:p>
          <w:p>
            <w:pPr>
              <w:spacing w:line="232" w:lineRule="exact"/>
              <w:ind w:left="6" w:hanging="21"/>
              <w:rPr>
                <w:rFonts w:hint="eastAsia"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2.生产经营单位未按照规定向从业人员如实告知作业场所和工作岗位存在的危险因素、防范措施以及事故应急措施中的任两项安全生产事项的，处5万元以上10万元以下的罚款；逾期未改正的，并处15万元以上20万元以下的罚款，对其直接负责的主管人员和其他直接责任人员处3万元以上5万元以下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3.生产经营单位未按照规定向从业人员如实告知作业场所和工作岗位存在的危险因素、防范措施以及事故应急措施中的全部安全生产事项的，处10万元的罚款；逾期未改正的，并处20万元的罚款，对其直接负责的主管人员和其他直接责任人员处5万元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80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5"/>
            <w:vMerge w:val="continue"/>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2789" w:type="dxa"/>
            <w:shd w:val="clear" w:color="auto" w:fill="auto"/>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1.生产经营单位拒绝安全生产行政执法人员依法监督检查，拒不改正的，</w:t>
            </w:r>
            <w:r>
              <w:rPr>
                <w:rFonts w:hint="default" w:cs="宋体" w:asciiTheme="minorEastAsia" w:hAnsiTheme="minorEastAsia" w:eastAsiaTheme="minorEastAsia"/>
                <w:strike w:val="0"/>
                <w:dstrike w:val="0"/>
                <w:color w:val="auto"/>
                <w:kern w:val="0"/>
                <w:sz w:val="15"/>
                <w:szCs w:val="15"/>
                <w:highlight w:val="none"/>
                <w:lang w:val="en-US" w:eastAsia="zh-CN"/>
              </w:rPr>
              <w:t>处2万元以上10万元以下的罚款，对其直接负责的主管人员和其他直接责任人员处1万元的罚款；</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2.生产经营单位阻碍安全生产行政执法人员依法监督检查，拒不改正的，处10万元以上20万元以下的罚款，对其直接负责的主管人员和其他直接责任人员处1万元以上2万元以下的罚款。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jc w:val="left"/>
              <w:rPr>
                <w:rFonts w:hint="eastAsia" w:cs="宋体" w:asciiTheme="minorEastAsia" w:hAnsiTheme="minorEastAsia" w:eastAsiaTheme="minorEastAsia"/>
                <w:strike w:val="0"/>
                <w:dstrike w:val="0"/>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lang w:eastAsia="zh-CN"/>
              </w:rPr>
              <w:t>无</w:t>
            </w: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38"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2" w:name="_Toc1075063771"/>
            <w:bookmarkStart w:id="93" w:name="_Toc110851464"/>
            <w:bookmarkStart w:id="94" w:name="_Toc1963656805"/>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2"/>
            <w:bookmarkEnd w:id="93"/>
            <w:bookmarkEnd w:id="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1.经责令限期改正，主要负责人未履行其中任一项职责的，对主要负责人处2万元以上3万元以下的罚款；</w:t>
            </w: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2.经责令限期改正，主要负责人未履行其中任两项以上职责的，对主要负责人处3万元以上5万元以下的罚款。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3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5"/>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北京市应急管理局关于印发《北京市应急管理轻微违法行为依法不予行政处罚事项清单》的通知（京应急规文〔2023〕2号）</w:t>
            </w:r>
          </w:p>
          <w:p>
            <w:pPr>
              <w:pStyle w:val="7"/>
              <w:rPr>
                <w:rFonts w:hint="eastAsia" w:asciiTheme="minorEastAsia" w:hAnsiTheme="minorEastAsia" w:eastAsiaTheme="minorEastAsia" w:cstheme="minorEastAsia"/>
                <w:b/>
                <w:bCs/>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全部具备相应“不予处罚适用条件”的，依法不予行政处罚。</w:t>
            </w: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b/>
                <w:bCs/>
                <w:color w:val="auto"/>
                <w:spacing w:val="-4"/>
                <w:sz w:val="15"/>
                <w:szCs w:val="15"/>
                <w:highlight w:val="none"/>
                <w:lang w:val="en-US" w:eastAsia="zh-CN"/>
              </w:rPr>
              <w:t>不予处罚适用条件：</w:t>
            </w:r>
            <w:r>
              <w:rPr>
                <w:rFonts w:hint="eastAsia" w:asciiTheme="minorEastAsia" w:hAnsiTheme="minorEastAsia" w:eastAsiaTheme="minorEastAsia" w:cstheme="minorEastAsia"/>
                <w:color w:val="auto"/>
                <w:spacing w:val="-4"/>
                <w:sz w:val="15"/>
                <w:szCs w:val="15"/>
                <w:highlight w:val="none"/>
                <w:lang w:val="en-US" w:eastAsia="zh-CN"/>
              </w:rPr>
              <w:t>1.首次被发现；2.已向从业人员通报了隐患排查治理情况但未每月通报，或者就重大事故隐患的危害程度、影响范围和应急措施已向从业人员进行了公示但公示不全；3.及时改正；4.危害后果轻微。</w:t>
            </w:r>
          </w:p>
          <w:p>
            <w:pPr>
              <w:pStyle w:val="7"/>
              <w:rPr>
                <w:rFonts w:hint="eastAsia" w:asciiTheme="minorEastAsia" w:hAnsiTheme="minorEastAsia" w:eastAsiaTheme="minorEastAsia" w:cstheme="minorEastAsia"/>
                <w:color w:val="auto"/>
                <w:spacing w:val="-4"/>
                <w:sz w:val="15"/>
                <w:szCs w:val="15"/>
                <w:highlight w:val="none"/>
                <w:lang w:val="en-US" w:eastAsia="zh-CN"/>
              </w:rPr>
            </w:pPr>
          </w:p>
          <w:p>
            <w:pPr>
              <w:pStyle w:val="7"/>
              <w:rPr>
                <w:rFonts w:hint="eastAsia" w:asciiTheme="minorEastAsia" w:hAnsiTheme="minorEastAsia" w:eastAsiaTheme="minorEastAsia" w:cstheme="minorEastAsia"/>
                <w:color w:val="auto"/>
                <w:spacing w:val="-4"/>
                <w:sz w:val="15"/>
                <w:szCs w:val="15"/>
                <w:highlight w:val="none"/>
                <w:lang w:val="en-US" w:eastAsia="zh-CN"/>
              </w:rPr>
            </w:pPr>
            <w:r>
              <w:rPr>
                <w:rFonts w:hint="eastAsia" w:asciiTheme="minorEastAsia" w:hAnsiTheme="minorEastAsia" w:eastAsiaTheme="minorEastAsia" w:cstheme="minorEastAsia"/>
                <w:color w:val="auto"/>
                <w:spacing w:val="-4"/>
                <w:sz w:val="15"/>
                <w:szCs w:val="15"/>
                <w:highlight w:val="none"/>
                <w:lang w:val="en-US" w:eastAsia="zh-CN"/>
              </w:rPr>
              <w:t>依据应急管理部门的裁量权基准执行。【</w:t>
            </w:r>
            <w:r>
              <w:rPr>
                <w:rFonts w:hint="eastAsia" w:asciiTheme="minorEastAsia" w:hAnsiTheme="minorEastAsia" w:eastAsiaTheme="minorEastAsia" w:cstheme="minorEastAsia"/>
                <w:sz w:val="15"/>
                <w:szCs w:val="15"/>
                <w:lang w:val="en-US" w:eastAsia="zh-CN"/>
              </w:rPr>
              <w:t>北京市安全生产行政处罚自由裁量基准（</w:t>
            </w:r>
            <w:r>
              <w:rPr>
                <w:rFonts w:hint="default" w:asciiTheme="minorEastAsia" w:hAnsiTheme="minorEastAsia" w:eastAsiaTheme="minorEastAsia" w:cstheme="minorEastAsia"/>
                <w:sz w:val="15"/>
                <w:szCs w:val="15"/>
                <w:lang w:val="en-US" w:eastAsia="zh-CN"/>
              </w:rPr>
              <w:t>2024</w:t>
            </w:r>
            <w:r>
              <w:rPr>
                <w:rFonts w:hint="eastAsia" w:asciiTheme="minorEastAsia" w:hAnsiTheme="minorEastAsia" w:eastAsiaTheme="minorEastAsia" w:cstheme="minorEastAsia"/>
                <w:sz w:val="15"/>
                <w:szCs w:val="15"/>
                <w:lang w:val="en-US" w:eastAsia="zh-CN"/>
              </w:rPr>
              <w:t xml:space="preserve"> 年修订版）。“以上”包含本数、“以下”除法律规定的包含本数和最高档的“以下”包含本数外，其余均不包含本数。</w:t>
            </w:r>
            <w:r>
              <w:rPr>
                <w:rFonts w:hint="eastAsia" w:asciiTheme="minorEastAsia" w:hAnsiTheme="minorEastAsia" w:eastAsiaTheme="minorEastAsia" w:cstheme="minorEastAsia"/>
                <w:color w:val="auto"/>
                <w:spacing w:val="-4"/>
                <w:sz w:val="15"/>
                <w:szCs w:val="15"/>
                <w:highlight w:val="none"/>
                <w:lang w:val="en-US" w:eastAsia="zh-CN"/>
              </w:rPr>
              <w:t>】</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cs="宋体" w:asciiTheme="minorEastAsia" w:hAnsiTheme="minorEastAsia" w:eastAsiaTheme="minorEastAsia"/>
                <w:strike w:val="0"/>
                <w:dstrike w:val="0"/>
                <w:color w:val="auto"/>
                <w:kern w:val="0"/>
                <w:sz w:val="15"/>
                <w:szCs w:val="15"/>
                <w:highlight w:val="none"/>
                <w:lang w:val="en-US" w:eastAsia="zh-CN"/>
              </w:rPr>
              <w:t>1.存在虽向从业人员通报了隐患排查治理情况但未每月通报，或者就重大</w:t>
            </w:r>
            <w:r>
              <w:rPr>
                <w:rFonts w:hint="default" w:cs="宋体" w:asciiTheme="minorEastAsia" w:hAnsiTheme="minorEastAsia" w:eastAsiaTheme="minorEastAsia"/>
                <w:strike w:val="0"/>
                <w:dstrike w:val="0"/>
                <w:color w:val="auto"/>
                <w:kern w:val="0"/>
                <w:sz w:val="15"/>
                <w:szCs w:val="15"/>
                <w:highlight w:val="none"/>
                <w:lang w:val="en-US" w:eastAsia="zh-CN"/>
              </w:rPr>
              <w:t xml:space="preserve">事故隐患的危害程度、影响范围和应急措施虽向从业人员进行了公示但公示不全的，可以处2万元以下的罚款；逾期未改正的，并处5万元以上7万元以下的罚款； </w:t>
            </w:r>
          </w:p>
          <w:p>
            <w:pPr>
              <w:spacing w:line="232" w:lineRule="exact"/>
              <w:ind w:left="6" w:hanging="21"/>
              <w:rPr>
                <w:rFonts w:cs="宋体" w:asciiTheme="minorEastAsia" w:hAnsiTheme="minorEastAsia" w:eastAsiaTheme="minorEastAsia"/>
                <w:strike w:val="0"/>
                <w:dstrike w:val="0"/>
                <w:color w:val="auto"/>
                <w:kern w:val="0"/>
                <w:sz w:val="15"/>
                <w:szCs w:val="15"/>
                <w:highlight w:val="none"/>
              </w:rPr>
            </w:pPr>
            <w:r>
              <w:rPr>
                <w:rFonts w:hint="default" w:cs="宋体" w:asciiTheme="minorEastAsia" w:hAnsiTheme="minorEastAsia" w:eastAsiaTheme="minorEastAsia"/>
                <w:strike w:val="0"/>
                <w:dstrike w:val="0"/>
                <w:color w:val="auto"/>
                <w:kern w:val="0"/>
                <w:sz w:val="15"/>
                <w:szCs w:val="15"/>
                <w:highlight w:val="none"/>
                <w:lang w:val="en-US" w:eastAsia="zh-CN"/>
              </w:rPr>
              <w:t>2.未向从业人员通报隐患排查治理情况，或者未向从业人员公示事故隐患的危害程度、影响范围和应急措施的，可以处2万元以上5万元以下的罚款；逾期未改正的，并处7万元以上10万元以下的罚款。</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c>
          <w:tcPr>
            <w:tcW w:w="824"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7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5" w:name="_Toc780858134"/>
            <w:bookmarkStart w:id="96" w:name="_Toc1911813594"/>
            <w:bookmarkStart w:id="97" w:name="_Toc110851465"/>
            <w:r>
              <w:rPr>
                <w:rFonts w:hint="eastAsia" w:asciiTheme="minorEastAsia" w:hAnsiTheme="minorEastAsia" w:eastAsiaTheme="minorEastAsia"/>
                <w:color w:val="auto"/>
                <w:sz w:val="21"/>
                <w:szCs w:val="21"/>
                <w:highlight w:val="none"/>
              </w:rPr>
              <w:t>《北京市单用途预付卡管理条例》案由7项</w:t>
            </w:r>
            <w:bookmarkEnd w:id="95"/>
            <w:bookmarkEnd w:id="96"/>
            <w:bookmarkEnd w:id="9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9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98" w:name="_Toc110851466"/>
            <w:bookmarkStart w:id="99" w:name="_Toc1781030255"/>
            <w:bookmarkStart w:id="100" w:name="_Toc1495699393"/>
            <w:r>
              <w:rPr>
                <w:rFonts w:hint="eastAsia" w:ascii="黑体" w:hAnsi="黑体" w:eastAsia="黑体"/>
                <w:b w:val="0"/>
                <w:color w:val="auto"/>
                <w:sz w:val="36"/>
                <w:szCs w:val="36"/>
                <w:highlight w:val="none"/>
              </w:rPr>
              <w:t>园林绿化管理方面</w:t>
            </w:r>
            <w:bookmarkEnd w:id="98"/>
            <w:bookmarkEnd w:id="99"/>
            <w:bookmarkEnd w:id="1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1" w:name="_Toc1801139429"/>
            <w:bookmarkStart w:id="102" w:name="_Toc110851467"/>
            <w:bookmarkStart w:id="103" w:name="_Toc1097138893"/>
            <w:r>
              <w:rPr>
                <w:rFonts w:hint="eastAsia" w:asciiTheme="minorEastAsia" w:hAnsiTheme="minorEastAsia" w:eastAsiaTheme="minorEastAsia"/>
                <w:color w:val="auto"/>
                <w:sz w:val="21"/>
                <w:szCs w:val="21"/>
                <w:highlight w:val="none"/>
              </w:rPr>
              <w:t>《北京市绿化条例》案由16项</w:t>
            </w:r>
            <w:bookmarkEnd w:id="101"/>
            <w:bookmarkEnd w:id="102"/>
            <w:bookmarkEnd w:id="10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2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2789"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w:t>
            </w:r>
            <w:r>
              <w:rPr>
                <w:rFonts w:hint="eastAsia" w:cs="宋体" w:asciiTheme="minorEastAsia" w:hAnsiTheme="minorEastAsia" w:eastAsiaTheme="minorEastAsia"/>
                <w:color w:val="auto"/>
                <w:kern w:val="0"/>
                <w:sz w:val="15"/>
                <w:szCs w:val="15"/>
                <w:highlight w:val="none"/>
                <w:shd w:val="clear" w:fill="FF0000"/>
                <w:lang w:eastAsia="zh-CN"/>
              </w:rPr>
              <w:t>他</w:t>
            </w:r>
            <w:r>
              <w:rPr>
                <w:rFonts w:hint="eastAsia" w:cs="宋体" w:asciiTheme="minorEastAsia" w:hAnsiTheme="minorEastAsia" w:eastAsiaTheme="minorEastAsia"/>
                <w:color w:val="auto"/>
                <w:kern w:val="0"/>
                <w:sz w:val="15"/>
                <w:szCs w:val="15"/>
                <w:highlight w:val="none"/>
              </w:rPr>
              <w:t>废弃物</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2789"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6"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物品</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2789"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5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5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w:t>
            </w:r>
            <w:r>
              <w:rPr>
                <w:rFonts w:hint="eastAsia" w:cs="宋体" w:asciiTheme="minorEastAsia" w:hAnsiTheme="minorEastAsia" w:eastAsiaTheme="minorEastAsia"/>
                <w:color w:val="auto"/>
                <w:kern w:val="0"/>
                <w:sz w:val="15"/>
                <w:szCs w:val="15"/>
                <w:highlight w:val="none"/>
                <w:shd w:val="clear"/>
                <w:lang w:eastAsia="zh-CN"/>
              </w:rPr>
              <w:t>他</w:t>
            </w:r>
            <w:r>
              <w:rPr>
                <w:rFonts w:hint="eastAsia" w:cs="宋体" w:asciiTheme="minorEastAsia" w:hAnsiTheme="minorEastAsia" w:eastAsiaTheme="minorEastAsia"/>
                <w:color w:val="auto"/>
                <w:kern w:val="0"/>
                <w:sz w:val="15"/>
                <w:szCs w:val="15"/>
                <w:highlight w:val="none"/>
              </w:rPr>
              <w:t>损害绿化成果及绿化设施的行为</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385"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2789" w:type="dxa"/>
            <w:shd w:val="clear" w:color="auto" w:fill="auto"/>
            <w:vAlign w:val="center"/>
          </w:tcPr>
          <w:p>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2789" w:type="dxa"/>
            <w:shd w:val="clear" w:color="auto" w:fill="auto"/>
            <w:vAlign w:val="center"/>
          </w:tcPr>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385" w:type="dxa"/>
            <w:shd w:val="clear" w:color="auto" w:fill="auto"/>
            <w:vAlign w:val="center"/>
          </w:tcPr>
          <w:p>
            <w:pPr>
              <w:spacing w:line="212" w:lineRule="exact"/>
              <w:rPr>
                <w:rFonts w:cs="宋体" w:asciiTheme="minorEastAsia" w:hAnsiTheme="minorEastAsia" w:eastAsiaTheme="minorEastAsia"/>
                <w:b/>
                <w:color w:val="auto"/>
                <w:kern w:val="0"/>
                <w:sz w:val="15"/>
                <w:szCs w:val="15"/>
                <w:highlight w:val="none"/>
              </w:rPr>
            </w:pP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2789"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81"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4" w:name="_Toc110851468"/>
            <w:bookmarkStart w:id="105" w:name="_Toc177791596"/>
            <w:bookmarkStart w:id="106" w:name="_Toc1516675248"/>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4"/>
            <w:bookmarkEnd w:id="105"/>
            <w:bookmarkEnd w:id="1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5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c>
          <w:tcPr>
            <w:tcW w:w="824"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40"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7" w:name="_Toc1576301640"/>
            <w:bookmarkStart w:id="108" w:name="_Toc1446129084"/>
            <w:bookmarkStart w:id="109" w:name="_Toc1284883561"/>
            <w:bookmarkStart w:id="110" w:name="_Toc110851469"/>
            <w:r>
              <w:rPr>
                <w:rFonts w:hint="eastAsia" w:cs="宋体" w:asciiTheme="minorEastAsia" w:hAnsiTheme="minorEastAsia" w:eastAsiaTheme="minorEastAsia"/>
                <w:color w:val="auto"/>
                <w:sz w:val="21"/>
                <w:szCs w:val="21"/>
                <w:highlight w:val="none"/>
              </w:rPr>
              <w:t>《古树名木保护条例》案由11项</w:t>
            </w:r>
            <w:bookmarkEnd w:id="107"/>
            <w:bookmarkEnd w:id="108"/>
            <w:bookmarkEnd w:id="109"/>
            <w:bookmarkEnd w:id="1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47" w:hRule="atLeast"/>
          <w:jc w:val="center"/>
        </w:trPr>
        <w:tc>
          <w:tcPr>
            <w:tcW w:w="940" w:type="dxa"/>
            <w:vMerge w:val="restart"/>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1500"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w:t>
            </w:r>
            <w:r>
              <w:rPr>
                <w:rFonts w:hint="eastAsia" w:ascii="宋体" w:hAnsi="宋体" w:eastAsia="宋体" w:cs="宋体"/>
                <w:color w:val="auto"/>
                <w:kern w:val="0"/>
                <w:sz w:val="15"/>
                <w:szCs w:val="15"/>
                <w:highlight w:val="none"/>
                <w:lang w:eastAsia="zh-CN"/>
              </w:rPr>
              <w:t>移植古树名木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eastAsia="宋体" w:cs="宋体"/>
                <w:color w:val="auto"/>
                <w:kern w:val="0"/>
                <w:sz w:val="15"/>
                <w:szCs w:val="15"/>
                <w:highlight w:val="none"/>
                <w:lang w:eastAsia="zh-CN"/>
              </w:rPr>
              <w:t>十五</w:t>
            </w:r>
            <w:r>
              <w:rPr>
                <w:rFonts w:hint="eastAsia" w:ascii="宋体" w:hAnsi="宋体" w:eastAsia="宋体" w:cs="宋体"/>
                <w:color w:val="auto"/>
                <w:kern w:val="0"/>
                <w:sz w:val="15"/>
                <w:szCs w:val="15"/>
                <w:highlight w:val="none"/>
              </w:rPr>
              <w:t>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rPr>
            </w:pPr>
            <w:r>
              <w:rPr>
                <w:rFonts w:hint="default" w:ascii="宋体" w:hAnsi="宋体" w:cs="宋体"/>
                <w:color w:val="auto"/>
                <w:kern w:val="0"/>
                <w:sz w:val="15"/>
                <w:szCs w:val="15"/>
                <w:highlight w:val="none"/>
                <w:lang w:val="en-US"/>
              </w:rPr>
              <w:t>500000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2.未制定移植和养护方案，或未按照方案执行的，变量系数0.6-1;</w:t>
            </w:r>
          </w:p>
          <w:p>
            <w:pPr>
              <w:numPr>
                <w:ilvl w:val="0"/>
                <w:numId w:val="0"/>
              </w:num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3.造成古树名木死亡的，变量系数1。</w:t>
            </w:r>
          </w:p>
        </w:tc>
        <w:tc>
          <w:tcPr>
            <w:tcW w:w="17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47" w:hRule="atLeast"/>
          <w:jc w:val="center"/>
        </w:trPr>
        <w:tc>
          <w:tcPr>
            <w:tcW w:w="940" w:type="dxa"/>
            <w:vMerge w:val="continue"/>
            <w:noWrap w:val="0"/>
            <w:vAlign w:val="center"/>
          </w:tcPr>
          <w:p>
            <w:pPr>
              <w:spacing w:line="232" w:lineRule="exact"/>
              <w:jc w:val="center"/>
              <w:rPr>
                <w:rFonts w:hint="eastAsia"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1.制定相应移植和养护方案但未经审核批准的，变量系数0-0.5;</w:t>
            </w:r>
          </w:p>
          <w:p>
            <w:pPr>
              <w:numPr>
                <w:ilvl w:val="0"/>
                <w:numId w:val="0"/>
              </w:num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2.未制定移植和养护方案的，变量系数0.6-1;</w:t>
            </w:r>
          </w:p>
          <w:p>
            <w:pPr>
              <w:numPr>
                <w:ilvl w:val="0"/>
                <w:numId w:val="0"/>
              </w:numPr>
              <w:spacing w:line="232" w:lineRule="exact"/>
              <w:ind w:left="0" w:leftChars="0" w:firstLine="0" w:firstLineChars="0"/>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3.造成古树名木死亡的，变量系数1.5。</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9" w:hRule="atLeast"/>
          <w:jc w:val="center"/>
        </w:trPr>
        <w:tc>
          <w:tcPr>
            <w:tcW w:w="940" w:type="dxa"/>
            <w:vMerge w:val="restart"/>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1500"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非法采伐古树名木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十四条</w:t>
            </w:r>
            <w:r>
              <w:rPr>
                <w:rFonts w:hint="eastAsia" w:ascii="宋体" w:hAnsi="宋体" w:cs="宋体"/>
                <w:color w:val="auto"/>
                <w:kern w:val="0"/>
                <w:sz w:val="15"/>
                <w:szCs w:val="15"/>
                <w:highlight w:val="none"/>
                <w:lang w:val="en-US" w:eastAsia="zh-CN"/>
              </w:rPr>
              <w:t>第一款</w:t>
            </w:r>
            <w:r>
              <w:rPr>
                <w:rFonts w:hint="eastAsia" w:ascii="宋体" w:hAnsi="宋体" w:eastAsia="宋体" w:cs="宋体"/>
                <w:color w:val="auto"/>
                <w:kern w:val="0"/>
                <w:sz w:val="15"/>
                <w:szCs w:val="15"/>
                <w:highlight w:val="none"/>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default" w:ascii="宋体" w:hAnsi="宋体" w:cs="宋体"/>
                <w:color w:val="auto"/>
                <w:kern w:val="0"/>
                <w:sz w:val="15"/>
                <w:szCs w:val="15"/>
                <w:highlight w:val="none"/>
                <w:lang w:val="en-US"/>
              </w:rPr>
              <w:t>500000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cs="宋体"/>
                <w:color w:val="auto"/>
                <w:kern w:val="0"/>
                <w:sz w:val="15"/>
                <w:szCs w:val="15"/>
                <w:highlight w:val="none"/>
                <w:lang w:eastAsia="zh-CN"/>
              </w:rPr>
              <w:t>一级保护的古树和名木</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45"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eastAsia" w:ascii="宋体" w:hAnsi="宋体" w:eastAsia="宋体" w:cs="宋体"/>
                <w:color w:val="auto"/>
                <w:kern w:val="0"/>
                <w:sz w:val="15"/>
                <w:szCs w:val="15"/>
                <w:highlight w:val="none"/>
              </w:rPr>
              <w:t>对</w:t>
            </w:r>
            <w:r>
              <w:rPr>
                <w:rFonts w:hint="eastAsia" w:ascii="宋体" w:hAnsi="宋体" w:eastAsia="宋体" w:cs="宋体"/>
                <w:color w:val="auto"/>
                <w:kern w:val="0"/>
                <w:sz w:val="15"/>
                <w:szCs w:val="15"/>
                <w:highlight w:val="none"/>
                <w:lang w:eastAsia="zh-CN"/>
              </w:rPr>
              <w:t>古树名木</w:t>
            </w:r>
            <w:r>
              <w:rPr>
                <w:rFonts w:hint="eastAsia" w:ascii="宋体" w:hAnsi="宋体" w:eastAsia="宋体" w:cs="宋体"/>
                <w:color w:val="auto"/>
                <w:kern w:val="0"/>
                <w:sz w:val="15"/>
                <w:szCs w:val="15"/>
                <w:highlight w:val="none"/>
              </w:rPr>
              <w:t>造成较大损害的，或者造成较大影响的</w:t>
            </w:r>
            <w:r>
              <w:rPr>
                <w:rFonts w:hint="eastAsia" w:ascii="宋体" w:hAnsi="宋体" w:cs="宋体"/>
                <w:color w:val="auto"/>
                <w:kern w:val="0"/>
                <w:sz w:val="15"/>
                <w:szCs w:val="15"/>
                <w:highlight w:val="none"/>
                <w:lang w:val="en-US" w:eastAsia="zh-CN"/>
              </w:rPr>
              <w:t>，变量系数0-0.5。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2.造成古树名木死亡的，变量系数1.5。</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olor w:val="auto"/>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2"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3</w:t>
            </w:r>
          </w:p>
        </w:tc>
        <w:tc>
          <w:tcPr>
            <w:tcW w:w="1500"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eastAsia="zh-CN"/>
              </w:rPr>
              <w:t>买卖、运输、加工非法采伐、移植的古树名木（林木</w:t>
            </w:r>
            <w:r>
              <w:rPr>
                <w:rFonts w:hint="eastAsia" w:ascii="宋体" w:hAnsi="宋体" w:cs="宋体"/>
                <w:color w:val="auto"/>
                <w:kern w:val="0"/>
                <w:sz w:val="15"/>
                <w:szCs w:val="15"/>
                <w:highlight w:val="none"/>
                <w:lang w:val="en-US" w:eastAsia="zh-CN"/>
              </w:rPr>
              <w:t>除外</w:t>
            </w:r>
            <w:r>
              <w:rPr>
                <w:rFonts w:hint="eastAsia" w:ascii="宋体" w:hAnsi="宋体" w:cs="宋体"/>
                <w:color w:val="auto"/>
                <w:kern w:val="0"/>
                <w:sz w:val="15"/>
                <w:szCs w:val="15"/>
                <w:highlight w:val="none"/>
                <w:lang w:eastAsia="zh-CN"/>
              </w:rPr>
              <w:t>）</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十七条第一</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5"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default" w:ascii="宋体" w:hAnsi="宋体" w:eastAsia="宋体"/>
                <w:color w:val="auto"/>
                <w:sz w:val="15"/>
                <w:szCs w:val="15"/>
                <w:highlight w:val="none"/>
                <w:lang w:val="en-US" w:eastAsia="zh-CN"/>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买卖、运输、加工非法采伐、移植的古树名木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8" w:hRule="atLeast"/>
          <w:jc w:val="center"/>
        </w:trPr>
        <w:tc>
          <w:tcPr>
            <w:tcW w:w="940" w:type="dxa"/>
            <w:vMerge w:val="restart"/>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对古树名木挖根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剥损树皮、过度修剪枝干</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十七条第二</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76"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02"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5</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向古树名木灌注有毒有害物质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十七条第三</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ascii="宋体" w:hAnsi="宋体" w:eastAsia="宋体"/>
                <w:color w:val="auto"/>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26"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4"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6</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在古树名木保护范围内铺设非通透性硬化地面、使用明火、堆放重物、倾倒易燃易爆物品或者有毒有害物质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十七条第四</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处罚条款：第二十七条</w:t>
            </w:r>
            <w:r>
              <w:rPr>
                <w:rFonts w:hint="eastAsia" w:ascii="宋体" w:hAnsi="宋体" w:eastAsia="宋体" w:cs="宋体"/>
                <w:color w:val="auto"/>
                <w:kern w:val="0"/>
                <w:sz w:val="15"/>
                <w:szCs w:val="15"/>
                <w:highlight w:val="none"/>
                <w:lang w:eastAsia="zh-CN"/>
              </w:rPr>
              <w:t>第一款</w:t>
            </w:r>
            <w:r>
              <w:rPr>
                <w:rFonts w:hint="eastAsia" w:ascii="宋体" w:hAnsi="宋体" w:eastAsia="宋体" w:cs="宋体"/>
                <w:color w:val="auto"/>
                <w:kern w:val="0"/>
                <w:sz w:val="15"/>
                <w:szCs w:val="15"/>
                <w:highlight w:val="none"/>
              </w:rPr>
              <w:t> 责令停止违法行为、采取补救措施，没收违法所得，并处1万元以上10万元以下的罚款；拒不停止违法行为、不采取补救措施或者造成严重后果的，并处5万元以上20万元以下的罚款。</w:t>
            </w:r>
          </w:p>
        </w:tc>
        <w:tc>
          <w:tcPr>
            <w:tcW w:w="851"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656"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50000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1.一级保护的古树或名木，系数2-3;二级保护的古树，系数0-1。</w:t>
            </w:r>
          </w:p>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2株，系数1;3株，系数2；4株及以上的，系数3。</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5"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15"/>
                <w:szCs w:val="15"/>
                <w:highlight w:val="none"/>
                <w:lang w:val="en-US" w:eastAsia="zh-CN"/>
              </w:rPr>
              <w:t>7</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在古树名木上刻划、架设线缆、缠绕或者悬挂物体等，攀爬古树名木</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十七条第五</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pPr>
              <w:spacing w:line="232" w:lineRule="exact"/>
              <w:jc w:val="center"/>
              <w:rPr>
                <w:rFonts w:hint="default" w:ascii="宋体" w:hAnsi="宋体" w:eastAsia="宋体" w:cs="宋体"/>
                <w:color w:val="auto"/>
                <w:kern w:val="0"/>
                <w:sz w:val="15"/>
                <w:szCs w:val="15"/>
                <w:highlight w:val="none"/>
                <w:lang w:val="en-US"/>
              </w:rPr>
            </w:pP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ascii="宋体" w:hAnsi="宋体" w:eastAsia="宋体" w:cs="宋体"/>
                <w:color w:val="auto"/>
                <w:kern w:val="0"/>
                <w:sz w:val="15"/>
                <w:szCs w:val="15"/>
                <w:highlight w:val="none"/>
              </w:rPr>
            </w:pPr>
          </w:p>
        </w:tc>
        <w:tc>
          <w:tcPr>
            <w:tcW w:w="2385" w:type="dxa"/>
            <w:noWrap w:val="0"/>
            <w:vAlign w:val="center"/>
          </w:tcPr>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5" w:hRule="atLeast"/>
          <w:jc w:val="center"/>
        </w:trPr>
        <w:tc>
          <w:tcPr>
            <w:tcW w:w="940" w:type="dxa"/>
            <w:vMerge w:val="continue"/>
            <w:noWrap w:val="0"/>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43"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3.在古树名木上刻划的，系数2；</w:t>
            </w:r>
            <w:r>
              <w:rPr>
                <w:rFonts w:hint="eastAsia" w:ascii="宋体" w:hAnsi="宋体" w:eastAsia="宋体" w:cs="宋体"/>
                <w:color w:val="auto"/>
                <w:kern w:val="0"/>
                <w:sz w:val="15"/>
                <w:szCs w:val="15"/>
                <w:highlight w:val="none"/>
              </w:rPr>
              <w:t>架设线缆、缠绕或者悬挂物体等，攀爬古树名木</w:t>
            </w:r>
            <w:r>
              <w:rPr>
                <w:rFonts w:hint="eastAsia" w:ascii="宋体" w:hAnsi="宋体" w:cs="宋体"/>
                <w:color w:val="auto"/>
                <w:kern w:val="0"/>
                <w:sz w:val="15"/>
                <w:szCs w:val="15"/>
                <w:highlight w:val="none"/>
                <w:lang w:eastAsia="zh-CN"/>
              </w:rPr>
              <w:t>，</w:t>
            </w:r>
            <w:r>
              <w:rPr>
                <w:rFonts w:hint="eastAsia" w:ascii="宋体" w:hAnsi="宋体" w:cs="宋体"/>
                <w:color w:val="auto"/>
                <w:kern w:val="0"/>
                <w:sz w:val="15"/>
                <w:szCs w:val="15"/>
                <w:highlight w:val="none"/>
                <w:lang w:val="en-US" w:eastAsia="zh-CN"/>
              </w:rPr>
              <w:t>造成折枝等损害的，系数1。</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8"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8</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破坏古树名木保护设施、保护标志</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十七条第六</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ascii="宋体" w:hAnsi="宋体" w:eastAsia="宋体" w:cs="宋体"/>
                <w:color w:val="auto"/>
                <w:kern w:val="0"/>
                <w:sz w:val="15"/>
                <w:szCs w:val="15"/>
                <w:highlight w:val="none"/>
              </w:rPr>
            </w:pPr>
          </w:p>
        </w:tc>
        <w:tc>
          <w:tcPr>
            <w:tcW w:w="23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8" w:hRule="atLeast"/>
          <w:jc w:val="center"/>
        </w:trPr>
        <w:tc>
          <w:tcPr>
            <w:tcW w:w="940" w:type="dxa"/>
            <w:vMerge w:val="continue"/>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3.涉及保护设施或保护标志3处及以上的，系数1。</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lang w:eastAsia="zh-CN"/>
              </w:rPr>
              <w:t>涉及古树名木</w:t>
            </w:r>
            <w:r>
              <w:rPr>
                <w:rFonts w:hint="eastAsia" w:ascii="宋体" w:hAnsi="宋体" w:eastAsia="宋体" w:cs="宋体"/>
                <w:color w:val="auto"/>
                <w:kern w:val="0"/>
                <w:sz w:val="15"/>
                <w:szCs w:val="15"/>
                <w:highlight w:val="none"/>
                <w:lang w:val="en-US" w:eastAsia="zh-CN"/>
              </w:rPr>
              <w:t>2株，系数1；3株，系数2；以此类推，10株及以上的，系数9。</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3.涉及保护设施或保护标志3处及以上的，系数1。</w:t>
            </w:r>
          </w:p>
        </w:tc>
        <w:tc>
          <w:tcPr>
            <w:tcW w:w="1785"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9</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其他损害古树名木及其生长环境的行为</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w:t>
            </w:r>
            <w:r>
              <w:rPr>
                <w:rFonts w:hint="eastAsia" w:ascii="宋体" w:hAnsi="宋体" w:cs="宋体"/>
                <w:color w:val="auto"/>
                <w:kern w:val="0"/>
                <w:sz w:val="15"/>
                <w:szCs w:val="15"/>
                <w:highlight w:val="none"/>
                <w:lang w:eastAsia="zh-CN"/>
              </w:rPr>
              <w:t>十七条第七</w:t>
            </w:r>
            <w:r>
              <w:rPr>
                <w:rFonts w:hint="eastAsia" w:ascii="宋体" w:hAnsi="宋体" w:eastAsia="宋体" w:cs="宋体"/>
                <w:color w:val="auto"/>
                <w:kern w:val="0"/>
                <w:sz w:val="15"/>
                <w:szCs w:val="15"/>
                <w:highlight w:val="none"/>
              </w:rPr>
              <w:t>项；</w:t>
            </w:r>
          </w:p>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cs="宋体"/>
                <w:color w:val="auto"/>
                <w:kern w:val="0"/>
                <w:sz w:val="15"/>
                <w:szCs w:val="15"/>
                <w:highlight w:val="none"/>
                <w:lang w:eastAsia="zh-CN"/>
              </w:rPr>
              <w:t>二十七</w:t>
            </w:r>
            <w:r>
              <w:rPr>
                <w:rFonts w:hint="eastAsia" w:ascii="宋体" w:hAnsi="宋体" w:eastAsia="宋体" w:cs="宋体"/>
                <w:color w:val="auto"/>
                <w:kern w:val="0"/>
                <w:sz w:val="15"/>
                <w:szCs w:val="15"/>
                <w:highlight w:val="none"/>
              </w:rPr>
              <w:t>条第</w:t>
            </w:r>
            <w:r>
              <w:rPr>
                <w:rFonts w:hint="eastAsia" w:ascii="宋体" w:hAnsi="宋体" w:cs="宋体"/>
                <w:color w:val="auto"/>
                <w:kern w:val="0"/>
                <w:sz w:val="15"/>
                <w:szCs w:val="15"/>
                <w:highlight w:val="none"/>
                <w:lang w:eastAsia="zh-CN"/>
              </w:rPr>
              <w:t>二</w:t>
            </w:r>
            <w:r>
              <w:rPr>
                <w:rFonts w:hint="eastAsia" w:ascii="宋体" w:hAnsi="宋体" w:eastAsia="宋体" w:cs="宋体"/>
                <w:color w:val="auto"/>
                <w:kern w:val="0"/>
                <w:sz w:val="15"/>
                <w:szCs w:val="15"/>
                <w:highlight w:val="none"/>
              </w:rPr>
              <w:t>款 责令停止违法行为、采取补救措施，没收违法所得，可以并处1万元以下的罚款；拒不停止违法行为、不采取补救措施或者造成严重后果的，并处1万元以上10万元以下的罚款。</w:t>
            </w: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未造成实质危害，</w:t>
            </w:r>
            <w:r>
              <w:rPr>
                <w:rFonts w:hint="eastAsia" w:ascii="宋体" w:hAnsi="宋体" w:eastAsia="宋体" w:cs="仿宋_GB2312"/>
                <w:color w:val="auto"/>
                <w:kern w:val="0"/>
                <w:sz w:val="15"/>
                <w:szCs w:val="15"/>
                <w:highlight w:val="none"/>
              </w:rPr>
              <w:t>需要作出</w:t>
            </w:r>
            <w:r>
              <w:rPr>
                <w:rFonts w:hint="eastAsia" w:ascii="宋体" w:hAnsi="宋体" w:eastAsia="宋体" w:cs="仿宋_GB2312"/>
                <w:color w:val="auto"/>
                <w:kern w:val="0"/>
                <w:sz w:val="15"/>
                <w:szCs w:val="15"/>
                <w:highlight w:val="none"/>
                <w:lang w:val="en-US" w:eastAsia="zh-CN"/>
              </w:rPr>
              <w:t>1000</w:t>
            </w:r>
            <w:r>
              <w:rPr>
                <w:rFonts w:hint="eastAsia" w:ascii="宋体" w:hAnsi="宋体" w:eastAsia="宋体" w:cs="仿宋_GB2312"/>
                <w:color w:val="auto"/>
                <w:kern w:val="0"/>
                <w:sz w:val="15"/>
                <w:szCs w:val="15"/>
                <w:highlight w:val="none"/>
              </w:rPr>
              <w:t>元以下罚款决定的，由执法人员在案卷中说明理由并自行决定。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 w:hRule="atLeast"/>
          <w:jc w:val="center"/>
        </w:trPr>
        <w:tc>
          <w:tcPr>
            <w:tcW w:w="940" w:type="dxa"/>
            <w:vMerge w:val="continue"/>
            <w:noWrap w:val="0"/>
            <w:vAlign w:val="center"/>
          </w:tcPr>
          <w:p>
            <w:pPr>
              <w:spacing w:line="232" w:lineRule="exact"/>
              <w:jc w:val="center"/>
              <w:rPr>
                <w:rFonts w:hint="eastAsia" w:ascii="宋体" w:hAnsi="宋体" w:cs="宋体"/>
                <w:color w:val="auto"/>
                <w:kern w:val="0"/>
                <w:sz w:val="15"/>
                <w:szCs w:val="15"/>
                <w:highlight w:val="none"/>
                <w:lang w:val="en-US" w:eastAsia="zh-CN"/>
              </w:rPr>
            </w:pPr>
          </w:p>
        </w:tc>
        <w:tc>
          <w:tcPr>
            <w:tcW w:w="1500"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cs="宋体"/>
                <w:color w:val="auto"/>
                <w:kern w:val="0"/>
                <w:sz w:val="15"/>
                <w:szCs w:val="15"/>
                <w:highlight w:val="none"/>
                <w:lang w:val="en-US" w:eastAsia="zh-CN"/>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hint="eastAsia" w:ascii="宋体" w:hAnsi="宋体" w:eastAsia="宋体"/>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1.一级保护的古树或名木，系数6-9;二级保护的古树，系数0-5。</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w:t>
            </w:r>
            <w:r>
              <w:rPr>
                <w:rFonts w:hint="eastAsia" w:ascii="宋体" w:hAnsi="宋体" w:cs="宋体"/>
                <w:color w:val="auto"/>
                <w:kern w:val="0"/>
                <w:sz w:val="15"/>
                <w:szCs w:val="15"/>
                <w:highlight w:val="none"/>
                <w:lang w:eastAsia="zh-CN"/>
              </w:rPr>
              <w:t>涉及古树名木</w:t>
            </w:r>
            <w:r>
              <w:rPr>
                <w:rFonts w:hint="eastAsia" w:ascii="宋体" w:hAnsi="宋体" w:cs="宋体"/>
                <w:color w:val="auto"/>
                <w:kern w:val="0"/>
                <w:sz w:val="15"/>
                <w:szCs w:val="15"/>
                <w:highlight w:val="none"/>
                <w:lang w:val="en-US" w:eastAsia="zh-CN"/>
              </w:rPr>
              <w:t>2株，系数1;3株，系数2,以此类推，10株及以上的，系数9。</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适用拒不停止违法行为、不采取补救措施或者造成严重后果的</w:t>
            </w:r>
            <w:r>
              <w:rPr>
                <w:rFonts w:hint="eastAsia" w:ascii="宋体" w:hAnsi="宋体" w:eastAsia="宋体" w:cs="宋体"/>
                <w:color w:val="auto"/>
                <w:kern w:val="0"/>
                <w:sz w:val="15"/>
                <w:szCs w:val="15"/>
                <w:highlight w:val="none"/>
                <w:lang w:eastAsia="zh-CN"/>
              </w:rPr>
              <w:t>情形。</w:t>
            </w:r>
          </w:p>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restart"/>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损害古树名木及其生长环境，造成古树名木死亡</w:t>
            </w:r>
          </w:p>
        </w:tc>
        <w:tc>
          <w:tcPr>
            <w:tcW w:w="2789" w:type="dxa"/>
            <w:vMerge w:val="restart"/>
            <w:noWrap w:val="0"/>
            <w:vAlign w:val="center"/>
          </w:tcPr>
          <w:p>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违反条款：第十七条第一项、第二项、第三项、第四项、第五项、第六项、第七项</w:t>
            </w:r>
            <w:r>
              <w:rPr>
                <w:rFonts w:hint="eastAsia" w:ascii="宋体" w:hAnsi="宋体" w:cs="宋体"/>
                <w:color w:val="auto"/>
                <w:kern w:val="0"/>
                <w:sz w:val="15"/>
                <w:szCs w:val="15"/>
                <w:highlight w:val="none"/>
                <w:lang w:eastAsia="zh-CN"/>
              </w:rPr>
              <w:t>；第十八条第一款；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w:t>
            </w:r>
            <w:r>
              <w:rPr>
                <w:rFonts w:hint="eastAsia" w:ascii="宋体" w:hAnsi="宋体" w:eastAsia="宋体" w:cs="宋体"/>
                <w:color w:val="auto"/>
                <w:kern w:val="0"/>
                <w:sz w:val="15"/>
                <w:szCs w:val="15"/>
                <w:highlight w:val="none"/>
                <w:lang w:eastAsia="zh-CN"/>
              </w:rPr>
              <w:t>二十六</w:t>
            </w:r>
            <w:r>
              <w:rPr>
                <w:rFonts w:hint="eastAsia" w:ascii="宋体" w:hAnsi="宋体" w:eastAsia="宋体" w:cs="宋体"/>
                <w:color w:val="auto"/>
                <w:kern w:val="0"/>
                <w:sz w:val="15"/>
                <w:szCs w:val="15"/>
                <w:highlight w:val="none"/>
              </w:rPr>
              <w:t>条第一款第</w:t>
            </w:r>
            <w:r>
              <w:rPr>
                <w:rFonts w:hint="eastAsia" w:ascii="宋体" w:hAnsi="宋体" w:cs="宋体"/>
                <w:color w:val="auto"/>
                <w:kern w:val="0"/>
                <w:sz w:val="15"/>
                <w:szCs w:val="15"/>
                <w:highlight w:val="none"/>
                <w:lang w:val="en-US" w:eastAsia="zh-CN"/>
              </w:rPr>
              <w:t>一</w:t>
            </w:r>
            <w:r>
              <w:rPr>
                <w:rFonts w:hint="eastAsia" w:ascii="宋体" w:hAnsi="宋体" w:eastAsia="宋体" w:cs="宋体"/>
                <w:color w:val="auto"/>
                <w:kern w:val="0"/>
                <w:sz w:val="15"/>
                <w:szCs w:val="15"/>
                <w:highlight w:val="none"/>
              </w:rPr>
              <w:t>项、第</w:t>
            </w:r>
            <w:r>
              <w:rPr>
                <w:rFonts w:hint="eastAsia" w:ascii="宋体" w:hAnsi="宋体" w:cs="宋体"/>
                <w:color w:val="auto"/>
                <w:kern w:val="0"/>
                <w:sz w:val="15"/>
                <w:szCs w:val="15"/>
                <w:highlight w:val="none"/>
                <w:lang w:val="en-US" w:eastAsia="zh-CN"/>
              </w:rPr>
              <w:t>二</w:t>
            </w:r>
            <w:r>
              <w:rPr>
                <w:rFonts w:hint="eastAsia" w:ascii="宋体" w:hAnsi="宋体" w:eastAsia="宋体" w:cs="宋体"/>
                <w:color w:val="auto"/>
                <w:kern w:val="0"/>
                <w:sz w:val="15"/>
                <w:szCs w:val="15"/>
                <w:highlight w:val="none"/>
              </w:rPr>
              <w:t>项</w:t>
            </w:r>
            <w:r>
              <w:rPr>
                <w:rFonts w:hint="eastAsia" w:ascii="宋体" w:hAnsi="宋体" w:eastAsia="宋体" w:cs="宋体"/>
                <w:color w:val="auto"/>
                <w:kern w:val="0"/>
                <w:sz w:val="15"/>
                <w:szCs w:val="15"/>
                <w:highlight w:val="none"/>
                <w:lang w:eastAsia="zh-CN"/>
              </w:rPr>
              <w:t>，第二款</w:t>
            </w:r>
            <w:r>
              <w:rPr>
                <w:rFonts w:hint="eastAsia" w:ascii="宋体" w:hAnsi="宋体" w:eastAsia="宋体" w:cs="宋体"/>
                <w:color w:val="auto"/>
                <w:kern w:val="0"/>
                <w:sz w:val="15"/>
                <w:szCs w:val="15"/>
                <w:highlight w:val="none"/>
              </w:rPr>
              <w:t>（根据损害情况选择条款）责令停止违法行为、采取补救措施，没收违法所得，并依照下列规定处以罚款：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（一）涉及实行一级保护的古树和名木的，处每株50万元以上100万元以下的罚款；</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（二）涉及实行二级保护的古树的，处每株20万元以上50万元以下的罚款；</w:t>
            </w:r>
          </w:p>
          <w:p>
            <w:pPr>
              <w:spacing w:line="232" w:lineRule="exact"/>
              <w:ind w:firstLine="300" w:firstLineChars="200"/>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违反本条例规定，损害古树名木及其生长环境，造成古树名木死亡的，依照前款规定处罚。</w:t>
            </w: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default" w:ascii="宋体" w:hAnsi="宋体" w:cs="宋体"/>
                <w:color w:val="auto"/>
                <w:kern w:val="0"/>
                <w:sz w:val="15"/>
                <w:szCs w:val="15"/>
                <w:highlight w:val="none"/>
                <w:lang w:val="en-US"/>
              </w:rPr>
              <w:t>500000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32" w:lineRule="exact"/>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w:t>
            </w:r>
            <w:r>
              <w:rPr>
                <w:rFonts w:hint="eastAsia" w:ascii="宋体" w:hAnsi="宋体" w:cs="宋体"/>
                <w:color w:val="auto"/>
                <w:kern w:val="0"/>
                <w:sz w:val="15"/>
                <w:szCs w:val="15"/>
                <w:highlight w:val="none"/>
                <w:lang w:val="en-US" w:eastAsia="zh-CN"/>
              </w:rPr>
              <w:t>一</w:t>
            </w:r>
            <w:r>
              <w:rPr>
                <w:rFonts w:hint="eastAsia" w:ascii="宋体" w:hAnsi="宋体" w:cs="宋体"/>
                <w:color w:val="auto"/>
                <w:kern w:val="0"/>
                <w:sz w:val="15"/>
                <w:szCs w:val="15"/>
                <w:highlight w:val="none"/>
                <w:lang w:eastAsia="zh-CN"/>
              </w:rPr>
              <w:t>级保护的古树和名木死亡情形</w:t>
            </w:r>
            <w:r>
              <w:rPr>
                <w:rFonts w:hint="eastAsia" w:ascii="宋体" w:hAnsi="宋体" w:eastAsia="宋体" w:cs="宋体"/>
                <w:color w:val="auto"/>
                <w:kern w:val="0"/>
                <w:sz w:val="15"/>
                <w:szCs w:val="15"/>
                <w:highlight w:val="none"/>
                <w:lang w:eastAsia="zh-CN"/>
              </w:rPr>
              <w:t>。</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树木生长在中心城区和城市副中心或者自然保护区、风景名胜区、森林公园等自然保护区和历史文化街区、风景保护区、历史名园及名人故居的，系数0-0.5。</w:t>
            </w: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val="en-US" w:eastAsia="zh-CN"/>
              </w:rPr>
              <w:t>+变量系数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造成二</w:t>
            </w:r>
            <w:r>
              <w:rPr>
                <w:rFonts w:hint="eastAsia" w:ascii="宋体" w:hAnsi="宋体" w:cs="宋体"/>
                <w:color w:val="auto"/>
                <w:kern w:val="0"/>
                <w:sz w:val="15"/>
                <w:szCs w:val="15"/>
                <w:highlight w:val="none"/>
                <w:lang w:eastAsia="zh-CN"/>
              </w:rPr>
              <w:t>级保护的古树死亡情形</w:t>
            </w:r>
            <w:r>
              <w:rPr>
                <w:rFonts w:hint="eastAsia" w:ascii="宋体" w:hAnsi="宋体" w:eastAsia="宋体" w:cs="宋体"/>
                <w:color w:val="auto"/>
                <w:kern w:val="0"/>
                <w:sz w:val="15"/>
                <w:szCs w:val="15"/>
                <w:highlight w:val="none"/>
                <w:lang w:eastAsia="zh-CN"/>
              </w:rPr>
              <w:t>。</w:t>
            </w:r>
          </w:p>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需要</w:t>
            </w:r>
            <w:r>
              <w:rPr>
                <w:rFonts w:hint="eastAsia" w:ascii="宋体" w:hAnsi="宋体" w:eastAsia="宋体" w:cs="宋体"/>
                <w:color w:val="auto"/>
                <w:kern w:val="0"/>
                <w:sz w:val="15"/>
                <w:szCs w:val="15"/>
                <w:highlight w:val="none"/>
                <w:lang w:eastAsia="zh-CN"/>
              </w:rPr>
              <w:t>在法定幅度内</w:t>
            </w:r>
            <w:r>
              <w:rPr>
                <w:rFonts w:hint="eastAsia" w:ascii="宋体" w:hAnsi="宋体" w:eastAsia="宋体" w:cs="宋体"/>
                <w:color w:val="auto"/>
                <w:kern w:val="0"/>
                <w:sz w:val="15"/>
                <w:szCs w:val="15"/>
                <w:highlight w:val="none"/>
              </w:rPr>
              <w:t>作出</w:t>
            </w:r>
            <w:r>
              <w:rPr>
                <w:rFonts w:ascii="宋体" w:hAnsi="宋体" w:eastAsia="宋体" w:cs="宋体"/>
                <w:color w:val="auto"/>
                <w:kern w:val="0"/>
                <w:sz w:val="15"/>
                <w:szCs w:val="15"/>
                <w:highlight w:val="none"/>
              </w:rPr>
              <w:t>其</w:t>
            </w:r>
            <w:r>
              <w:rPr>
                <w:rFonts w:hint="eastAsia" w:ascii="宋体" w:hAnsi="宋体" w:eastAsia="宋体" w:cs="宋体"/>
                <w:color w:val="auto"/>
                <w:kern w:val="0"/>
                <w:sz w:val="15"/>
                <w:szCs w:val="15"/>
                <w:highlight w:val="none"/>
              </w:rPr>
              <w:t>它额度</w:t>
            </w:r>
            <w:r>
              <w:rPr>
                <w:rFonts w:ascii="宋体" w:hAnsi="宋体" w:eastAsia="宋体" w:cs="宋体"/>
                <w:color w:val="auto"/>
                <w:kern w:val="0"/>
                <w:sz w:val="15"/>
                <w:szCs w:val="15"/>
                <w:highlight w:val="none"/>
              </w:rPr>
              <w:t>处罚的，报</w:t>
            </w:r>
            <w:r>
              <w:rPr>
                <w:rFonts w:hint="eastAsia" w:ascii="宋体" w:hAnsi="宋体" w:eastAsia="宋体" w:cs="宋体"/>
                <w:color w:val="auto"/>
                <w:kern w:val="0"/>
                <w:sz w:val="15"/>
                <w:szCs w:val="15"/>
                <w:highlight w:val="none"/>
              </w:rPr>
              <w:t>案审</w:t>
            </w:r>
            <w:r>
              <w:rPr>
                <w:rFonts w:ascii="宋体" w:hAnsi="宋体" w:eastAsia="宋体" w:cs="宋体"/>
                <w:color w:val="auto"/>
                <w:kern w:val="0"/>
                <w:sz w:val="15"/>
                <w:szCs w:val="15"/>
                <w:highlight w:val="none"/>
              </w:rPr>
              <w:t>会</w:t>
            </w:r>
            <w:r>
              <w:rPr>
                <w:rFonts w:hint="eastAsia" w:ascii="宋体" w:hAnsi="宋体" w:eastAsia="宋体" w:cs="宋体"/>
                <w:color w:val="auto"/>
                <w:kern w:val="0"/>
                <w:sz w:val="15"/>
                <w:szCs w:val="15"/>
                <w:highlight w:val="none"/>
              </w:rPr>
              <w:t>讨论</w:t>
            </w:r>
            <w:r>
              <w:rPr>
                <w:rFonts w:ascii="宋体" w:hAnsi="宋体" w:eastAsia="宋体" w:cs="宋体"/>
                <w:color w:val="auto"/>
                <w:kern w:val="0"/>
                <w:sz w:val="15"/>
                <w:szCs w:val="15"/>
                <w:highlight w:val="none"/>
              </w:rPr>
              <w:t>决定。</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restart"/>
            <w:noWrap w:val="0"/>
            <w:vAlign w:val="center"/>
          </w:tcPr>
          <w:p>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11</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建设施工未按规定避开古树名木保护范围或者未采取必要工程措施</w:t>
            </w:r>
          </w:p>
        </w:tc>
        <w:tc>
          <w:tcPr>
            <w:tcW w:w="2789" w:type="dxa"/>
            <w:vMerge w:val="restart"/>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违反条款：第十</w:t>
            </w:r>
            <w:r>
              <w:rPr>
                <w:rFonts w:hint="eastAsia" w:ascii="宋体" w:hAnsi="宋体" w:eastAsia="宋体" w:cs="宋体"/>
                <w:color w:val="auto"/>
                <w:kern w:val="0"/>
                <w:sz w:val="15"/>
                <w:szCs w:val="15"/>
                <w:highlight w:val="none"/>
                <w:lang w:eastAsia="zh-CN"/>
              </w:rPr>
              <w:t>八</w:t>
            </w:r>
            <w:r>
              <w:rPr>
                <w:rFonts w:hint="eastAsia" w:ascii="宋体" w:hAnsi="宋体" w:eastAsia="宋体" w:cs="宋体"/>
                <w:color w:val="auto"/>
                <w:kern w:val="0"/>
                <w:sz w:val="15"/>
                <w:szCs w:val="15"/>
                <w:highlight w:val="none"/>
              </w:rPr>
              <w:t>条第</w:t>
            </w:r>
            <w:r>
              <w:rPr>
                <w:rFonts w:hint="eastAsia" w:ascii="宋体" w:hAnsi="宋体" w:eastAsia="宋体" w:cs="宋体"/>
                <w:color w:val="auto"/>
                <w:kern w:val="0"/>
                <w:sz w:val="15"/>
                <w:szCs w:val="15"/>
                <w:highlight w:val="none"/>
                <w:lang w:eastAsia="zh-CN"/>
              </w:rPr>
              <w:t>一款；</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处罚条款：第二十八条</w:t>
            </w:r>
            <w:r>
              <w:rPr>
                <w:rFonts w:hint="eastAsia" w:ascii="宋体" w:hAnsi="宋体" w:cs="宋体"/>
                <w:color w:val="auto"/>
                <w:kern w:val="0"/>
                <w:sz w:val="15"/>
                <w:szCs w:val="15"/>
                <w:highlight w:val="none"/>
                <w:lang w:val="en-US" w:eastAsia="zh-CN"/>
              </w:rPr>
              <w:t xml:space="preserve">第一项、第二项 </w:t>
            </w:r>
            <w:r>
              <w:rPr>
                <w:rFonts w:hint="eastAsia" w:ascii="宋体" w:hAnsi="宋体" w:eastAsia="宋体" w:cs="宋体"/>
                <w:color w:val="auto"/>
                <w:kern w:val="0"/>
                <w:sz w:val="15"/>
                <w:szCs w:val="15"/>
                <w:highlight w:val="none"/>
                <w:lang w:val="en-US" w:eastAsia="zh-CN"/>
              </w:rPr>
              <w:t xml:space="preserve"> 责令停止违法行为、限期恢复原状或者采取其他补救措施，没收违法所得；拒不停止违法行为、逾期不恢复原状、不采取其他补救措施或者造成严重后果的，依照下列规定处以罚款：</w:t>
            </w:r>
          </w:p>
          <w:p>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（一）涉及实行一级保护的古树和名木的，处每株20万元以上50万元以下的罚款；</w:t>
            </w:r>
          </w:p>
          <w:p>
            <w:pPr>
              <w:spacing w:line="232" w:lineRule="exact"/>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（二）涉及实行二级保护的古树的，处每株10万元以上20万元以下的罚款；</w:t>
            </w: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200000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ind w:left="0" w:leftChars="0" w:firstLine="0" w:firstLineChars="0"/>
              <w:rPr>
                <w:rFonts w:hint="default"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200000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一</w:t>
            </w:r>
            <w:r>
              <w:rPr>
                <w:rFonts w:hint="eastAsia" w:ascii="宋体" w:hAnsi="宋体" w:cs="宋体"/>
                <w:color w:val="auto"/>
                <w:kern w:val="0"/>
                <w:sz w:val="15"/>
                <w:szCs w:val="15"/>
                <w:highlight w:val="none"/>
                <w:lang w:eastAsia="zh-CN"/>
              </w:rPr>
              <w:t>级保护的古树和名木</w:t>
            </w:r>
            <w:r>
              <w:rPr>
                <w:rFonts w:hint="eastAsia" w:ascii="宋体" w:hAnsi="宋体" w:eastAsia="宋体" w:cs="宋体"/>
                <w:color w:val="auto"/>
                <w:kern w:val="0"/>
                <w:sz w:val="15"/>
                <w:szCs w:val="15"/>
                <w:highlight w:val="none"/>
                <w:lang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w:t>
            </w:r>
            <w:r>
              <w:rPr>
                <w:rFonts w:hint="default" w:ascii="宋体" w:hAnsi="宋体" w:cs="宋体"/>
                <w:color w:val="auto"/>
                <w:kern w:val="0"/>
                <w:sz w:val="15"/>
                <w:szCs w:val="15"/>
                <w:highlight w:val="none"/>
                <w:lang w:val="en-US"/>
              </w:rPr>
              <w:t>00000</w:t>
            </w:r>
          </w:p>
        </w:tc>
        <w:tc>
          <w:tcPr>
            <w:tcW w:w="840" w:type="dxa"/>
            <w:noWrap w:val="0"/>
            <w:vAlign w:val="center"/>
          </w:tcPr>
          <w:p>
            <w:pPr>
              <w:spacing w:line="232" w:lineRule="exact"/>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numPr>
                <w:ilvl w:val="0"/>
                <w:numId w:val="0"/>
              </w:numPr>
              <w:spacing w:line="232" w:lineRule="exact"/>
              <w:ind w:left="0" w:leftChars="0" w:firstLine="0" w:firstLineChars="0"/>
              <w:rPr>
                <w:rFonts w:hint="eastAsia" w:ascii="宋体" w:hAnsi="宋体" w:cs="宋体"/>
                <w:color w:val="auto"/>
                <w:kern w:val="0"/>
                <w:sz w:val="15"/>
                <w:szCs w:val="15"/>
                <w:highlight w:val="none"/>
                <w:lang w:val="en-US" w:eastAsia="zh-CN"/>
              </w:rPr>
            </w:pPr>
          </w:p>
        </w:tc>
        <w:tc>
          <w:tcPr>
            <w:tcW w:w="1785" w:type="dxa"/>
            <w:noWrap w:val="0"/>
            <w:vAlign w:val="center"/>
          </w:tcPr>
          <w:p>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100000</w:t>
            </w: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）×N。N</w:t>
            </w:r>
            <w:r>
              <w:rPr>
                <w:rFonts w:hint="eastAsia" w:ascii="宋体" w:hAnsi="宋体" w:eastAsia="宋体" w:cs="仿宋_GB2312"/>
                <w:color w:val="auto"/>
                <w:kern w:val="0"/>
                <w:sz w:val="15"/>
                <w:szCs w:val="15"/>
                <w:highlight w:val="none"/>
              </w:rPr>
              <w:t>为株数</w:t>
            </w:r>
            <w:r>
              <w:rPr>
                <w:rFonts w:hint="eastAsia" w:ascii="宋体" w:hAnsi="宋体" w:cs="宋体"/>
                <w:color w:val="auto"/>
                <w:kern w:val="0"/>
                <w:sz w:val="15"/>
                <w:szCs w:val="15"/>
                <w:highlight w:val="none"/>
                <w:lang w:eastAsia="zh-CN"/>
              </w:rPr>
              <w:t>。</w:t>
            </w:r>
          </w:p>
        </w:tc>
        <w:tc>
          <w:tcPr>
            <w:tcW w:w="2385" w:type="dxa"/>
            <w:noWrap w:val="0"/>
            <w:vAlign w:val="center"/>
          </w:tcPr>
          <w:p>
            <w:pPr>
              <w:spacing w:line="232" w:lineRule="exact"/>
              <w:rPr>
                <w:rFonts w:hint="eastAsia" w:ascii="宋体" w:hAnsi="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w:t>
            </w:r>
            <w:r>
              <w:rPr>
                <w:rFonts w:hint="eastAsia" w:ascii="宋体" w:hAnsi="宋体" w:eastAsia="宋体" w:cs="宋体"/>
                <w:color w:val="auto"/>
                <w:kern w:val="0"/>
                <w:sz w:val="15"/>
                <w:szCs w:val="15"/>
                <w:highlight w:val="none"/>
                <w:lang w:eastAsia="zh-CN"/>
              </w:rPr>
              <w:t>二</w:t>
            </w:r>
            <w:r>
              <w:rPr>
                <w:rFonts w:hint="eastAsia" w:ascii="宋体" w:hAnsi="宋体" w:cs="宋体"/>
                <w:color w:val="auto"/>
                <w:kern w:val="0"/>
                <w:sz w:val="15"/>
                <w:szCs w:val="15"/>
                <w:highlight w:val="none"/>
                <w:lang w:eastAsia="zh-CN"/>
              </w:rPr>
              <w:t>级保护的古树。</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适用</w:t>
            </w:r>
            <w:r>
              <w:rPr>
                <w:rFonts w:hint="eastAsia" w:ascii="宋体" w:hAnsi="宋体" w:eastAsia="宋体" w:cs="宋体"/>
                <w:color w:val="auto"/>
                <w:kern w:val="0"/>
                <w:sz w:val="15"/>
                <w:szCs w:val="15"/>
                <w:highlight w:val="none"/>
                <w:lang w:val="en-US" w:eastAsia="zh-CN"/>
              </w:rPr>
              <w:t>拒不停止违法行为、逾期不恢复原状、不采取其他补救措施或者造成严重后果的</w:t>
            </w:r>
            <w:r>
              <w:rPr>
                <w:rFonts w:hint="eastAsia" w:ascii="宋体" w:hAnsi="宋体" w:cs="宋体"/>
                <w:color w:val="auto"/>
                <w:kern w:val="0"/>
                <w:sz w:val="15"/>
                <w:szCs w:val="15"/>
                <w:highlight w:val="none"/>
                <w:lang w:val="en-US" w:eastAsia="zh-CN"/>
              </w:rPr>
              <w:t>。</w:t>
            </w:r>
          </w:p>
          <w:p>
            <w:pPr>
              <w:spacing w:line="232" w:lineRule="exact"/>
              <w:rPr>
                <w:rFonts w:hint="eastAsia" w:ascii="宋体" w:hAnsi="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拒不停止违法行为</w:t>
            </w:r>
            <w:r>
              <w:rPr>
                <w:rFonts w:hint="eastAsia" w:ascii="宋体" w:hAnsi="宋体" w:eastAsia="宋体" w:cs="仿宋_GB2312"/>
                <w:color w:val="auto"/>
                <w:sz w:val="15"/>
                <w:szCs w:val="15"/>
                <w:highlight w:val="none"/>
              </w:rPr>
              <w:t>的情形，不记入本项“</w:t>
            </w:r>
            <w:r>
              <w:rPr>
                <w:rFonts w:hint="eastAsia" w:ascii="宋体" w:hAnsi="宋体" w:eastAsia="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r>
              <w:rPr>
                <w:rFonts w:hint="eastAsia" w:ascii="宋体" w:hAnsi="宋体" w:eastAsia="宋体" w:cs="仿宋_GB2312"/>
                <w:color w:val="auto"/>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3" w:hRule="atLeast"/>
          <w:jc w:val="center"/>
        </w:trPr>
        <w:tc>
          <w:tcPr>
            <w:tcW w:w="14218" w:type="dxa"/>
            <w:gridSpan w:val="9"/>
            <w:noWrap w:val="0"/>
            <w:vAlign w:val="center"/>
          </w:tcPr>
          <w:p>
            <w:pPr>
              <w:pStyle w:val="3"/>
              <w:bidi w:val="0"/>
              <w:jc w:val="center"/>
              <w:rPr>
                <w:rFonts w:hint="eastAsia"/>
                <w:lang w:val="en-US" w:eastAsia="zh-CN"/>
              </w:rPr>
            </w:pPr>
            <w:bookmarkStart w:id="111" w:name="_Toc1270096950"/>
            <w:r>
              <w:rPr>
                <w:rFonts w:hint="eastAsia"/>
              </w:rPr>
              <w:t>《北京市古树名木保护管理条例》案由</w:t>
            </w:r>
            <w:r>
              <w:rPr>
                <w:rFonts w:hint="eastAsia"/>
                <w:lang w:val="en-US" w:eastAsia="zh-CN"/>
              </w:rPr>
              <w:t>3项</w:t>
            </w:r>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33"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1</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未按规定养护管理古树名木</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违反条款：第十一条第一款；处罚条款：第十八条第一款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10" w:hRule="atLeast"/>
          <w:jc w:val="center"/>
        </w:trPr>
        <w:tc>
          <w:tcPr>
            <w:tcW w:w="940" w:type="dxa"/>
            <w:vMerge w:val="continue"/>
            <w:noWrap w:val="0"/>
            <w:vAlign w:val="center"/>
          </w:tcPr>
          <w:p>
            <w:pPr>
              <w:spacing w:line="232" w:lineRule="exact"/>
              <w:jc w:val="center"/>
              <w:rPr>
                <w:rFonts w:ascii="宋体" w:hAnsi="宋体" w:eastAsia="宋体" w:cs="宋体"/>
                <w:color w:val="auto"/>
                <w:kern w:val="0"/>
                <w:sz w:val="15"/>
                <w:szCs w:val="15"/>
                <w:highlight w:val="none"/>
              </w:rPr>
            </w:pPr>
          </w:p>
        </w:tc>
        <w:tc>
          <w:tcPr>
            <w:tcW w:w="1500"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2789" w:type="dxa"/>
            <w:vMerge w:val="continue"/>
            <w:noWrap w:val="0"/>
            <w:vAlign w:val="center"/>
          </w:tcPr>
          <w:p>
            <w:pPr>
              <w:spacing w:line="232" w:lineRule="exact"/>
              <w:rPr>
                <w:rFonts w:ascii="宋体" w:hAnsi="宋体" w:eastAsia="宋体" w:cs="宋体"/>
                <w:color w:val="auto"/>
                <w:kern w:val="0"/>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75" w:hRule="atLeast"/>
          <w:jc w:val="center"/>
        </w:trPr>
        <w:tc>
          <w:tcPr>
            <w:tcW w:w="940" w:type="dxa"/>
            <w:vMerge w:val="restart"/>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2</w:t>
            </w:r>
          </w:p>
        </w:tc>
        <w:tc>
          <w:tcPr>
            <w:tcW w:w="1500"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未按要求对古树名木治理、复壮</w:t>
            </w:r>
          </w:p>
        </w:tc>
        <w:tc>
          <w:tcPr>
            <w:tcW w:w="2789" w:type="dxa"/>
            <w:vMerge w:val="restart"/>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违反条款：第十一条第二款；处罚条款：第十八条第一款 责令改正</w:t>
            </w:r>
            <w:r>
              <w:rPr>
                <w:rFonts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rPr>
              <w:t>造成损伤的，每株处以500至2000元罚款；造成死亡的，每株处1万元至5万元罚款。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损伤一级古树或者具有特殊历史价值和特别珍贵名木的，系数为2。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罚款数额＝500×（1＋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43" w:hRule="atLeast"/>
          <w:jc w:val="center"/>
        </w:trPr>
        <w:tc>
          <w:tcPr>
            <w:tcW w:w="940" w:type="dxa"/>
            <w:vMerge w:val="continue"/>
            <w:noWrap w:val="0"/>
            <w:vAlign w:val="center"/>
          </w:tcPr>
          <w:p>
            <w:pPr>
              <w:spacing w:line="232" w:lineRule="exact"/>
              <w:jc w:val="center"/>
              <w:rPr>
                <w:rFonts w:ascii="宋体" w:hAnsi="宋体" w:eastAsia="宋体"/>
                <w:color w:val="auto"/>
                <w:sz w:val="15"/>
                <w:szCs w:val="15"/>
                <w:highlight w:val="none"/>
              </w:rPr>
            </w:pPr>
          </w:p>
        </w:tc>
        <w:tc>
          <w:tcPr>
            <w:tcW w:w="1500" w:type="dxa"/>
            <w:vMerge w:val="continue"/>
            <w:noWrap w:val="0"/>
            <w:vAlign w:val="center"/>
          </w:tcPr>
          <w:p>
            <w:pPr>
              <w:spacing w:line="232" w:lineRule="exact"/>
              <w:rPr>
                <w:rFonts w:ascii="宋体" w:hAnsi="宋体" w:eastAsia="宋体"/>
                <w:color w:val="auto"/>
                <w:sz w:val="15"/>
                <w:szCs w:val="15"/>
                <w:highlight w:val="none"/>
              </w:rPr>
            </w:pPr>
          </w:p>
        </w:tc>
        <w:tc>
          <w:tcPr>
            <w:tcW w:w="2789" w:type="dxa"/>
            <w:vMerge w:val="continue"/>
            <w:noWrap w:val="0"/>
            <w:vAlign w:val="center"/>
          </w:tcPr>
          <w:p>
            <w:pPr>
              <w:spacing w:line="232" w:lineRule="exact"/>
              <w:rPr>
                <w:rFonts w:ascii="宋体" w:hAnsi="宋体" w:eastAsia="宋体"/>
                <w:color w:val="auto"/>
                <w:sz w:val="15"/>
                <w:szCs w:val="15"/>
                <w:highlight w:val="none"/>
              </w:rPr>
            </w:pP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spacing w:line="220" w:lineRule="exact"/>
              <w:rPr>
                <w:rFonts w:ascii="宋体" w:hAnsi="宋体" w:eastAsia="宋体"/>
                <w:color w:val="auto"/>
                <w:sz w:val="15"/>
                <w:szCs w:val="15"/>
                <w:highlight w:val="none"/>
              </w:rPr>
            </w:pPr>
            <w:r>
              <w:rPr>
                <w:rFonts w:hint="eastAsia" w:ascii="宋体" w:hAnsi="宋体" w:eastAsia="宋体" w:cs="宋体"/>
                <w:color w:val="auto"/>
                <w:kern w:val="0"/>
                <w:sz w:val="15"/>
                <w:szCs w:val="15"/>
                <w:highlight w:val="none"/>
              </w:rPr>
              <w:t>造成一级古树或者具有特殊历史价值和特别珍贵名木死亡的，系数为2。</w:t>
            </w:r>
          </w:p>
        </w:tc>
        <w:tc>
          <w:tcPr>
            <w:tcW w:w="1785" w:type="dxa"/>
            <w:noWrap w:val="0"/>
            <w:vAlign w:val="center"/>
          </w:tcPr>
          <w:p>
            <w:pPr>
              <w:spacing w:line="220"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罚款数额＝10000×（1＋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w:t>
            </w:r>
            <w:r>
              <w:rPr>
                <w:rFonts w:hint="eastAsia" w:ascii="宋体" w:hAnsi="宋体" w:eastAsia="宋体" w:cs="仿宋_GB2312"/>
                <w:color w:val="auto"/>
                <w:kern w:val="0"/>
                <w:sz w:val="15"/>
                <w:szCs w:val="15"/>
                <w:highlight w:val="none"/>
              </w:rPr>
              <w:t>为株数。</w:t>
            </w:r>
          </w:p>
        </w:tc>
        <w:tc>
          <w:tcPr>
            <w:tcW w:w="2385" w:type="dxa"/>
            <w:noWrap w:val="0"/>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适用造成死亡情形</w:t>
            </w:r>
            <w:r>
              <w:rPr>
                <w:rFonts w:hint="eastAsia" w:ascii="宋体" w:hAnsi="宋体" w:eastAsia="宋体" w:cs="宋体"/>
                <w:color w:val="auto"/>
                <w:kern w:val="0"/>
                <w:sz w:val="15"/>
                <w:szCs w:val="15"/>
                <w:highlight w:val="none"/>
                <w:lang w:eastAsia="zh-CN"/>
              </w:rPr>
              <w:t>。</w:t>
            </w: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8" w:hRule="atLeast"/>
          <w:jc w:val="center"/>
        </w:trPr>
        <w:tc>
          <w:tcPr>
            <w:tcW w:w="940" w:type="dxa"/>
            <w:noWrap w:val="0"/>
            <w:vAlign w:val="center"/>
          </w:tcPr>
          <w:p>
            <w:pPr>
              <w:spacing w:line="232" w:lineRule="exact"/>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3</w:t>
            </w:r>
          </w:p>
        </w:tc>
        <w:tc>
          <w:tcPr>
            <w:tcW w:w="1500" w:type="dxa"/>
            <w:noWrap w:val="0"/>
            <w:vAlign w:val="center"/>
          </w:tcPr>
          <w:p>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擅自处理死亡古树名木</w:t>
            </w:r>
          </w:p>
        </w:tc>
        <w:tc>
          <w:tcPr>
            <w:tcW w:w="2789" w:type="dxa"/>
            <w:noWrap w:val="0"/>
            <w:vAlign w:val="center"/>
          </w:tcPr>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违反条款：第十一条第三款；</w:t>
            </w:r>
          </w:p>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处罚条款：第十八条第二款 每株处以2000元至1万元罚款。</w:t>
            </w:r>
          </w:p>
        </w:tc>
        <w:tc>
          <w:tcPr>
            <w:tcW w:w="851"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2000</w:t>
            </w:r>
          </w:p>
        </w:tc>
        <w:tc>
          <w:tcPr>
            <w:tcW w:w="840" w:type="dxa"/>
            <w:noWrap w:val="0"/>
            <w:vAlign w:val="center"/>
          </w:tcPr>
          <w:p>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pPr>
              <w:pStyle w:val="7"/>
              <w:spacing w:line="212" w:lineRule="exact"/>
              <w:jc w:val="both"/>
              <w:rPr>
                <w:rFonts w:hint="default" w:ascii="宋体" w:hAnsi="宋体" w:eastAsia="宋体"/>
                <w:color w:val="auto"/>
                <w:sz w:val="15"/>
                <w:szCs w:val="15"/>
                <w:highlight w:val="none"/>
                <w:lang w:val="en-US" w:eastAsia="zh-CN"/>
              </w:rPr>
            </w:pPr>
            <w:r>
              <w:rPr>
                <w:rFonts w:hint="eastAsia" w:ascii="宋体" w:hAnsi="宋体" w:eastAsia="宋体" w:cs="宋体"/>
                <w:color w:val="auto"/>
                <w:kern w:val="0"/>
                <w:sz w:val="15"/>
                <w:szCs w:val="15"/>
                <w:highlight w:val="none"/>
              </w:rPr>
              <w:t>擅自处理死亡一级古树的，变量系数4；二级古树的，变量系数3</w:t>
            </w:r>
            <w:r>
              <w:rPr>
                <w:rFonts w:hint="eastAsia" w:ascii="宋体" w:hAnsi="宋体" w:eastAsia="宋体" w:cs="宋体"/>
                <w:color w:val="auto"/>
                <w:kern w:val="0"/>
                <w:sz w:val="15"/>
                <w:szCs w:val="15"/>
                <w:highlight w:val="none"/>
                <w:lang w:eastAsia="zh-CN"/>
              </w:rPr>
              <w:t>。</w:t>
            </w:r>
          </w:p>
        </w:tc>
        <w:tc>
          <w:tcPr>
            <w:tcW w:w="1785" w:type="dxa"/>
            <w:noWrap w:val="0"/>
            <w:vAlign w:val="center"/>
          </w:tcPr>
          <w:p>
            <w:pPr>
              <w:spacing w:line="21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罚款数额＝2000×（1＋</w:t>
            </w:r>
            <w:r>
              <w:rPr>
                <w:rFonts w:hint="eastAsia" w:ascii="宋体" w:hAnsi="宋体" w:eastAsia="宋体" w:cs="宋体"/>
                <w:color w:val="auto"/>
                <w:kern w:val="0"/>
                <w:sz w:val="15"/>
                <w:szCs w:val="15"/>
                <w:highlight w:val="none"/>
                <w:lang w:eastAsia="zh-CN"/>
              </w:rPr>
              <w:t>常量系数</w:t>
            </w:r>
            <w:r>
              <w:rPr>
                <w:rFonts w:hint="eastAsia" w:ascii="宋体" w:hAnsi="宋体" w:eastAsia="宋体" w:cs="宋体"/>
                <w:color w:val="auto"/>
                <w:kern w:val="0"/>
                <w:sz w:val="15"/>
                <w:szCs w:val="15"/>
                <w:highlight w:val="none"/>
              </w:rPr>
              <w:t>＋变量系数）×N。N为株数。</w:t>
            </w:r>
          </w:p>
        </w:tc>
        <w:tc>
          <w:tcPr>
            <w:tcW w:w="2385" w:type="dxa"/>
            <w:noWrap w:val="0"/>
            <w:vAlign w:val="center"/>
          </w:tcPr>
          <w:p>
            <w:pPr>
              <w:spacing w:line="232" w:lineRule="exact"/>
              <w:rPr>
                <w:rFonts w:ascii="宋体" w:hAnsi="宋体" w:eastAsia="宋体" w:cs="宋体"/>
                <w:color w:val="auto"/>
                <w:kern w:val="0"/>
                <w:sz w:val="15"/>
                <w:szCs w:val="15"/>
                <w:highlight w:val="none"/>
              </w:rPr>
            </w:pPr>
          </w:p>
        </w:tc>
        <w:tc>
          <w:tcPr>
            <w:tcW w:w="824" w:type="dxa"/>
            <w:noWrap w:val="0"/>
            <w:vAlign w:val="center"/>
          </w:tcPr>
          <w:p>
            <w:pPr>
              <w:spacing w:line="232" w:lineRule="exact"/>
              <w:jc w:val="center"/>
              <w:rPr>
                <w:rFonts w:ascii="宋体" w:hAnsi="宋体" w:eastAsia="宋体"/>
                <w:color w:val="auto"/>
                <w:sz w:val="15"/>
                <w:szCs w:val="15"/>
                <w:highlight w:val="none"/>
              </w:rPr>
            </w:pPr>
            <w:r>
              <w:rPr>
                <w:rFonts w:hint="eastAsia" w:ascii="宋体" w:hAnsi="宋体" w:eastAsia="宋体"/>
                <w:color w:val="auto"/>
                <w:sz w:val="15"/>
                <w:szCs w:val="15"/>
                <w:highlight w:val="none"/>
              </w:rPr>
              <w:t>街道</w:t>
            </w:r>
          </w:p>
          <w:p>
            <w:pPr>
              <w:spacing w:line="232" w:lineRule="exact"/>
              <w:jc w:val="center"/>
              <w:rPr>
                <w:rFonts w:ascii="宋体" w:hAnsi="宋体" w:eastAsia="宋体" w:cs="宋体"/>
                <w:color w:val="auto"/>
                <w:kern w:val="0"/>
                <w:sz w:val="15"/>
                <w:szCs w:val="15"/>
                <w:highlight w:val="none"/>
              </w:rPr>
            </w:pPr>
            <w:r>
              <w:rPr>
                <w:rFonts w:hint="eastAsia" w:ascii="宋体" w:hAnsi="宋体" w:eastAsia="宋体"/>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2" w:name="_Toc465734653"/>
            <w:bookmarkStart w:id="113" w:name="_Toc1662411082"/>
            <w:bookmarkStart w:id="114" w:name="_Toc110851470"/>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2"/>
            <w:bookmarkEnd w:id="113"/>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9"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61"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2789"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1785"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2789"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304"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385"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tcBorders>
              <w:bottom w:val="single" w:color="auto" w:sz="4" w:space="0"/>
            </w:tcBorders>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385"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0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2789"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17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385"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pPr>
              <w:spacing w:line="240" w:lineRule="exact"/>
              <w:rPr>
                <w:rFonts w:cs="宋体" w:asciiTheme="minorEastAsia" w:hAnsiTheme="minorEastAsia" w:eastAsiaTheme="minorEastAsia"/>
                <w:color w:val="auto"/>
                <w:kern w:val="0"/>
                <w:sz w:val="15"/>
                <w:szCs w:val="15"/>
                <w:highlight w:val="none"/>
              </w:rPr>
            </w:pP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2789" w:type="dxa"/>
            <w:shd w:val="clear" w:color="auto" w:fill="auto"/>
            <w:vAlign w:val="center"/>
          </w:tcPr>
          <w:p>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2789"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2789"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1" w:hRule="atLeast"/>
          <w:jc w:val="center"/>
        </w:trPr>
        <w:tc>
          <w:tcPr>
            <w:tcW w:w="14218" w:type="dxa"/>
            <w:gridSpan w:val="9"/>
            <w:shd w:val="clear" w:color="auto" w:fill="auto"/>
            <w:vAlign w:val="center"/>
          </w:tcPr>
          <w:p>
            <w:pPr>
              <w:pStyle w:val="2"/>
              <w:bidi w:val="0"/>
              <w:rPr>
                <w:rFonts w:ascii="黑体" w:hAnsi="黑体" w:eastAsia="黑体" w:cs="宋体"/>
                <w:color w:val="auto"/>
                <w:kern w:val="0"/>
                <w:highlight w:val="none"/>
              </w:rPr>
            </w:pPr>
            <w:bookmarkStart w:id="115" w:name="_Toc277585206"/>
            <w:r>
              <w:rPr>
                <w:rFonts w:hint="eastAsia" w:ascii="黑体" w:hAnsi="黑体" w:eastAsia="黑体" w:cs="黑体"/>
                <w:b w:val="0"/>
                <w:bCs w:val="0"/>
                <w:color w:val="auto"/>
                <w:highlight w:val="none"/>
              </w:rPr>
              <w:t>环境保护管理方面</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7" w:hRule="atLeast"/>
          <w:jc w:val="center"/>
        </w:trPr>
        <w:tc>
          <w:tcPr>
            <w:tcW w:w="14218" w:type="dxa"/>
            <w:gridSpan w:val="9"/>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6" w:name="_Toc335980618"/>
            <w:r>
              <w:rPr>
                <w:rFonts w:hint="eastAsia"/>
                <w:color w:val="auto"/>
                <w:sz w:val="21"/>
                <w:szCs w:val="21"/>
                <w:highlight w:val="none"/>
              </w:rPr>
              <w:t>《中华人民共和国大气污染防治法》案由18项</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w:t>
            </w:r>
            <w:r>
              <w:rPr>
                <w:rFonts w:hint="eastAsia" w:asciiTheme="minorEastAsia" w:hAnsiTheme="minorEastAsia" w:eastAsiaTheme="minorEastAsia"/>
                <w:color w:val="auto"/>
                <w:sz w:val="15"/>
                <w:szCs w:val="15"/>
                <w:highlight w:val="none"/>
                <w:shd w:val="clear"/>
              </w:rPr>
              <w:t>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措施防</w:t>
            </w:r>
            <w:r>
              <w:rPr>
                <w:rFonts w:hint="eastAsia" w:asciiTheme="minorEastAsia" w:hAnsiTheme="minorEastAsia" w:eastAsiaTheme="minorEastAsia"/>
                <w:color w:val="auto"/>
                <w:sz w:val="15"/>
                <w:szCs w:val="15"/>
                <w:highlight w:val="none"/>
              </w:rPr>
              <w:t>止物料遗撒</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2789"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2789"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17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9" w:hRule="atLeast"/>
          <w:jc w:val="center"/>
        </w:trPr>
        <w:tc>
          <w:tcPr>
            <w:tcW w:w="14218" w:type="dxa"/>
            <w:gridSpan w:val="9"/>
            <w:tcBorders>
              <w:bottom w:val="single" w:color="auto" w:sz="4" w:space="0"/>
            </w:tcBorders>
            <w:shd w:val="clear" w:color="auto" w:fill="auto"/>
            <w:vAlign w:val="center"/>
          </w:tcPr>
          <w:p>
            <w:pPr>
              <w:pStyle w:val="3"/>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7" w:name="_Toc1112923929"/>
            <w:r>
              <w:rPr>
                <w:rFonts w:hint="eastAsia"/>
                <w:color w:val="auto"/>
                <w:sz w:val="21"/>
                <w:szCs w:val="21"/>
                <w:highlight w:val="none"/>
              </w:rPr>
              <w:t>《北京市大气污染防治条例》案由8项</w:t>
            </w:r>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2789"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17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1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vMerge w:val="restart"/>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5"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shd w:val="clear"/>
              </w:rPr>
              <w:t>在政府划定的禁止范围内露天烧烤食品</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07"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67"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运输散装、流体物料车辆不符合条件（未安装卫星定位系统、未密闭运输）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违反条款：第八十三条；处罚条款：第一百二十一条：责令改正，处二千元以上二万以下罚款；拒不改正的，车辆不得上道路行驶。</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40"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2789"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40"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17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p>
        </w:tc>
        <w:tc>
          <w:tcPr>
            <w:tcW w:w="2385"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8" w:name="_Toc110851471"/>
            <w:bookmarkStart w:id="119" w:name="_Toc2026065898"/>
            <w:bookmarkStart w:id="120" w:name="_Toc1745180410"/>
            <w:r>
              <w:rPr>
                <w:rFonts w:hint="eastAsia" w:asciiTheme="minorEastAsia" w:hAnsiTheme="minorEastAsia" w:eastAsiaTheme="minorEastAsia"/>
                <w:color w:val="auto"/>
                <w:sz w:val="21"/>
                <w:szCs w:val="21"/>
                <w:highlight w:val="none"/>
              </w:rPr>
              <w:t>《北京市环境噪声污染防治办法》案由</w:t>
            </w:r>
            <w:r>
              <w:rPr>
                <w:rFonts w:hint="eastAsia" w:asciiTheme="minorEastAsia" w:hAnsiTheme="minorEastAsia" w:eastAsiaTheme="minorEastAsia"/>
                <w:color w:val="auto"/>
                <w:sz w:val="21"/>
                <w:szCs w:val="21"/>
                <w:highlight w:val="none"/>
                <w:lang w:val="en-US" w:eastAsia="zh-CN"/>
              </w:rPr>
              <w:t>1</w:t>
            </w:r>
            <w:r>
              <w:rPr>
                <w:rFonts w:hint="eastAsia" w:asciiTheme="minorEastAsia" w:hAnsiTheme="minorEastAsia" w:eastAsiaTheme="minorEastAsia"/>
                <w:color w:val="auto"/>
                <w:sz w:val="21"/>
                <w:szCs w:val="21"/>
                <w:highlight w:val="none"/>
              </w:rPr>
              <w:t>项</w:t>
            </w:r>
            <w:bookmarkEnd w:id="118"/>
            <w:bookmarkEnd w:id="119"/>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2" w:hRule="atLeast"/>
          <w:jc w:val="center"/>
        </w:trPr>
        <w:tc>
          <w:tcPr>
            <w:tcW w:w="940" w:type="dxa"/>
            <w:shd w:val="clear" w:color="auto" w:fill="auto"/>
            <w:vAlign w:val="center"/>
          </w:tcPr>
          <w:p>
            <w:pPr>
              <w:spacing w:line="240"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2789"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7" w:hRule="atLeast"/>
          <w:jc w:val="center"/>
        </w:trPr>
        <w:tc>
          <w:tcPr>
            <w:tcW w:w="14218" w:type="dxa"/>
            <w:gridSpan w:val="9"/>
            <w:shd w:val="clear" w:color="auto" w:fill="auto"/>
            <w:vAlign w:val="center"/>
          </w:tcPr>
          <w:p>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1" w:name="_Toc110851472"/>
            <w:bookmarkStart w:id="122" w:name="_Toc1713601146"/>
            <w:bookmarkStart w:id="123" w:name="_Toc193344115"/>
            <w:r>
              <w:rPr>
                <w:rStyle w:val="32"/>
                <w:rFonts w:hint="eastAsia" w:asciiTheme="minorEastAsia" w:hAnsiTheme="minorEastAsia" w:eastAsiaTheme="minorEastAsia"/>
                <w:color w:val="auto"/>
                <w:sz w:val="21"/>
                <w:szCs w:val="21"/>
                <w:highlight w:val="none"/>
              </w:rPr>
              <w:t>《中华人民共和国噪声污染防治法》案由</w:t>
            </w:r>
            <w:r>
              <w:rPr>
                <w:rStyle w:val="32"/>
                <w:rFonts w:hint="eastAsia" w:asciiTheme="minorEastAsia" w:hAnsiTheme="minorEastAsia" w:eastAsiaTheme="minorEastAsia"/>
                <w:color w:val="auto"/>
                <w:sz w:val="21"/>
                <w:szCs w:val="21"/>
                <w:highlight w:val="none"/>
                <w:lang w:val="en-US" w:eastAsia="zh-CN"/>
              </w:rPr>
              <w:t>6</w:t>
            </w:r>
            <w:r>
              <w:rPr>
                <w:rStyle w:val="32"/>
                <w:rFonts w:hint="eastAsia" w:asciiTheme="minorEastAsia" w:hAnsiTheme="minorEastAsia" w:eastAsiaTheme="minorEastAsia"/>
                <w:color w:val="auto"/>
                <w:sz w:val="21"/>
                <w:szCs w:val="21"/>
                <w:highlight w:val="none"/>
              </w:rPr>
              <w:t>项</w:t>
            </w:r>
            <w:bookmarkEnd w:id="121"/>
            <w:bookmarkEnd w:id="122"/>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c>
          <w:tcPr>
            <w:tcW w:w="824" w:type="dxa"/>
            <w:vMerge w:val="restart"/>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bookmarkStart w:id="124" w:name="_Toc760985315"/>
            <w:bookmarkStart w:id="125" w:name="_Toc110851473"/>
            <w:r>
              <w:rPr>
                <w:rFonts w:hint="eastAsia" w:cs="宋体" w:asciiTheme="minorEastAsia" w:hAnsiTheme="minorEastAsia" w:eastAsiaTheme="minorEastAsia"/>
                <w:color w:val="auto"/>
                <w:kern w:val="0"/>
                <w:sz w:val="15"/>
                <w:szCs w:val="15"/>
                <w:highlight w:val="none"/>
                <w:lang w:val="en-US" w:eastAsia="zh-CN"/>
              </w:rPr>
              <w:t>4</w:t>
            </w:r>
          </w:p>
        </w:tc>
        <w:tc>
          <w:tcPr>
            <w:tcW w:w="1500" w:type="dxa"/>
            <w:shd w:val="clear" w:color="auto" w:fill="auto"/>
            <w:vAlign w:val="center"/>
          </w:tcPr>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在噪声敏感建筑物禁止建设区域新建与航空无关的噪声敏感建筑物</w:t>
            </w:r>
          </w:p>
        </w:tc>
        <w:tc>
          <w:tcPr>
            <w:tcW w:w="2789" w:type="dxa"/>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违反条款：</w:t>
            </w:r>
            <w:r>
              <w:rPr>
                <w:rFonts w:hint="eastAsia" w:ascii="宋体" w:hAnsi="宋体" w:eastAsia="宋体" w:cs="宋体"/>
                <w:color w:val="auto"/>
                <w:kern w:val="0"/>
                <w:sz w:val="15"/>
                <w:szCs w:val="15"/>
                <w:highlight w:val="none"/>
              </w:rPr>
              <w:t>第五十二条第二款</w:t>
            </w:r>
            <w:r>
              <w:rPr>
                <w:rFonts w:hint="eastAsia" w:ascii="宋体" w:hAnsi="宋体" w:eastAsia="宋体" w:cs="宋体"/>
                <w:color w:val="auto"/>
                <w:kern w:val="0"/>
                <w:sz w:val="15"/>
                <w:szCs w:val="15"/>
                <w:highlight w:val="none"/>
                <w:lang w:eastAsia="zh-CN"/>
              </w:rPr>
              <w:t>；</w:t>
            </w:r>
          </w:p>
          <w:p>
            <w:pPr>
              <w:spacing w:line="232" w:lineRule="exact"/>
              <w:rPr>
                <w:rFonts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rPr>
              <w:t>处罚条款：第七十三条第二款</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责令停止违法行为，处建设工程合同价款百分之二以上百分之十以下的罚款，并报经有批准权的人民政府批准，责令拆除。</w:t>
            </w: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eastAsia="zh-CN"/>
              </w:rPr>
              <w:t>建设工程合同价款</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1.拒不改正</w:t>
            </w:r>
            <w:r>
              <w:rPr>
                <w:rFonts w:hint="eastAsia" w:ascii="宋体" w:hAnsi="宋体"/>
                <w:color w:val="auto"/>
                <w:sz w:val="15"/>
                <w:szCs w:val="15"/>
                <w:highlight w:val="none"/>
                <w:lang w:val="en-US" w:eastAsia="zh-CN"/>
              </w:rPr>
              <w:t>，</w:t>
            </w:r>
            <w:r>
              <w:rPr>
                <w:rFonts w:hint="eastAsia" w:ascii="宋体" w:hAnsi="宋体" w:eastAsia="宋体"/>
                <w:color w:val="auto"/>
                <w:sz w:val="15"/>
                <w:szCs w:val="15"/>
                <w:highlight w:val="none"/>
                <w:lang w:val="en-US" w:eastAsia="zh-CN"/>
              </w:rPr>
              <w:t>或者投诉举报较多的，系数1-2;2.存在较大安全隐患或者造成社会恶劣影响的，系数3-4。</w:t>
            </w:r>
          </w:p>
        </w:tc>
        <w:tc>
          <w:tcPr>
            <w:tcW w:w="17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罚款数额＝</w:t>
            </w:r>
            <w:r>
              <w:rPr>
                <w:rFonts w:hint="eastAsia" w:ascii="宋体" w:hAnsi="宋体"/>
                <w:color w:val="auto"/>
                <w:sz w:val="15"/>
                <w:szCs w:val="15"/>
                <w:highlight w:val="none"/>
                <w:lang w:eastAsia="zh-CN"/>
              </w:rPr>
              <w:t>建设工程合同价款</w:t>
            </w:r>
            <w:r>
              <w:rPr>
                <w:rFonts w:hint="eastAsia" w:ascii="宋体" w:hAnsi="宋体" w:eastAsia="宋体"/>
                <w:color w:val="auto"/>
                <w:sz w:val="15"/>
                <w:szCs w:val="15"/>
                <w:highlight w:val="none"/>
              </w:rPr>
              <w:t>×</w:t>
            </w:r>
            <w:r>
              <w:rPr>
                <w:rFonts w:hint="eastAsia" w:ascii="宋体" w:hAnsi="宋体" w:eastAsia="宋体"/>
                <w:color w:val="auto"/>
                <w:sz w:val="15"/>
                <w:szCs w:val="15"/>
                <w:highlight w:val="none"/>
                <w:lang w:val="en-US" w:eastAsia="zh-CN"/>
              </w:rPr>
              <w:t>2%</w:t>
            </w:r>
            <w:r>
              <w:rPr>
                <w:rFonts w:hint="eastAsia" w:ascii="宋体" w:hAnsi="宋体" w:eastAsia="宋体"/>
                <w:color w:val="auto"/>
                <w:sz w:val="15"/>
                <w:szCs w:val="15"/>
                <w:highlight w:val="none"/>
              </w:rPr>
              <w:t>×（1＋变量系数）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未按照规定将噪声污染防治费用列入工程造价</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违反条款：第四十条第一款</w:t>
            </w:r>
            <w:r>
              <w:rPr>
                <w:rFonts w:hint="eastAsia" w:ascii="宋体" w:hAnsi="宋体" w:eastAsia="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处罚条款：第七十八条第（一）项</w:t>
            </w: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hint="eastAsia"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1.开工时间较长，工地位置处于人口集中区域等情形的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restart"/>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未采取有效措施减少振动、降低噪声</w:t>
            </w:r>
          </w:p>
        </w:tc>
        <w:tc>
          <w:tcPr>
            <w:tcW w:w="2789" w:type="dxa"/>
            <w:vMerge w:val="restart"/>
            <w:shd w:val="clear" w:color="auto" w:fill="auto"/>
            <w:vAlign w:val="center"/>
          </w:tcPr>
          <w:p>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违反条款：第四十条第二款</w:t>
            </w:r>
            <w:r>
              <w:rPr>
                <w:rFonts w:hint="eastAsia" w:ascii="宋体" w:hAnsi="宋体" w:cs="宋体"/>
                <w:color w:val="auto"/>
                <w:kern w:val="0"/>
                <w:sz w:val="15"/>
                <w:szCs w:val="15"/>
                <w:highlight w:val="none"/>
                <w:lang w:eastAsia="zh-CN"/>
              </w:rPr>
              <w:t>；</w:t>
            </w:r>
          </w:p>
          <w:p>
            <w:pPr>
              <w:spacing w:line="232" w:lineRule="exact"/>
              <w:rPr>
                <w:rFonts w:cs="宋体" w:asciiTheme="minorEastAsia" w:hAnsiTheme="minorEastAsia" w:eastAsiaTheme="minorEastAsia"/>
                <w:color w:val="auto"/>
                <w:kern w:val="0"/>
                <w:sz w:val="15"/>
                <w:szCs w:val="15"/>
                <w:highlight w:val="none"/>
              </w:rPr>
            </w:pPr>
            <w:r>
              <w:rPr>
                <w:rFonts w:hint="eastAsia" w:ascii="宋体" w:hAnsi="宋体" w:eastAsia="宋体" w:cs="宋体"/>
                <w:color w:val="auto"/>
                <w:kern w:val="0"/>
                <w:sz w:val="15"/>
                <w:szCs w:val="15"/>
                <w:highlight w:val="none"/>
              </w:rPr>
              <w:t>处罚条款：第七十八条第（二）项</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rPr>
              <w:t>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5000</w:t>
            </w:r>
          </w:p>
        </w:tc>
        <w:tc>
          <w:tcPr>
            <w:tcW w:w="840" w:type="dxa"/>
            <w:shd w:val="clear" w:color="auto" w:fill="auto"/>
            <w:vAlign w:val="center"/>
          </w:tcPr>
          <w:p>
            <w:pPr>
              <w:spacing w:line="232" w:lineRule="exact"/>
              <w:jc w:val="center"/>
              <w:rPr>
                <w:rFonts w:hint="eastAsia" w:ascii="宋体" w:hAnsi="宋体" w:eastAsia="宋体"/>
                <w:color w:val="auto"/>
                <w:sz w:val="15"/>
                <w:szCs w:val="15"/>
                <w:highlight w:val="none"/>
                <w:lang w:val="en-US" w:eastAsia="zh-CN"/>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系数1-4</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hint="eastAsia" w:ascii="宋体" w:hAnsi="宋体" w:eastAsia="宋体"/>
                <w:color w:val="auto"/>
                <w:sz w:val="15"/>
                <w:szCs w:val="15"/>
                <w:highlight w:val="none"/>
                <w:lang w:val="en" w:eastAsia="zh-CN"/>
              </w:rPr>
              <w:t>，</w:t>
            </w:r>
            <w:r>
              <w:rPr>
                <w:rFonts w:hint="eastAsia" w:ascii="宋体" w:hAnsi="宋体" w:eastAsia="宋体"/>
                <w:color w:val="auto"/>
                <w:sz w:val="15"/>
                <w:szCs w:val="15"/>
                <w:highlight w:val="none"/>
              </w:rPr>
              <w:t>系数5-9</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rPr>
              <w:t>罚款数额＝5000×（1＋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1</w:t>
            </w:r>
            <w:r>
              <w:rPr>
                <w:rFonts w:hint="eastAsia" w:ascii="宋体" w:hAnsi="宋体" w:eastAsia="宋体"/>
                <w:color w:val="auto"/>
                <w:sz w:val="15"/>
                <w:szCs w:val="15"/>
                <w:highlight w:val="none"/>
              </w:rPr>
              <w:t>.</w:t>
            </w:r>
            <w:r>
              <w:rPr>
                <w:rFonts w:hint="eastAsia" w:ascii="宋体" w:hAnsi="宋体"/>
                <w:color w:val="auto"/>
                <w:sz w:val="15"/>
                <w:szCs w:val="15"/>
                <w:highlight w:val="none"/>
                <w:lang w:eastAsia="zh-CN"/>
              </w:rPr>
              <w:t>原</w:t>
            </w:r>
            <w:r>
              <w:rPr>
                <w:rFonts w:hint="eastAsia" w:ascii="宋体" w:hAnsi="宋体" w:eastAsia="宋体"/>
                <w:color w:val="auto"/>
                <w:sz w:val="15"/>
                <w:szCs w:val="15"/>
                <w:highlight w:val="none"/>
              </w:rPr>
              <w:t>《北京市环境噪声污染防治办法》中“未把产生噪声的设备、设施布置在远离居住区一侧”案由停止执行，存在</w:t>
            </w:r>
            <w:r>
              <w:rPr>
                <w:rFonts w:hint="eastAsia" w:ascii="宋体" w:hAnsi="宋体"/>
                <w:color w:val="auto"/>
                <w:sz w:val="15"/>
                <w:szCs w:val="15"/>
                <w:highlight w:val="none"/>
                <w:lang w:eastAsia="zh-CN"/>
              </w:rPr>
              <w:t>上述</w:t>
            </w:r>
            <w:r>
              <w:rPr>
                <w:rFonts w:hint="eastAsia" w:ascii="宋体" w:hAnsi="宋体" w:eastAsia="宋体"/>
                <w:color w:val="auto"/>
                <w:sz w:val="15"/>
                <w:szCs w:val="15"/>
                <w:highlight w:val="none"/>
              </w:rPr>
              <w:t>情形的，按照“施工单位未采取有效措施减少振动、降低噪声”</w:t>
            </w:r>
            <w:r>
              <w:rPr>
                <w:rFonts w:hint="eastAsia" w:ascii="宋体" w:hAnsi="宋体" w:eastAsia="宋体"/>
                <w:color w:val="auto"/>
                <w:sz w:val="15"/>
                <w:szCs w:val="15"/>
                <w:highlight w:val="none"/>
                <w:lang w:eastAsia="zh-CN"/>
              </w:rPr>
              <w:t>执行</w:t>
            </w:r>
            <w:r>
              <w:rPr>
                <w:rFonts w:hint="eastAsia" w:ascii="宋体" w:hAnsi="宋体" w:eastAsia="宋体"/>
                <w:color w:val="auto"/>
                <w:sz w:val="15"/>
                <w:szCs w:val="15"/>
                <w:highlight w:val="none"/>
              </w:rPr>
              <w:t>。</w:t>
            </w:r>
          </w:p>
          <w:p>
            <w:pPr>
              <w:spacing w:line="232" w:lineRule="exact"/>
              <w:rPr>
                <w:rFonts w:hint="eastAsia" w:ascii="宋体" w:hAnsi="宋体" w:eastAsia="宋体"/>
                <w:color w:val="auto"/>
                <w:sz w:val="15"/>
                <w:szCs w:val="15"/>
                <w:highlight w:val="none"/>
              </w:rPr>
            </w:pPr>
            <w:r>
              <w:rPr>
                <w:rFonts w:hint="eastAsia" w:ascii="宋体" w:hAnsi="宋体" w:eastAsia="宋体"/>
                <w:color w:val="auto"/>
                <w:sz w:val="15"/>
                <w:szCs w:val="15"/>
                <w:highlight w:val="none"/>
                <w:lang w:val="en-US" w:eastAsia="zh-CN"/>
              </w:rPr>
              <w:t>2.大型建设工程是指：25层以上（含，下同）的房屋建筑工程；高度100米以上的构筑物或建筑物工程；单体建筑面积3万平方米以上的房屋建筑工程；建筑面积10万平方米以上的住宅小区或建筑群体工程单项合同额1亿元以上的房屋建筑工程。</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p>
        </w:tc>
        <w:tc>
          <w:tcPr>
            <w:tcW w:w="1500"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2789" w:type="dxa"/>
            <w:vMerge w:val="continue"/>
            <w:shd w:val="clear" w:color="auto" w:fill="auto"/>
            <w:vAlign w:val="center"/>
          </w:tcPr>
          <w:p>
            <w:pPr>
              <w:spacing w:line="232" w:lineRule="exact"/>
              <w:rPr>
                <w:rFonts w:hint="eastAsia" w:ascii="宋体" w:hAnsi="宋体" w:eastAsia="宋体" w:cs="宋体"/>
                <w:color w:val="auto"/>
                <w:kern w:val="0"/>
                <w:sz w:val="15"/>
                <w:szCs w:val="15"/>
                <w:highlight w:val="none"/>
              </w:rPr>
            </w:pPr>
          </w:p>
        </w:tc>
        <w:tc>
          <w:tcPr>
            <w:tcW w:w="851"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lang w:val="en-US" w:eastAsia="zh-CN"/>
              </w:rPr>
              <w:t>50000（拒不改正）</w:t>
            </w:r>
          </w:p>
        </w:tc>
        <w:tc>
          <w:tcPr>
            <w:tcW w:w="840" w:type="dxa"/>
            <w:shd w:val="clear" w:color="auto" w:fill="auto"/>
            <w:vAlign w:val="center"/>
          </w:tcPr>
          <w:p>
            <w:pPr>
              <w:spacing w:line="232" w:lineRule="exact"/>
              <w:jc w:val="center"/>
              <w:rPr>
                <w:rFonts w:hint="eastAsia" w:ascii="宋体" w:hAnsi="宋体" w:eastAsia="宋体" w:cs="Times New Roman"/>
                <w:color w:val="auto"/>
                <w:kern w:val="2"/>
                <w:sz w:val="15"/>
                <w:szCs w:val="15"/>
                <w:highlight w:val="none"/>
                <w:lang w:val="en-US" w:eastAsia="zh-CN" w:bidi="ar-SA"/>
              </w:rPr>
            </w:pPr>
            <w:r>
              <w:rPr>
                <w:rFonts w:hint="eastAsia" w:ascii="宋体" w:hAnsi="宋体"/>
                <w:color w:val="auto"/>
                <w:sz w:val="15"/>
                <w:szCs w:val="15"/>
                <w:highlight w:val="none"/>
                <w:lang w:val="en-US" w:eastAsia="zh-CN"/>
              </w:rPr>
              <w:t>1</w:t>
            </w:r>
          </w:p>
        </w:tc>
        <w:tc>
          <w:tcPr>
            <w:tcW w:w="2304"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1.大型建设工程，开工时间较长，工地位置处于人口集中区域等情形的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系数1</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2.投诉举报较多，或者</w:t>
            </w:r>
            <w:r>
              <w:rPr>
                <w:rFonts w:hint="eastAsia" w:ascii="宋体" w:hAnsi="宋体"/>
                <w:color w:val="auto"/>
                <w:sz w:val="15"/>
                <w:szCs w:val="15"/>
                <w:highlight w:val="none"/>
                <w:lang w:eastAsia="zh-CN"/>
              </w:rPr>
              <w:t>造成</w:t>
            </w:r>
            <w:r>
              <w:rPr>
                <w:rFonts w:hint="eastAsia" w:ascii="宋体" w:hAnsi="宋体" w:eastAsia="宋体"/>
                <w:color w:val="auto"/>
                <w:sz w:val="15"/>
                <w:szCs w:val="15"/>
                <w:highlight w:val="none"/>
              </w:rPr>
              <w:t>其他社会恶劣影响的</w:t>
            </w:r>
            <w:r>
              <w:rPr>
                <w:rFonts w:ascii="宋体" w:hAnsi="宋体" w:eastAsia="宋体"/>
                <w:color w:val="auto"/>
                <w:sz w:val="15"/>
                <w:szCs w:val="15"/>
                <w:highlight w:val="none"/>
                <w:lang w:val="en"/>
              </w:rPr>
              <w:t>,</w:t>
            </w:r>
            <w:r>
              <w:rPr>
                <w:rFonts w:hint="eastAsia" w:ascii="宋体" w:hAnsi="宋体" w:eastAsia="宋体"/>
                <w:color w:val="auto"/>
                <w:sz w:val="15"/>
                <w:szCs w:val="15"/>
                <w:highlight w:val="none"/>
              </w:rPr>
              <w:t>系数2-3</w:t>
            </w:r>
            <w:r>
              <w:rPr>
                <w:rFonts w:hint="eastAsia" w:ascii="宋体" w:hAnsi="宋体" w:eastAsia="宋体"/>
                <w:color w:val="auto"/>
                <w:sz w:val="15"/>
                <w:szCs w:val="15"/>
                <w:highlight w:val="none"/>
                <w:lang w:val="en"/>
              </w:rPr>
              <w:t>。</w:t>
            </w:r>
          </w:p>
        </w:tc>
        <w:tc>
          <w:tcPr>
            <w:tcW w:w="1785" w:type="dxa"/>
            <w:shd w:val="clear" w:color="auto" w:fill="auto"/>
            <w:vAlign w:val="center"/>
          </w:tcPr>
          <w:p>
            <w:pPr>
              <w:spacing w:line="232" w:lineRule="exact"/>
              <w:rPr>
                <w:rFonts w:hint="eastAsia" w:ascii="宋体" w:hAnsi="宋体" w:eastAsia="宋体" w:cs="Times New Roman"/>
                <w:color w:val="auto"/>
                <w:kern w:val="2"/>
                <w:sz w:val="15"/>
                <w:szCs w:val="15"/>
                <w:highlight w:val="none"/>
                <w:lang w:val="en-US" w:eastAsia="zh-CN" w:bidi="ar-SA"/>
              </w:rPr>
            </w:pPr>
            <w:r>
              <w:rPr>
                <w:rFonts w:hint="eastAsia" w:ascii="宋体" w:hAnsi="宋体" w:eastAsia="宋体"/>
                <w:color w:val="auto"/>
                <w:sz w:val="15"/>
                <w:szCs w:val="15"/>
                <w:highlight w:val="none"/>
              </w:rPr>
              <w:t>罚款数额＝50000×（1＋</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＋变量系数）</w:t>
            </w:r>
          </w:p>
        </w:tc>
        <w:tc>
          <w:tcPr>
            <w:tcW w:w="2385" w:type="dxa"/>
            <w:shd w:val="clear" w:color="auto" w:fill="auto"/>
            <w:vAlign w:val="center"/>
          </w:tcPr>
          <w:p>
            <w:pPr>
              <w:spacing w:line="232" w:lineRule="exact"/>
              <w:rPr>
                <w:rFonts w:hint="eastAsia" w:ascii="宋体" w:hAnsi="宋体" w:eastAsia="宋体" w:cs="宋体"/>
                <w:color w:val="auto"/>
                <w:kern w:val="0"/>
                <w:sz w:val="15"/>
                <w:szCs w:val="15"/>
                <w:highlight w:val="none"/>
                <w:lang w:val="en-US" w:eastAsia="zh-CN" w:bidi="ar-SA"/>
              </w:rPr>
            </w:pPr>
            <w:r>
              <w:rPr>
                <w:rFonts w:hint="eastAsia" w:ascii="宋体" w:hAnsi="宋体" w:eastAsia="宋体"/>
                <w:color w:val="auto"/>
                <w:sz w:val="15"/>
                <w:szCs w:val="15"/>
                <w:highlight w:val="none"/>
              </w:rPr>
              <w:t>《基准》“拒不改正”的情形，不纳入本案由</w:t>
            </w:r>
            <w:r>
              <w:rPr>
                <w:rFonts w:hint="eastAsia" w:ascii="宋体" w:hAnsi="宋体" w:eastAsia="宋体"/>
                <w:color w:val="auto"/>
                <w:sz w:val="15"/>
                <w:szCs w:val="15"/>
                <w:highlight w:val="none"/>
                <w:lang w:eastAsia="zh-CN"/>
              </w:rPr>
              <w:t>常量系数</w:t>
            </w:r>
            <w:r>
              <w:rPr>
                <w:rFonts w:hint="eastAsia" w:ascii="宋体" w:hAnsi="宋体" w:eastAsia="宋体"/>
                <w:color w:val="auto"/>
                <w:sz w:val="15"/>
                <w:szCs w:val="15"/>
                <w:highlight w:val="none"/>
              </w:rPr>
              <w:t>。</w:t>
            </w:r>
          </w:p>
        </w:tc>
        <w:tc>
          <w:tcPr>
            <w:tcW w:w="824" w:type="dxa"/>
            <w:vMerge w:val="continue"/>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31"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26" w:name="_Toc1152737938"/>
            <w:r>
              <w:rPr>
                <w:rFonts w:hint="eastAsia" w:ascii="黑体" w:hAnsi="黑体" w:eastAsia="黑体"/>
                <w:b w:val="0"/>
                <w:color w:val="auto"/>
                <w:sz w:val="36"/>
                <w:szCs w:val="36"/>
                <w:highlight w:val="none"/>
              </w:rPr>
              <w:t>施工现场管理方面</w:t>
            </w:r>
            <w:bookmarkEnd w:id="124"/>
            <w:bookmarkEnd w:id="125"/>
            <w:bookmarkEnd w:id="1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7" w:name="_Toc1377348640"/>
            <w:bookmarkStart w:id="128" w:name="_Toc1669927446"/>
            <w:bookmarkStart w:id="129" w:name="_Toc110851474"/>
            <w:r>
              <w:rPr>
                <w:rFonts w:hint="eastAsia" w:asciiTheme="minorEastAsia" w:hAnsiTheme="minorEastAsia" w:eastAsiaTheme="minorEastAsia"/>
                <w:color w:val="auto"/>
                <w:sz w:val="21"/>
                <w:szCs w:val="21"/>
                <w:highlight w:val="none"/>
              </w:rPr>
              <w:t>《北京市大气污染防治条例》施工现场执法案由16项</w:t>
            </w:r>
            <w:bookmarkEnd w:id="127"/>
            <w:bookmarkEnd w:id="128"/>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2789"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0" w:name="_Toc110851475"/>
            <w:bookmarkStart w:id="131" w:name="_Toc854219027"/>
            <w:bookmarkStart w:id="132" w:name="_Toc1405674276"/>
            <w:r>
              <w:rPr>
                <w:rFonts w:hint="eastAsia" w:asciiTheme="minorEastAsia" w:hAnsiTheme="minorEastAsia" w:eastAsiaTheme="minorEastAsia"/>
                <w:color w:val="auto"/>
                <w:sz w:val="21"/>
                <w:szCs w:val="21"/>
                <w:highlight w:val="none"/>
              </w:rPr>
              <w:t>《北京市建设工程施工现场管理办法》案由13项</w:t>
            </w:r>
            <w:bookmarkEnd w:id="130"/>
            <w:bookmarkEnd w:id="131"/>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5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1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32" w:lineRule="exact"/>
              <w:jc w:val="center"/>
              <w:rPr>
                <w:rFonts w:asciiTheme="minorEastAsia" w:hAnsiTheme="minorEastAsia" w:eastAsiaTheme="minorEastAsia"/>
                <w:color w:val="auto"/>
                <w:sz w:val="15"/>
                <w:szCs w:val="15"/>
                <w:highlight w:val="none"/>
              </w:rPr>
            </w:pP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1785"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6"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33" w:name="_Toc110851476"/>
            <w:bookmarkStart w:id="134" w:name="_Toc871540661"/>
            <w:bookmarkStart w:id="135" w:name="_Toc1256403622"/>
            <w:r>
              <w:rPr>
                <w:rFonts w:hint="eastAsia" w:ascii="黑体" w:hAnsi="黑体" w:eastAsia="黑体"/>
                <w:b w:val="0"/>
                <w:color w:val="auto"/>
                <w:sz w:val="36"/>
                <w:szCs w:val="36"/>
                <w:highlight w:val="none"/>
              </w:rPr>
              <w:t>停车场管理方面</w:t>
            </w:r>
            <w:bookmarkEnd w:id="133"/>
            <w:bookmarkEnd w:id="134"/>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2"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6" w:name="_Toc110851477"/>
            <w:bookmarkStart w:id="137" w:name="_Toc509001082"/>
            <w:bookmarkStart w:id="138" w:name="_Toc939413149"/>
            <w:r>
              <w:rPr>
                <w:rFonts w:hint="eastAsia" w:asciiTheme="minorEastAsia" w:hAnsiTheme="minorEastAsia" w:eastAsiaTheme="minorEastAsia"/>
                <w:color w:val="auto"/>
                <w:sz w:val="21"/>
                <w:szCs w:val="21"/>
                <w:highlight w:val="none"/>
              </w:rPr>
              <w:t>《北京市机动车停车管理办法》案由13项</w:t>
            </w:r>
            <w:bookmarkEnd w:id="136"/>
            <w:bookmarkEnd w:id="137"/>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2789"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304" w:type="dxa"/>
            <w:shd w:val="clear" w:color="auto" w:fill="auto"/>
            <w:vAlign w:val="center"/>
          </w:tcPr>
          <w:p>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1785"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385" w:type="dxa"/>
            <w:shd w:val="clear" w:color="auto" w:fill="auto"/>
            <w:vAlign w:val="center"/>
          </w:tcPr>
          <w:p>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2789"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2789"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w:t>
            </w:r>
            <w:r>
              <w:rPr>
                <w:rFonts w:hint="eastAsia" w:asciiTheme="minorEastAsia" w:hAnsiTheme="minorEastAsia" w:eastAsiaTheme="minorEastAsia"/>
                <w:color w:val="auto"/>
                <w:sz w:val="15"/>
                <w:szCs w:val="15"/>
                <w:highlight w:val="none"/>
                <w:shd w:val="clear" w:fill="FF0000"/>
                <w:lang w:eastAsia="zh-CN"/>
              </w:rPr>
              <w:t>他</w:t>
            </w:r>
            <w:r>
              <w:rPr>
                <w:rFonts w:hint="eastAsia" w:asciiTheme="minorEastAsia" w:hAnsiTheme="minorEastAsia" w:eastAsiaTheme="minorEastAsia"/>
                <w:color w:val="auto"/>
                <w:sz w:val="15"/>
                <w:szCs w:val="15"/>
                <w:highlight w:val="none"/>
              </w:rPr>
              <w:t>经营活动</w:t>
            </w:r>
          </w:p>
        </w:tc>
        <w:tc>
          <w:tcPr>
            <w:tcW w:w="2789"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17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w:t>
            </w:r>
            <w:r>
              <w:rPr>
                <w:rFonts w:hint="eastAsia" w:asciiTheme="minorEastAsia" w:hAnsiTheme="minorEastAsia" w:eastAsiaTheme="minorEastAsia"/>
                <w:color w:val="auto"/>
                <w:sz w:val="15"/>
                <w:szCs w:val="15"/>
                <w:highlight w:val="none"/>
                <w:shd w:val="clear"/>
              </w:rPr>
              <w:t>本市其</w:t>
            </w:r>
            <w:r>
              <w:rPr>
                <w:rFonts w:hint="eastAsia" w:asciiTheme="minorEastAsia" w:hAnsiTheme="minorEastAsia" w:eastAsiaTheme="minorEastAsia"/>
                <w:color w:val="auto"/>
                <w:sz w:val="15"/>
                <w:szCs w:val="15"/>
                <w:highlight w:val="none"/>
                <w:shd w:val="clear"/>
                <w:lang w:eastAsia="zh-CN"/>
              </w:rPr>
              <w:t>他</w:t>
            </w:r>
            <w:r>
              <w:rPr>
                <w:rFonts w:hint="eastAsia" w:asciiTheme="minorEastAsia" w:hAnsiTheme="minorEastAsia" w:eastAsiaTheme="minorEastAsia"/>
                <w:color w:val="auto"/>
                <w:sz w:val="15"/>
                <w:szCs w:val="15"/>
                <w:highlight w:val="none"/>
                <w:shd w:val="clear"/>
              </w:rPr>
              <w:t>相关停车管理服务规范和标准</w:t>
            </w:r>
          </w:p>
        </w:tc>
        <w:tc>
          <w:tcPr>
            <w:tcW w:w="2789"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2789"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10个及以上的，系数9</w:t>
            </w:r>
            <w:r>
              <w:rPr>
                <w:rFonts w:hint="eastAsia" w:cs="宋体" w:asciiTheme="minorEastAsia" w:hAnsiTheme="minorEastAsia" w:eastAsiaTheme="minorEastAsia"/>
                <w:color w:val="auto"/>
                <w:kern w:val="0"/>
                <w:sz w:val="15"/>
                <w:szCs w:val="15"/>
                <w:highlight w:val="none"/>
              </w:rPr>
              <w:t>；3.存在其它严重影响通行和市容秩序、致使公共安全等事件的，系数9。</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9" w:name="_Toc110851478"/>
            <w:bookmarkStart w:id="140" w:name="_Toc865250467"/>
            <w:bookmarkStart w:id="141" w:name="_Toc1557995543"/>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9"/>
            <w:bookmarkEnd w:id="140"/>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4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4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2" w:name="_Toc67594986"/>
            <w:bookmarkStart w:id="143" w:name="_Toc110851479"/>
            <w:bookmarkStart w:id="144" w:name="_Toc1046708354"/>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2"/>
            <w:bookmarkEnd w:id="143"/>
            <w:bookmarkEnd w:id="1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2789"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auto"/>
                <w:sz w:val="15"/>
                <w:szCs w:val="15"/>
                <w:highlight w:val="none"/>
              </w:rPr>
            </w:pP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c>
          <w:tcPr>
            <w:tcW w:w="824"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385"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385"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c>
          <w:tcPr>
            <w:tcW w:w="824"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3"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45" w:name="_Toc2072679585"/>
            <w:bookmarkStart w:id="146" w:name="_Toc516849734"/>
            <w:bookmarkStart w:id="147" w:name="_Toc110851480"/>
            <w:r>
              <w:rPr>
                <w:rFonts w:hint="eastAsia" w:ascii="黑体" w:hAnsi="黑体" w:eastAsia="黑体"/>
                <w:b w:val="0"/>
                <w:color w:val="auto"/>
                <w:sz w:val="36"/>
                <w:szCs w:val="36"/>
                <w:highlight w:val="none"/>
              </w:rPr>
              <w:t>交通运输管理方面</w:t>
            </w:r>
            <w:bookmarkEnd w:id="145"/>
            <w:bookmarkEnd w:id="146"/>
            <w:bookmarkEnd w:id="1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8" w:name="_Toc1749370373"/>
            <w:bookmarkStart w:id="149" w:name="_Toc1833599949"/>
            <w:bookmarkStart w:id="150" w:name="_Toc110851481"/>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8"/>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shd w:val="clear" w:color="auto" w:fill="auto"/>
            <w:vAlign w:val="center"/>
          </w:tcPr>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街道</w:t>
            </w:r>
          </w:p>
          <w:p>
            <w:pPr>
              <w:spacing w:line="204" w:lineRule="exact"/>
              <w:jc w:val="center"/>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3"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1" w:name="_Toc110851482"/>
            <w:bookmarkStart w:id="152" w:name="_Toc1828970082"/>
            <w:bookmarkStart w:id="153" w:name="_Toc121789162"/>
            <w:r>
              <w:rPr>
                <w:rFonts w:hint="eastAsia" w:asciiTheme="minorEastAsia" w:hAnsiTheme="minorEastAsia" w:eastAsiaTheme="minorEastAsia"/>
                <w:color w:val="auto"/>
                <w:sz w:val="21"/>
                <w:szCs w:val="21"/>
                <w:highlight w:val="none"/>
              </w:rPr>
              <w:t>《北京市查处非法客运若干规定》案由2项</w:t>
            </w:r>
            <w:bookmarkEnd w:id="151"/>
            <w:bookmarkEnd w:id="152"/>
            <w:bookmarkEnd w:id="1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1785"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17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385"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4"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54" w:name="_Toc850008120"/>
            <w:bookmarkStart w:id="155" w:name="_Toc110851483"/>
            <w:bookmarkStart w:id="156" w:name="_Toc360901343"/>
            <w:r>
              <w:rPr>
                <w:rFonts w:hint="eastAsia" w:ascii="黑体" w:hAnsi="黑体" w:eastAsia="黑体"/>
                <w:b w:val="0"/>
                <w:color w:val="auto"/>
                <w:sz w:val="36"/>
                <w:szCs w:val="36"/>
                <w:highlight w:val="none"/>
              </w:rPr>
              <w:t>市场监督管理（流动无照经营）方面</w:t>
            </w:r>
            <w:bookmarkEnd w:id="154"/>
            <w:bookmarkEnd w:id="155"/>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76"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7" w:name="_Toc1085677499"/>
            <w:bookmarkStart w:id="158" w:name="_Toc110851484"/>
            <w:bookmarkStart w:id="159" w:name="_Toc704954681"/>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7"/>
            <w:bookmarkEnd w:id="15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75"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17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72"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2789"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1785" w:type="dxa"/>
            <w:shd w:val="clear" w:color="auto" w:fill="auto"/>
            <w:vAlign w:val="center"/>
          </w:tcPr>
          <w:p>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385"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p>
        </w:tc>
        <w:tc>
          <w:tcPr>
            <w:tcW w:w="824"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04"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2789"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304"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1785"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385" w:type="dxa"/>
            <w:shd w:val="clear" w:color="auto" w:fill="auto"/>
            <w:vAlign w:val="center"/>
          </w:tcPr>
          <w:p>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pPr>
              <w:spacing w:line="232" w:lineRule="exact"/>
              <w:contextualSpacing/>
              <w:rPr>
                <w:rFonts w:hint="eastAsia" w:asciiTheme="minorEastAsia" w:hAnsiTheme="minorEastAsia" w:eastAsiaTheme="minorEastAsia"/>
                <w:strike w:val="0"/>
                <w:dstrike w:val="0"/>
                <w:color w:val="auto"/>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atLeast"/>
          <w:jc w:val="center"/>
        </w:trPr>
        <w:tc>
          <w:tcPr>
            <w:tcW w:w="14218" w:type="dxa"/>
            <w:gridSpan w:val="9"/>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60" w:name="_Toc1199414215"/>
            <w:bookmarkStart w:id="161" w:name="_Toc1160691890"/>
            <w:bookmarkStart w:id="162" w:name="_Toc110851485"/>
            <w:r>
              <w:rPr>
                <w:rFonts w:hint="eastAsia" w:ascii="黑体" w:hAnsi="黑体" w:eastAsia="黑体"/>
                <w:b w:val="0"/>
                <w:color w:val="auto"/>
                <w:sz w:val="36"/>
                <w:szCs w:val="36"/>
                <w:highlight w:val="none"/>
              </w:rPr>
              <w:t>城</w:t>
            </w:r>
            <w:r>
              <w:rPr>
                <w:rFonts w:hint="eastAsia" w:ascii="黑体" w:hAnsi="黑体" w:eastAsia="黑体"/>
                <w:b w:val="0"/>
                <w:color w:val="auto"/>
                <w:sz w:val="36"/>
                <w:szCs w:val="36"/>
                <w:highlight w:val="none"/>
                <w:lang w:eastAsia="zh-CN"/>
              </w:rPr>
              <w:t>乡</w:t>
            </w:r>
            <w:r>
              <w:rPr>
                <w:rFonts w:hint="eastAsia" w:ascii="黑体" w:hAnsi="黑体" w:eastAsia="黑体"/>
                <w:b w:val="0"/>
                <w:color w:val="auto"/>
                <w:sz w:val="36"/>
                <w:szCs w:val="36"/>
                <w:highlight w:val="none"/>
              </w:rPr>
              <w:t>规划管理方面</w:t>
            </w:r>
            <w:bookmarkEnd w:id="160"/>
            <w:bookmarkEnd w:id="161"/>
            <w:bookmarkEnd w:id="1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3" w:name="_Toc110851486"/>
            <w:bookmarkStart w:id="164" w:name="_Toc187041735"/>
            <w:bookmarkStart w:id="165" w:name="_Toc811159149"/>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3"/>
            <w:bookmarkEnd w:id="164"/>
            <w:bookmarkEnd w:id="1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2385" w:type="dxa"/>
            <w:tcBorders>
              <w:bottom w:val="single" w:color="auto" w:sz="4" w:space="0"/>
            </w:tcBorders>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tcBorders>
              <w:bottom w:val="single" w:color="auto" w:sz="4" w:space="0"/>
            </w:tcBorders>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4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2789"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1785"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2"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66" w:name="_Toc453168720"/>
            <w:bookmarkStart w:id="167" w:name="_Toc110851487"/>
            <w:bookmarkStart w:id="168" w:name="_Toc250975437"/>
            <w:r>
              <w:rPr>
                <w:rFonts w:hint="eastAsia" w:ascii="黑体" w:hAnsi="黑体" w:eastAsia="黑体"/>
                <w:b w:val="0"/>
                <w:color w:val="auto"/>
                <w:sz w:val="36"/>
                <w:szCs w:val="36"/>
                <w:highlight w:val="none"/>
              </w:rPr>
              <w:t>旅游管理（黑导游）方面</w:t>
            </w:r>
            <w:bookmarkEnd w:id="166"/>
            <w:bookmarkEnd w:id="167"/>
            <w:bookmarkEnd w:id="1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5"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9" w:name="_Toc110851488"/>
            <w:bookmarkStart w:id="170" w:name="_Toc2018693019"/>
            <w:bookmarkStart w:id="171" w:name="_Toc363033362"/>
            <w:r>
              <w:rPr>
                <w:rFonts w:hint="eastAsia" w:asciiTheme="minorEastAsia" w:hAnsiTheme="minorEastAsia" w:eastAsiaTheme="minorEastAsia"/>
                <w:color w:val="auto"/>
                <w:sz w:val="21"/>
                <w:szCs w:val="21"/>
                <w:highlight w:val="none"/>
              </w:rPr>
              <w:t>《中华人民共和国旅游法》案由1项</w:t>
            </w:r>
            <w:bookmarkEnd w:id="169"/>
            <w:bookmarkEnd w:id="170"/>
            <w:bookmarkEnd w:id="1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2789"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1785" w:type="dxa"/>
            <w:shd w:val="clear" w:color="auto" w:fill="auto"/>
            <w:vAlign w:val="center"/>
          </w:tcPr>
          <w:p>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5" w:hRule="atLeast"/>
          <w:jc w:val="center"/>
        </w:trPr>
        <w:tc>
          <w:tcPr>
            <w:tcW w:w="14218" w:type="dxa"/>
            <w:gridSpan w:val="9"/>
            <w:shd w:val="clear" w:color="auto" w:fill="auto"/>
            <w:vAlign w:val="center"/>
          </w:tcPr>
          <w:p>
            <w:pPr>
              <w:pStyle w:val="2"/>
              <w:keepNext w:val="0"/>
              <w:keepLines w:val="0"/>
              <w:rPr>
                <w:rFonts w:ascii="黑体" w:hAnsi="黑体" w:eastAsia="黑体"/>
                <w:b w:val="0"/>
                <w:color w:val="auto"/>
                <w:sz w:val="36"/>
                <w:szCs w:val="36"/>
                <w:highlight w:val="none"/>
              </w:rPr>
            </w:pPr>
            <w:bookmarkStart w:id="172" w:name="_Toc8089072"/>
            <w:bookmarkStart w:id="173" w:name="_Toc110851489"/>
            <w:bookmarkStart w:id="174" w:name="_Toc2122998501"/>
            <w:r>
              <w:rPr>
                <w:rFonts w:hint="eastAsia" w:ascii="黑体" w:hAnsi="黑体" w:eastAsia="黑体"/>
                <w:b w:val="0"/>
                <w:color w:val="auto"/>
                <w:sz w:val="36"/>
                <w:szCs w:val="36"/>
                <w:highlight w:val="none"/>
              </w:rPr>
              <w:t>食品安全管理方面</w:t>
            </w:r>
            <w:bookmarkEnd w:id="172"/>
            <w:bookmarkEnd w:id="173"/>
            <w:bookmarkEnd w:id="1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7" w:hRule="atLeast"/>
          <w:jc w:val="center"/>
        </w:trPr>
        <w:tc>
          <w:tcPr>
            <w:tcW w:w="14218" w:type="dxa"/>
            <w:gridSpan w:val="9"/>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5" w:name="_Toc347100741"/>
            <w:bookmarkStart w:id="176" w:name="_Toc948913247"/>
            <w:bookmarkStart w:id="177" w:name="_Toc110851490"/>
            <w:r>
              <w:rPr>
                <w:rFonts w:hint="eastAsia" w:asciiTheme="minorEastAsia" w:hAnsiTheme="minorEastAsia" w:eastAsiaTheme="minorEastAsia"/>
                <w:color w:val="auto"/>
                <w:sz w:val="21"/>
                <w:szCs w:val="21"/>
                <w:highlight w:val="none"/>
              </w:rPr>
              <w:t>《北京市小规模食品生产经营管理规定》案由23项</w:t>
            </w:r>
            <w:bookmarkEnd w:id="175"/>
            <w:bookmarkEnd w:id="176"/>
            <w:bookmarkEnd w:id="1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1785"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2789"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2789"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2789"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2789"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17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2789"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3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pStyle w:val="2"/>
              <w:keepNext w:val="0"/>
              <w:keepLines w:val="0"/>
              <w:rPr>
                <w:rFonts w:ascii="黑体" w:hAnsi="黑体" w:eastAsia="黑体"/>
                <w:b w:val="0"/>
                <w:color w:val="auto"/>
                <w:sz w:val="24"/>
                <w:szCs w:val="24"/>
                <w:highlight w:val="none"/>
              </w:rPr>
            </w:pPr>
            <w:bookmarkStart w:id="178" w:name="_Toc1834866177"/>
            <w:bookmarkStart w:id="179" w:name="_Toc41635676"/>
            <w:bookmarkStart w:id="180" w:name="_Toc110851491"/>
            <w:r>
              <w:rPr>
                <w:rFonts w:hint="eastAsia" w:ascii="黑体" w:hAnsi="黑体" w:eastAsia="黑体"/>
                <w:b w:val="0"/>
                <w:color w:val="auto"/>
                <w:sz w:val="36"/>
                <w:szCs w:val="36"/>
                <w:highlight w:val="none"/>
              </w:rPr>
              <w:t>能源运行管理方面</w:t>
            </w:r>
            <w:bookmarkEnd w:id="178"/>
            <w:bookmarkEnd w:id="179"/>
            <w:bookmarkEnd w:id="1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390" w:hRule="atLeast"/>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1" w:name="_Toc1482088652"/>
            <w:bookmarkStart w:id="182" w:name="_Toc110851492"/>
            <w:bookmarkStart w:id="183" w:name="_Toc1887328448"/>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1"/>
            <w:bookmarkEnd w:id="182"/>
            <w:bookmarkEnd w:id="1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966"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2789"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17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065"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2789" w:type="dxa"/>
            <w:shd w:val="clear" w:color="auto" w:fill="FFFFFF"/>
            <w:vAlign w:val="center"/>
          </w:tcPr>
          <w:p>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1785"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街道</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423" w:hRule="atLeast"/>
          <w:jc w:val="center"/>
        </w:trPr>
        <w:tc>
          <w:tcPr>
            <w:tcW w:w="14218" w:type="dxa"/>
            <w:gridSpan w:val="9"/>
            <w:tcBorders>
              <w:bottom w:val="single" w:color="auto" w:sz="4" w:space="0"/>
            </w:tcBorders>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218" w:type="dxa"/>
            <w:gridSpan w:val="9"/>
            <w:tcBorders>
              <w:bottom w:val="single" w:color="auto" w:sz="4" w:space="0"/>
            </w:tcBorders>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4" w:name="_Toc1932982768"/>
            <w:bookmarkStart w:id="185" w:name="_Toc2128130996"/>
            <w:bookmarkStart w:id="186" w:name="_Toc110851493"/>
            <w:r>
              <w:rPr>
                <w:rFonts w:hint="eastAsia" w:asciiTheme="minorEastAsia" w:hAnsiTheme="minorEastAsia" w:eastAsiaTheme="minorEastAsia"/>
                <w:color w:val="auto"/>
                <w:sz w:val="21"/>
                <w:szCs w:val="21"/>
                <w:highlight w:val="none"/>
              </w:rPr>
              <w:t>《中华人民共和国可再生能源法》案由2项</w:t>
            </w:r>
            <w:bookmarkEnd w:id="184"/>
            <w:bookmarkEnd w:id="185"/>
            <w:bookmarkEnd w:id="1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92"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993"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2789"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326" w:hRule="atLeast"/>
          <w:jc w:val="center"/>
        </w:trPr>
        <w:tc>
          <w:tcPr>
            <w:tcW w:w="14218" w:type="dxa"/>
            <w:gridSpan w:val="9"/>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358"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7" w:name="_Toc2142516953"/>
            <w:bookmarkStart w:id="188" w:name="_Toc110851494"/>
            <w:bookmarkStart w:id="189" w:name="_Toc784521422"/>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7"/>
            <w:bookmarkEnd w:id="188"/>
            <w:bookmarkEnd w:id="1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17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546"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4"/>
            <w:shd w:val="clear" w:color="auto" w:fill="FFFFFF"/>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1.使用1台（套）应当淘汰的危及生产安全的设备或者1种工艺逾期未改正的，处5万元以上10万元以下的罚款，对其直接负责的主管人员和其他直接责任人员处1万元以上2万元以下的罚款；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2.使用2台（套）应当淘汰的危及生产安全的设备或者2种工艺逾期未改正的，处10万元以上15万元以下的罚款，对其直接负责的主管人员和其他直接责任人员处1万元以上2万元以下的罚款；</w:t>
            </w:r>
          </w:p>
          <w:p>
            <w:pPr>
              <w:autoSpaceDE w:val="0"/>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3.使用3台（套）以上应当淘汰的危及生产安全的设备或者3种以上工艺逾期未改正的，处15万元以上20万元以下的罚款，对其直接负责的主管人员和其他直接责任人员处1万元以上2万元以下的罚款。</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4.逾期未改正，经责令仍拒不改正的，可予以责令停产停业整顿。</w:t>
            </w:r>
          </w:p>
        </w:tc>
        <w:tc>
          <w:tcPr>
            <w:tcW w:w="2385"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2789"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17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79"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c>
          <w:tcPr>
            <w:tcW w:w="824"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3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2789"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304"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1785"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385"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w:t>
            </w:r>
            <w:r>
              <w:rPr>
                <w:rFonts w:hint="eastAsia" w:asciiTheme="minorEastAsia" w:hAnsiTheme="minorEastAsia" w:eastAsiaTheme="minorEastAsia"/>
                <w:color w:val="FF0000"/>
                <w:sz w:val="15"/>
                <w:szCs w:val="15"/>
                <w:highlight w:val="none"/>
              </w:rPr>
              <w:t>第</w:t>
            </w:r>
            <w:r>
              <w:rPr>
                <w:rFonts w:hint="eastAsia" w:asciiTheme="minorEastAsia" w:hAnsiTheme="minorEastAsia" w:eastAsiaTheme="minorEastAsia"/>
                <w:color w:val="FF0000"/>
                <w:sz w:val="15"/>
                <w:szCs w:val="15"/>
                <w:highlight w:val="none"/>
                <w:lang w:eastAsia="zh-CN"/>
              </w:rPr>
              <w:t>十九</w:t>
            </w:r>
            <w:r>
              <w:rPr>
                <w:rFonts w:hint="eastAsia" w:asciiTheme="minorEastAsia" w:hAnsiTheme="minorEastAsia" w:eastAsiaTheme="minorEastAsia"/>
                <w:color w:val="FF0000"/>
                <w:sz w:val="15"/>
                <w:szCs w:val="15"/>
                <w:highlight w:val="none"/>
              </w:rPr>
              <w:t>条</w:t>
            </w:r>
            <w:r>
              <w:rPr>
                <w:rFonts w:hint="eastAsia" w:asciiTheme="minorEastAsia" w:hAnsiTheme="minorEastAsia" w:eastAsiaTheme="minorEastAsia"/>
                <w:color w:val="auto"/>
                <w:sz w:val="15"/>
                <w:szCs w:val="15"/>
                <w:highlight w:val="none"/>
              </w:rPr>
              <w:t>相关规定。</w:t>
            </w:r>
          </w:p>
        </w:tc>
        <w:tc>
          <w:tcPr>
            <w:tcW w:w="824"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17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89" w:type="dxa"/>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304"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1785"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385" w:type="dxa"/>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412" w:hRule="atLeast"/>
          <w:jc w:val="center"/>
        </w:trPr>
        <w:tc>
          <w:tcPr>
            <w:tcW w:w="14218" w:type="dxa"/>
            <w:gridSpan w:val="9"/>
            <w:shd w:val="clear" w:color="auto" w:fill="FFFFFF"/>
            <w:vAlign w:val="center"/>
          </w:tcPr>
          <w:p>
            <w:pPr>
              <w:pStyle w:val="3"/>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90" w:name="_Toc1256520048"/>
            <w:bookmarkStart w:id="191" w:name="_Toc110851495"/>
            <w:bookmarkStart w:id="192" w:name="_Toc409668775"/>
            <w:r>
              <w:rPr>
                <w:rFonts w:hint="eastAsia" w:asciiTheme="minorEastAsia" w:hAnsiTheme="minorEastAsia" w:eastAsiaTheme="minorEastAsia"/>
                <w:color w:val="auto"/>
                <w:sz w:val="21"/>
                <w:szCs w:val="21"/>
                <w:highlight w:val="none"/>
              </w:rPr>
              <w:t>《电力设施保护条例》《电力设施保护条例实施细则》案由5项</w:t>
            </w:r>
            <w:bookmarkEnd w:id="190"/>
            <w:bookmarkEnd w:id="191"/>
            <w:bookmarkEnd w:id="1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2789"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pStyle w:val="22"/>
              <w:ind w:left="0" w:leftChars="0" w:firstLine="0" w:firstLineChars="0"/>
              <w:rPr>
                <w:color w:val="auto"/>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2789"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1785"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2789"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c>
          <w:tcPr>
            <w:tcW w:w="824"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2789"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304"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1785"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385"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tcBorders>
              <w:bottom w:val="single" w:color="auto" w:sz="4" w:space="0"/>
            </w:tcBorders>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街道</w:t>
            </w:r>
          </w:p>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674" w:hRule="atLeast"/>
          <w:jc w:val="center"/>
        </w:trPr>
        <w:tc>
          <w:tcPr>
            <w:tcW w:w="14218" w:type="dxa"/>
            <w:gridSpan w:val="9"/>
            <w:tcBorders>
              <w:bottom w:val="single" w:color="auto" w:sz="4" w:space="0"/>
            </w:tcBorders>
            <w:shd w:val="clear" w:color="auto" w:fill="FFFFFF"/>
            <w:vAlign w:val="center"/>
          </w:tcPr>
          <w:p>
            <w:pPr>
              <w:pStyle w:val="3"/>
              <w:bidi w:val="0"/>
              <w:jc w:val="center"/>
              <w:rPr>
                <w:rFonts w:hint="default"/>
                <w:lang w:val="en-US" w:eastAsia="zh-CN"/>
              </w:rPr>
            </w:pPr>
            <w:bookmarkStart w:id="193" w:name="_Toc1265530909"/>
            <w:r>
              <w:rPr>
                <w:rFonts w:hint="eastAsia"/>
                <w:sz w:val="21"/>
                <w:szCs w:val="21"/>
                <w:lang w:val="en-US" w:eastAsia="zh-CN"/>
              </w:rPr>
              <w:t>《北京市优化营商环境条例》案由1项</w:t>
            </w:r>
            <w:bookmarkEnd w:id="1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pStyle w:val="8"/>
              <w:jc w:val="center"/>
              <w:rPr>
                <w:rFonts w:hint="eastAsia" w:eastAsia="仿宋_GB2312"/>
                <w:sz w:val="15"/>
                <w:szCs w:val="15"/>
                <w:lang w:val="en-US" w:eastAsia="zh-CN"/>
              </w:rPr>
            </w:pPr>
            <w:r>
              <w:rPr>
                <w:rFonts w:hint="eastAsia"/>
                <w:sz w:val="15"/>
                <w:szCs w:val="15"/>
                <w:lang w:val="en-US" w:eastAsia="zh-CN"/>
              </w:rPr>
              <w:t>1</w:t>
            </w:r>
          </w:p>
        </w:tc>
        <w:tc>
          <w:tcPr>
            <w:tcW w:w="1500"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color w:val="auto"/>
                <w:sz w:val="15"/>
                <w:szCs w:val="15"/>
                <w:highlight w:val="none"/>
              </w:rPr>
              <w:t>供电企业年供电可靠率低于国家有关规定</w:t>
            </w:r>
          </w:p>
        </w:tc>
        <w:tc>
          <w:tcPr>
            <w:tcW w:w="2789" w:type="dxa"/>
            <w:tcBorders>
              <w:bottom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15"/>
                <w:szCs w:val="15"/>
                <w:highlight w:val="none"/>
              </w:rPr>
            </w:pPr>
            <w:r>
              <w:rPr>
                <w:rFonts w:hint="eastAsia" w:asciiTheme="minorEastAsia" w:hAnsiTheme="minorEastAsia" w:eastAsiaTheme="minorEastAsia" w:cstheme="minorEastAsia"/>
                <w:i w:val="0"/>
                <w:iCs w:val="0"/>
                <w:color w:val="000000"/>
                <w:kern w:val="0"/>
                <w:sz w:val="15"/>
                <w:szCs w:val="15"/>
                <w:u w:val="none"/>
                <w:lang w:val="en-US" w:eastAsia="zh-CN" w:bidi="ar"/>
              </w:rPr>
              <w:t>违反</w:t>
            </w:r>
            <w:r>
              <w:rPr>
                <w:rStyle w:val="62"/>
                <w:rFonts w:hint="eastAsia" w:asciiTheme="minorEastAsia" w:hAnsiTheme="minorEastAsia" w:eastAsiaTheme="minorEastAsia" w:cstheme="minorEastAsia"/>
                <w:sz w:val="15"/>
                <w:szCs w:val="15"/>
                <w:lang w:val="en-US" w:eastAsia="zh-CN" w:bidi="ar"/>
              </w:rPr>
              <w:t>条款、处罚条款：第四十七条 供电企业应当保障供电设施的正常、稳定运行，确保供电质量符合国家规定。市城市管理部门应当加强对供电企业年供电可靠率的监督，对年供电可靠率低于国家规定的，责令改正；拒不改正的，处五万元以上五十万元以下罚款。</w:t>
            </w:r>
          </w:p>
        </w:tc>
        <w:tc>
          <w:tcPr>
            <w:tcW w:w="5780" w:type="dxa"/>
            <w:gridSpan w:val="4"/>
            <w:tcBorders>
              <w:bottom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lang w:eastAsia="zh-CN"/>
              </w:rPr>
            </w:pPr>
            <w:r>
              <w:rPr>
                <w:rFonts w:hint="eastAsia" w:asciiTheme="majorEastAsia" w:hAnsiTheme="majorEastAsia" w:eastAsiaTheme="majorEastAsia" w:cstheme="majorEastAsia"/>
                <w:sz w:val="15"/>
                <w:szCs w:val="15"/>
                <w:lang w:eastAsia="zh-CN"/>
              </w:rPr>
              <w:t>《北京市城市管理委员会关于修订</w:t>
            </w:r>
            <w:r>
              <w:rPr>
                <w:rFonts w:hint="default" w:asciiTheme="majorEastAsia" w:hAnsiTheme="majorEastAsia" w:eastAsiaTheme="majorEastAsia" w:cstheme="majorEastAsia"/>
                <w:sz w:val="15"/>
                <w:szCs w:val="15"/>
                <w:lang w:val="en-US" w:eastAsia="zh-CN"/>
              </w:rPr>
              <w:t>&lt;</w:t>
            </w:r>
            <w:r>
              <w:rPr>
                <w:rFonts w:hint="eastAsia" w:asciiTheme="majorEastAsia" w:hAnsiTheme="majorEastAsia" w:eastAsiaTheme="majorEastAsia" w:cstheme="majorEastAsia"/>
                <w:sz w:val="15"/>
                <w:szCs w:val="15"/>
                <w:lang w:eastAsia="zh-CN"/>
              </w:rPr>
              <w:t>北京电网供电可靠性管制工作细则（试行）</w:t>
            </w:r>
            <w:r>
              <w:rPr>
                <w:rFonts w:hint="default" w:asciiTheme="majorEastAsia" w:hAnsiTheme="majorEastAsia" w:eastAsiaTheme="majorEastAsia" w:cstheme="majorEastAsia"/>
                <w:sz w:val="15"/>
                <w:szCs w:val="15"/>
                <w:lang w:val="en-US" w:eastAsia="zh-CN"/>
              </w:rPr>
              <w:t>&gt;</w:t>
            </w:r>
            <w:r>
              <w:rPr>
                <w:rFonts w:hint="eastAsia" w:asciiTheme="majorEastAsia" w:hAnsiTheme="majorEastAsia" w:eastAsiaTheme="majorEastAsia" w:cstheme="majorEastAsia"/>
                <w:sz w:val="15"/>
                <w:szCs w:val="15"/>
                <w:lang w:eastAsia="zh-CN"/>
              </w:rPr>
              <w:t>的通知》</w:t>
            </w:r>
            <w:r>
              <w:rPr>
                <w:rFonts w:hint="default" w:asciiTheme="majorEastAsia" w:hAnsiTheme="majorEastAsia" w:eastAsiaTheme="majorEastAsia" w:cstheme="majorEastAsia"/>
                <w:sz w:val="15"/>
                <w:szCs w:val="15"/>
                <w:lang w:val="en-US" w:eastAsia="zh-CN"/>
              </w:rPr>
              <w:t xml:space="preserve">  </w:t>
            </w:r>
            <w:r>
              <w:rPr>
                <w:rFonts w:hint="eastAsia" w:asciiTheme="majorEastAsia" w:hAnsiTheme="majorEastAsia" w:eastAsiaTheme="majorEastAsia" w:cstheme="majorEastAsia"/>
                <w:sz w:val="15"/>
                <w:szCs w:val="15"/>
              </w:rPr>
              <w:t>城市电网年供电可靠率（ASAI）</w:t>
            </w:r>
            <w:r>
              <w:rPr>
                <w:rFonts w:hint="eastAsia" w:asciiTheme="majorEastAsia" w:hAnsiTheme="majorEastAsia" w:eastAsiaTheme="majorEastAsia" w:cstheme="majorEastAsia"/>
                <w:sz w:val="15"/>
                <w:szCs w:val="15"/>
                <w:lang w:eastAsia="zh-CN"/>
              </w:rPr>
              <w:t>应</w:t>
            </w:r>
            <w:r>
              <w:rPr>
                <w:rFonts w:hint="eastAsia" w:asciiTheme="majorEastAsia" w:hAnsiTheme="majorEastAsia" w:eastAsiaTheme="majorEastAsia" w:cstheme="majorEastAsia"/>
                <w:sz w:val="15"/>
                <w:szCs w:val="15"/>
              </w:rPr>
              <w:t>高于99%（含99%），且较上年变化率在-0.002至0.002个百分点之间（含）</w:t>
            </w:r>
            <w:r>
              <w:rPr>
                <w:rFonts w:hint="eastAsia" w:asciiTheme="majorEastAsia" w:hAnsiTheme="majorEastAsia" w:eastAsiaTheme="majorEastAsia" w:cstheme="majorEastAsia"/>
                <w:sz w:val="15"/>
                <w:szCs w:val="15"/>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1.</w:t>
            </w:r>
            <w:r>
              <w:rPr>
                <w:rFonts w:hint="eastAsia" w:asciiTheme="majorEastAsia" w:hAnsiTheme="majorEastAsia" w:eastAsiaTheme="majorEastAsia" w:cstheme="majorEastAsia"/>
                <w:sz w:val="15"/>
                <w:szCs w:val="15"/>
              </w:rPr>
              <w:t>城市电网年供电可靠率（ASAI）低于上年0.002至0.004个百分点（含0.004），处罚5万元。</w:t>
            </w:r>
          </w:p>
          <w:p>
            <w:pPr>
              <w:keepNext w:val="0"/>
              <w:keepLines w:val="0"/>
              <w:pageBreakBefore w:val="0"/>
              <w:widowControl/>
              <w:kinsoku/>
              <w:wordWrap/>
              <w:overflowPunct/>
              <w:topLinePunct w:val="0"/>
              <w:autoSpaceDE/>
              <w:autoSpaceDN/>
              <w:bidi w:val="0"/>
              <w:adjustRightInd/>
              <w:snapToGrid/>
              <w:spacing w:beforeAutospacing="0" w:afterAutospacing="0" w:line="0" w:lineRule="atLeast"/>
              <w:ind w:left="0" w:leftChars="0" w:right="0" w:rightChars="0" w:firstLine="300" w:firstLineChars="200"/>
              <w:textAlignment w:val="auto"/>
              <w:outlineLvl w:val="9"/>
              <w:rPr>
                <w:rFonts w:hint="eastAsia" w:asciiTheme="majorEastAsia" w:hAnsiTheme="majorEastAsia" w:eastAsiaTheme="majorEastAsia" w:cstheme="majorEastAsia"/>
                <w:sz w:val="15"/>
                <w:szCs w:val="15"/>
              </w:rPr>
            </w:pPr>
            <w:r>
              <w:rPr>
                <w:rFonts w:hint="eastAsia" w:asciiTheme="majorEastAsia" w:hAnsiTheme="majorEastAsia" w:eastAsiaTheme="majorEastAsia" w:cstheme="majorEastAsia"/>
                <w:sz w:val="15"/>
                <w:szCs w:val="15"/>
                <w:lang w:val="en-US" w:eastAsia="zh-CN"/>
              </w:rPr>
              <w:t>2.</w:t>
            </w:r>
            <w:r>
              <w:rPr>
                <w:rFonts w:hint="eastAsia" w:asciiTheme="majorEastAsia" w:hAnsiTheme="majorEastAsia" w:eastAsiaTheme="majorEastAsia" w:cstheme="majorEastAsia"/>
                <w:sz w:val="15"/>
                <w:szCs w:val="15"/>
              </w:rPr>
              <w:t>城市电网年供电可靠率（ASAI）低于上年0.004至0.006个百分点（含0.006），处罚20万元。</w:t>
            </w:r>
          </w:p>
          <w:p>
            <w:pPr>
              <w:spacing w:line="232" w:lineRule="exact"/>
              <w:ind w:firstLine="300" w:firstLineChars="200"/>
              <w:rPr>
                <w:rFonts w:hint="eastAsia" w:asciiTheme="minorEastAsia" w:hAnsiTheme="minorEastAsia" w:eastAsiaTheme="minorEastAsia"/>
                <w:color w:val="auto"/>
                <w:sz w:val="15"/>
                <w:szCs w:val="15"/>
                <w:highlight w:val="none"/>
              </w:rPr>
            </w:pPr>
            <w:r>
              <w:rPr>
                <w:rFonts w:hint="eastAsia" w:asciiTheme="majorEastAsia" w:hAnsiTheme="majorEastAsia" w:eastAsiaTheme="majorEastAsia" w:cstheme="majorEastAsia"/>
                <w:sz w:val="15"/>
                <w:szCs w:val="15"/>
                <w:lang w:val="en-US" w:eastAsia="zh-CN"/>
              </w:rPr>
              <w:t>3.</w:t>
            </w:r>
            <w:r>
              <w:rPr>
                <w:rFonts w:hint="eastAsia" w:asciiTheme="majorEastAsia" w:hAnsiTheme="majorEastAsia" w:eastAsiaTheme="majorEastAsia" w:cstheme="majorEastAsia"/>
                <w:sz w:val="15"/>
                <w:szCs w:val="15"/>
              </w:rPr>
              <w:t>城市电网年供电可靠率（ASAI）低于99%，或低于上年0.006个百分点以上，处罚50万元。</w:t>
            </w:r>
          </w:p>
        </w:tc>
        <w:tc>
          <w:tcPr>
            <w:tcW w:w="2385" w:type="dxa"/>
            <w:tcBorders>
              <w:bottom w:val="single" w:color="auto" w:sz="4" w:space="0"/>
            </w:tcBorders>
            <w:shd w:val="clear" w:color="auto" w:fill="FFFFFF"/>
            <w:vAlign w:val="center"/>
          </w:tcPr>
          <w:p>
            <w:pPr>
              <w:keepNext w:val="0"/>
              <w:keepLines w:val="0"/>
              <w:pageBreakBefore w:val="0"/>
              <w:kinsoku/>
              <w:wordWrap/>
              <w:overflowPunct/>
              <w:topLinePunct w:val="0"/>
              <w:autoSpaceDE w:val="0"/>
              <w:autoSpaceDN/>
              <w:bidi w:val="0"/>
              <w:adjustRightInd/>
              <w:snapToGrid/>
              <w:spacing w:line="0" w:lineRule="atLeast"/>
              <w:textAlignment w:val="auto"/>
              <w:rPr>
                <w:rFonts w:hint="eastAsia" w:asciiTheme="minorEastAsia" w:hAnsiTheme="minorEastAsia" w:eastAsiaTheme="minorEastAsia"/>
                <w:color w:val="auto"/>
                <w:sz w:val="15"/>
                <w:szCs w:val="15"/>
                <w:highlight w:val="none"/>
              </w:rPr>
            </w:pPr>
          </w:p>
        </w:tc>
        <w:tc>
          <w:tcPr>
            <w:tcW w:w="824" w:type="dxa"/>
            <w:tcBorders>
              <w:bottom w:val="single" w:color="auto" w:sz="4" w:space="0"/>
            </w:tcBorders>
            <w:shd w:val="clear" w:color="auto" w:fill="FFFFFF"/>
            <w:vAlign w:val="center"/>
          </w:tcPr>
          <w:p>
            <w:pPr>
              <w:autoSpaceDE w:val="0"/>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14218" w:type="dxa"/>
            <w:gridSpan w:val="9"/>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jc w:val="center"/>
        </w:trPr>
        <w:tc>
          <w:tcPr>
            <w:tcW w:w="5229" w:type="dxa"/>
            <w:gridSpan w:val="3"/>
            <w:shd w:val="clear" w:color="auto" w:fill="auto"/>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4" w:name="_Toc110851497"/>
            <w:bookmarkStart w:id="195" w:name="_Toc1490732698"/>
            <w:bookmarkStart w:id="196" w:name="_Toc2054618372"/>
            <w:r>
              <w:rPr>
                <w:rFonts w:hint="eastAsia" w:asciiTheme="minorEastAsia" w:hAnsiTheme="minorEastAsia" w:eastAsiaTheme="minorEastAsia"/>
                <w:color w:val="auto"/>
                <w:sz w:val="21"/>
                <w:szCs w:val="21"/>
                <w:highlight w:val="none"/>
              </w:rPr>
              <w:t>《中华人民共和国石油天然气管道保护法》</w:t>
            </w:r>
            <w:bookmarkEnd w:id="194"/>
            <w:bookmarkEnd w:id="195"/>
            <w:bookmarkStart w:id="197" w:name="_Toc63324556"/>
            <w:bookmarkStart w:id="198" w:name="_Toc110851498"/>
            <w:r>
              <w:rPr>
                <w:rFonts w:hint="eastAsia" w:asciiTheme="minorEastAsia" w:hAnsiTheme="minorEastAsia" w:eastAsiaTheme="minorEastAsia"/>
                <w:color w:val="auto"/>
                <w:sz w:val="21"/>
                <w:szCs w:val="21"/>
                <w:highlight w:val="none"/>
              </w:rPr>
              <w:t>案由22项</w:t>
            </w:r>
            <w:bookmarkEnd w:id="196"/>
            <w:bookmarkEnd w:id="197"/>
            <w:bookmarkEnd w:id="198"/>
          </w:p>
        </w:tc>
        <w:tc>
          <w:tcPr>
            <w:tcW w:w="8989"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618"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2789"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2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3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35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2789"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4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2789" w:type="dxa"/>
            <w:shd w:val="clear" w:color="auto" w:fill="auto"/>
            <w:vAlign w:val="center"/>
          </w:tcPr>
          <w:p>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1785"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4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05"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9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2789"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c>
          <w:tcPr>
            <w:tcW w:w="824"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2789"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24"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2789"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vMerge w:val="restart"/>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789"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24"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2789"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304"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16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2789"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27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882"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3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466"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2789"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c>
          <w:tcPr>
            <w:tcW w:w="824" w:type="dxa"/>
            <w:shd w:val="clear" w:color="auto" w:fill="auto"/>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15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2789"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304"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17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385"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c>
          <w:tcPr>
            <w:tcW w:w="824" w:type="dxa"/>
            <w:shd w:val="clear" w:color="auto" w:fill="auto"/>
            <w:vAlign w:val="center"/>
          </w:tcPr>
          <w:p>
            <w:pPr>
              <w:autoSpaceDE w:val="0"/>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市级</w:t>
            </w:r>
          </w:p>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780" w:hRule="atLeast"/>
          <w:jc w:val="center"/>
        </w:trPr>
        <w:tc>
          <w:tcPr>
            <w:tcW w:w="14218" w:type="dxa"/>
            <w:gridSpan w:val="9"/>
            <w:shd w:val="clear" w:color="auto" w:fill="FFFFFF"/>
            <w:vAlign w:val="center"/>
          </w:tcPr>
          <w:p>
            <w:pPr>
              <w:pStyle w:val="2"/>
              <w:bidi w:val="0"/>
              <w:rPr>
                <w:rFonts w:hint="eastAsia" w:asciiTheme="minorEastAsia" w:hAnsiTheme="minorEastAsia" w:eastAsiaTheme="minorEastAsia"/>
                <w:color w:val="auto"/>
                <w:szCs w:val="15"/>
                <w:highlight w:val="none"/>
              </w:rPr>
            </w:pPr>
            <w:bookmarkStart w:id="199" w:name="_Toc771447482"/>
            <w:r>
              <w:rPr>
                <w:rFonts w:hint="eastAsia"/>
              </w:rPr>
              <w:t>国际交往语言环境建设方面</w:t>
            </w:r>
            <w:bookmarkEnd w:id="1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533" w:hRule="atLeast"/>
          <w:jc w:val="center"/>
        </w:trPr>
        <w:tc>
          <w:tcPr>
            <w:tcW w:w="14218" w:type="dxa"/>
            <w:gridSpan w:val="9"/>
            <w:shd w:val="clear" w:color="auto" w:fill="auto"/>
            <w:vAlign w:val="center"/>
          </w:tcPr>
          <w:p>
            <w:pPr>
              <w:pStyle w:val="3"/>
              <w:bidi w:val="0"/>
              <w:jc w:val="center"/>
              <w:rPr>
                <w:rFonts w:hint="eastAsia" w:asciiTheme="minorEastAsia" w:hAnsiTheme="minorEastAsia" w:eastAsiaTheme="minorEastAsia"/>
                <w:color w:val="auto"/>
                <w:szCs w:val="15"/>
                <w:highlight w:val="none"/>
              </w:rPr>
            </w:pPr>
            <w:bookmarkStart w:id="200" w:name="_Toc1543116115"/>
            <w:r>
              <w:rPr>
                <w:rFonts w:hint="eastAsia"/>
              </w:rPr>
              <w:t>《</w:t>
            </w:r>
            <w:r>
              <w:rPr>
                <w:rFonts w:hint="eastAsia"/>
                <w:lang w:val="zh-CN"/>
              </w:rPr>
              <w:t>北京市国际交往语言环境建设条例</w:t>
            </w:r>
            <w:r>
              <w:rPr>
                <w:rFonts w:hint="eastAsia"/>
              </w:rPr>
              <w:t>》案由4项</w:t>
            </w:r>
            <w:bookmarkEnd w:id="2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区级</w:t>
            </w:r>
          </w:p>
          <w:p>
            <w:pPr>
              <w:spacing w:line="232" w:lineRule="exact"/>
              <w:ind w:firstLine="333" w:firstLineChars="0"/>
              <w:jc w:val="center"/>
              <w:rPr>
                <w:rFonts w:hint="eastAsia" w:cs="Times New Roman" w:asciiTheme="minorEastAsia" w:hAnsiTheme="minorEastAsia" w:eastAsiaTheme="minorEastAsia"/>
                <w:color w:val="auto"/>
                <w:kern w:val="2"/>
                <w:sz w:val="15"/>
                <w:szCs w:val="15"/>
                <w:highlight w:val="none"/>
                <w:lang w:val="e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278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spacing w:val="-4"/>
                <w:kern w:val="2"/>
                <w:sz w:val="15"/>
                <w:szCs w:val="15"/>
                <w:highlight w:val="none"/>
                <w:lang w:val="en-US" w:eastAsia="zh-CN" w:bidi="ar-SA"/>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Times New Roman" w:asciiTheme="minorEastAsia" w:hAnsiTheme="minorEastAsia" w:eastAsiaTheme="minorEastAsia"/>
                <w:color w:val="auto"/>
                <w:kern w:val="2"/>
                <w:sz w:val="15"/>
                <w:szCs w:val="15"/>
                <w:highlight w:val="none"/>
                <w:lang w:val="en-US" w:eastAsia="zh-CN" w:bidi="ar-SA"/>
              </w:rPr>
            </w:pPr>
          </w:p>
        </w:tc>
        <w:tc>
          <w:tcPr>
            <w:tcW w:w="824" w:type="dxa"/>
            <w:vMerge w:val="restart"/>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vMerge w:val="continue"/>
            <w:shd w:val="clear" w:color="auto" w:fill="FFFFFF"/>
            <w:vAlign w:val="center"/>
          </w:tcPr>
          <w:p>
            <w:pPr>
              <w:autoSpaceDE w:val="0"/>
              <w:spacing w:line="232" w:lineRule="exact"/>
              <w:jc w:val="center"/>
              <w:rPr>
                <w:rFonts w:hint="eastAsia"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190" w:lineRule="exact"/>
              <w:rPr>
                <w:rFonts w:hint="eastAsia" w:cs="宋体" w:asciiTheme="minorEastAsia" w:hAnsiTheme="minorEastAsia" w:eastAsiaTheme="minorEastAsia"/>
                <w:color w:val="auto"/>
                <w:kern w:val="0"/>
                <w:sz w:val="15"/>
                <w:szCs w:val="15"/>
                <w:highlight w:val="none"/>
              </w:rPr>
            </w:pPr>
          </w:p>
        </w:tc>
        <w:tc>
          <w:tcPr>
            <w:tcW w:w="2789" w:type="dxa"/>
            <w:vMerge w:val="continue"/>
            <w:shd w:val="clear" w:color="auto" w:fill="auto"/>
            <w:vAlign w:val="center"/>
          </w:tcPr>
          <w:p>
            <w:pPr>
              <w:autoSpaceDE w:val="0"/>
              <w:spacing w:line="190" w:lineRule="exact"/>
              <w:rPr>
                <w:rFonts w:hint="eastAsia"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c>
          <w:tcPr>
            <w:tcW w:w="824" w:type="dxa"/>
            <w:vMerge w:val="continue"/>
            <w:shd w:val="clear" w:color="auto" w:fill="auto"/>
            <w:vAlign w:val="center"/>
          </w:tcPr>
          <w:p>
            <w:pPr>
              <w:autoSpaceDE w:val="0"/>
              <w:spacing w:line="190" w:lineRule="exact"/>
              <w:jc w:val="center"/>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7" w:type="dxa"/>
            <w:bottom w:w="0" w:type="dxa"/>
            <w:right w:w="57" w:type="dxa"/>
          </w:tblCellMar>
        </w:tblPrEx>
        <w:trPr>
          <w:trHeight w:val="1037" w:hRule="atLeast"/>
          <w:jc w:val="center"/>
        </w:trPr>
        <w:tc>
          <w:tcPr>
            <w:tcW w:w="9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278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Times New Roman"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1</w:t>
            </w:r>
          </w:p>
        </w:tc>
        <w:tc>
          <w:tcPr>
            <w:tcW w:w="230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17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US" w:eastAsia="zh-CN" w:bidi="ar-SA"/>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38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c>
          <w:tcPr>
            <w:tcW w:w="824" w:type="dxa"/>
            <w:shd w:val="clear" w:color="auto" w:fill="auto"/>
            <w:vAlign w:val="center"/>
          </w:tcPr>
          <w:p>
            <w:pPr>
              <w:spacing w:line="232" w:lineRule="exact"/>
              <w:jc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市级</w:t>
            </w:r>
          </w:p>
          <w:p>
            <w:pPr>
              <w:spacing w:line="232" w:lineRule="exact"/>
              <w:jc w:val="center"/>
              <w:rPr>
                <w:rFonts w:hint="eastAsia" w:cs="仿宋_GB2312" w:asciiTheme="minorEastAsia" w:hAnsiTheme="minorEastAsia" w:eastAsiaTheme="minorEastAsia"/>
                <w:color w:val="auto"/>
                <w:kern w:val="2"/>
                <w:sz w:val="15"/>
                <w:szCs w:val="15"/>
                <w:highlight w:val="none"/>
                <w:lang w:val="en" w:eastAsia="zh-CN" w:bidi="ar-SA"/>
              </w:rPr>
            </w:pPr>
            <w:r>
              <w:rPr>
                <w:rFonts w:hint="eastAsia" w:cs="仿宋_GB2312" w:asciiTheme="minorEastAsia" w:hAnsiTheme="minorEastAsia" w:eastAsiaTheme="minorEastAsia"/>
                <w:color w:val="auto"/>
                <w:sz w:val="15"/>
                <w:szCs w:val="15"/>
                <w:highlight w:val="none"/>
                <w:lang w:val="en"/>
              </w:rPr>
              <w:t>区级</w:t>
            </w:r>
          </w:p>
        </w:tc>
      </w:tr>
    </w:tbl>
    <w:p/>
    <w:tbl>
      <w:tblPr>
        <w:tblStyle w:val="23"/>
        <w:tblW w:w="14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99"/>
        <w:gridCol w:w="441"/>
        <w:gridCol w:w="489"/>
        <w:gridCol w:w="1011"/>
        <w:gridCol w:w="696"/>
        <w:gridCol w:w="2093"/>
        <w:gridCol w:w="1345"/>
        <w:gridCol w:w="2490"/>
        <w:gridCol w:w="1949"/>
        <w:gridCol w:w="2"/>
        <w:gridCol w:w="697"/>
        <w:gridCol w:w="697"/>
        <w:gridCol w:w="712"/>
        <w:gridCol w:w="14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02" w:hRule="atLeast"/>
        </w:trPr>
        <w:tc>
          <w:tcPr>
            <w:tcW w:w="14329" w:type="dxa"/>
            <w:gridSpan w:val="15"/>
            <w:noWrap w:val="0"/>
            <w:vAlign w:val="center"/>
          </w:tcPr>
          <w:p>
            <w:pPr>
              <w:pStyle w:val="2"/>
              <w:bidi w:val="0"/>
              <w:rPr>
                <w:rFonts w:hint="eastAsia"/>
                <w:sz w:val="21"/>
                <w:szCs w:val="21"/>
              </w:rPr>
            </w:pPr>
            <w:bookmarkStart w:id="201" w:name="_Toc1437339030"/>
            <w:bookmarkStart w:id="202" w:name="_Toc243115343"/>
            <w:bookmarkStart w:id="203" w:name="_Toc341845612"/>
            <w:bookmarkStart w:id="204" w:name="_Toc110851502"/>
            <w:bookmarkStart w:id="205" w:name="_Toc1953583257"/>
            <w:r>
              <w:rPr>
                <w:rFonts w:hint="eastAsia"/>
                <w:sz w:val="21"/>
                <w:szCs w:val="21"/>
              </w:rPr>
              <w:t>生态环境</w:t>
            </w:r>
            <w:bookmarkEnd w:id="201"/>
            <w:r>
              <w:rPr>
                <w:rFonts w:hint="eastAsia"/>
                <w:sz w:val="21"/>
                <w:szCs w:val="21"/>
                <w:lang w:eastAsia="zh-CN"/>
              </w:rPr>
              <w:t>下放</w:t>
            </w:r>
            <w:r>
              <w:rPr>
                <w:rFonts w:hint="eastAsia"/>
                <w:sz w:val="21"/>
                <w:szCs w:val="21"/>
                <w:lang w:val="en-US" w:eastAsia="zh-CN"/>
              </w:rPr>
              <w:t>2</w:t>
            </w:r>
            <w:r>
              <w:rPr>
                <w:rFonts w:hint="eastAsia"/>
                <w:sz w:val="21"/>
                <w:szCs w:val="21"/>
              </w:rPr>
              <w:t>项</w:t>
            </w:r>
            <w:bookmarkEnd w:id="202"/>
            <w:bookmarkEnd w:id="203"/>
            <w:bookmarkEnd w:id="204"/>
            <w:bookmarkEnd w:id="205"/>
          </w:p>
          <w:p>
            <w:pPr>
              <w:jc w:val="center"/>
              <w:rPr>
                <w:rFonts w:hint="eastAsia" w:asciiTheme="minorEastAsia" w:hAnsiTheme="minorEastAsia" w:eastAsiaTheme="minorEastAsia" w:cstheme="minorEastAsia"/>
                <w:b/>
                <w:bCs/>
                <w:sz w:val="21"/>
                <w:szCs w:val="21"/>
              </w:rPr>
            </w:pPr>
          </w:p>
          <w:p>
            <w:pPr>
              <w:rPr>
                <w:rFonts w:hint="eastAsia" w:eastAsia="宋体"/>
                <w:lang w:val="en-US" w:eastAsia="zh-CN"/>
              </w:rPr>
            </w:pPr>
            <w:r>
              <w:rPr>
                <w:rFonts w:hint="eastAsia" w:asciiTheme="minorEastAsia" w:hAnsiTheme="minorEastAsia" w:eastAsiaTheme="minorEastAsia" w:cstheme="minorEastAsia"/>
                <w:lang w:val="en-US" w:eastAsia="zh-CN"/>
              </w:rPr>
              <w:t>《北京市生态环境局关于印发&lt;北京市生态环境行政处罚裁量权基准（2023年版）&gt;的通知》（京环发〔2023〕15号）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34"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1</w:t>
            </w:r>
          </w:p>
        </w:tc>
        <w:tc>
          <w:tcPr>
            <w:tcW w:w="1500"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不使用清洁能源</w:t>
            </w:r>
          </w:p>
        </w:tc>
        <w:tc>
          <w:tcPr>
            <w:tcW w:w="2789" w:type="dxa"/>
            <w:gridSpan w:val="2"/>
            <w:noWrap w:val="0"/>
            <w:vAlign w:val="center"/>
          </w:tcPr>
          <w:p>
            <w:pPr>
              <w:spacing w:line="232" w:lineRule="exact"/>
              <w:textAlignment w:val="center"/>
              <w:rPr>
                <w:rFonts w:ascii="宋体" w:hAnsi="宋体" w:eastAsia="宋体" w:cs="仿宋_GB2312"/>
                <w:kern w:val="0"/>
                <w:sz w:val="15"/>
                <w:szCs w:val="15"/>
              </w:rPr>
            </w:pPr>
            <w:r>
              <w:rPr>
                <w:rFonts w:hint="eastAsia" w:ascii="宋体" w:hAnsi="宋体" w:eastAsia="宋体" w:cs="仿宋_GB2312"/>
                <w:color w:val="000000"/>
                <w:kern w:val="0"/>
                <w:sz w:val="15"/>
                <w:szCs w:val="15"/>
                <w:lang w:bidi="ar"/>
              </w:rPr>
              <w:t>《北京市大气污染防治条例》违反条款：第五十三条第三款；处罚条款：第一百零三条第二款，责令限期改正，处一万元以上十万元以下罚款。</w:t>
            </w:r>
          </w:p>
        </w:tc>
        <w:tc>
          <w:tcPr>
            <w:tcW w:w="5784" w:type="dxa"/>
            <w:gridSpan w:val="3"/>
            <w:noWrap w:val="0"/>
            <w:vAlign w:val="center"/>
          </w:tcPr>
          <w:p>
            <w:pPr>
              <w:spacing w:line="232" w:lineRule="exact"/>
              <w:rPr>
                <w:rFonts w:ascii="宋体" w:hAnsi="宋体" w:eastAsia="宋体" w:cs="仿宋_GB2312"/>
                <w:kern w:val="0"/>
                <w:sz w:val="15"/>
                <w:szCs w:val="15"/>
              </w:rPr>
            </w:pPr>
            <w:r>
              <w:rPr>
                <w:rFonts w:hint="eastAsia" w:ascii="宋体" w:hAnsi="宋体" w:eastAsia="宋体" w:cs="仿宋_GB2312"/>
                <w:kern w:val="0"/>
                <w:sz w:val="15"/>
                <w:szCs w:val="15"/>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330"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cs="仿宋_GB2312"/>
                <w:kern w:val="0"/>
                <w:sz w:val="15"/>
                <w:szCs w:val="15"/>
                <w:lang w:val="en-US" w:eastAsia="zh-CN"/>
              </w:rPr>
              <w:t>2</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工业企业不能密闭的易产生扬尘的物料，未设置不低于堆放物高度的严密围挡，或者未采取有效覆盖措施防治扬尘污染</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《北京市大气污染防治条例》违反条款：第八十二条第一款；处罚条款：第一百二十条，责令改正，处一万元以上十万元以下罚款；拒不改正的，责令停工整治或者停业整治。</w:t>
            </w:r>
          </w:p>
        </w:tc>
        <w:tc>
          <w:tcPr>
            <w:tcW w:w="5784" w:type="dxa"/>
            <w:gridSpan w:val="3"/>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未密闭贮存易产生扬尘的物料，</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2"/>
              <w:spacing w:after="0" w:line="232" w:lineRule="exact"/>
              <w:ind w:left="0" w:leftChars="0" w:firstLine="0" w:firstLineChars="0"/>
              <w:textAlignment w:val="center"/>
              <w:rPr>
                <w:rFonts w:ascii="宋体" w:hAnsi="宋体" w:eastAsia="宋体" w:cs="仿宋_GB2312"/>
                <w:sz w:val="15"/>
                <w:szCs w:val="15"/>
              </w:rPr>
            </w:pPr>
            <w:r>
              <w:rPr>
                <w:rFonts w:hint="eastAsia" w:ascii="宋体" w:hAnsi="宋体" w:eastAsia="宋体" w:cs="仿宋_GB2312"/>
                <w:sz w:val="15"/>
                <w:szCs w:val="15"/>
              </w:rPr>
              <w:t>未设置严密围挡，或未采取有效覆盖措施防治扬尘，</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物料数量≤50立方米，1-2万元；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50立方米&lt;物料数量≤500立方米，2-4万元；</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物料数量 &gt;500立方米，4-10万元。</w:t>
            </w:r>
          </w:p>
          <w:p>
            <w:pPr>
              <w:pStyle w:val="22"/>
              <w:spacing w:after="0" w:line="232" w:lineRule="exact"/>
              <w:ind w:left="0" w:leftChars="0" w:firstLine="0" w:firstLineChars="0"/>
              <w:textAlignment w:val="center"/>
              <w:rPr>
                <w:rFonts w:ascii="宋体" w:hAnsi="宋体" w:eastAsia="宋体"/>
                <w:sz w:val="15"/>
                <w:szCs w:val="15"/>
              </w:rPr>
            </w:pPr>
            <w:r>
              <w:rPr>
                <w:rFonts w:hint="eastAsia" w:ascii="宋体" w:hAnsi="宋体" w:eastAsia="宋体" w:cs="仿宋_GB2312"/>
                <w:color w:val="000000"/>
                <w:kern w:val="0"/>
                <w:sz w:val="15"/>
                <w:szCs w:val="15"/>
                <w:lang w:bidi="ar"/>
              </w:rPr>
              <w:t>拒不改正的，责令停工整治或者停业整治。</w:t>
            </w:r>
          </w:p>
        </w:tc>
        <w:tc>
          <w:tcPr>
            <w:tcW w:w="2108" w:type="dxa"/>
            <w:gridSpan w:val="4"/>
            <w:noWrap w:val="0"/>
            <w:vAlign w:val="center"/>
          </w:tcPr>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可以从重处罚的情形</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1．两年内因同类环境违法行为被处罚3次（含3次）以上的；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2．重污染天气预警期间超标排放大气污染物的；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3．在案件查处中对执法人员进行威胁、辱骂、殴打、恐吓或者打击报复的；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4．环境违法行为造成跨行政区域环境污染的；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5．环境违法行为引起不良社会反响的；</w:t>
            </w:r>
          </w:p>
          <w:p>
            <w:pPr>
              <w:spacing w:line="232" w:lineRule="exact"/>
              <w:textAlignment w:val="center"/>
              <w:rPr>
                <w:rFonts w:ascii="宋体" w:hAnsi="宋体" w:eastAsia="宋体" w:cs="仿宋_GB2312"/>
                <w:sz w:val="15"/>
                <w:szCs w:val="15"/>
              </w:rPr>
            </w:pPr>
            <w:r>
              <w:rPr>
                <w:rFonts w:hint="eastAsia" w:ascii="宋体" w:hAnsi="宋体" w:eastAsia="宋体" w:cs="仿宋_GB2312"/>
                <w:sz w:val="15"/>
                <w:szCs w:val="15"/>
              </w:rPr>
              <w:t>6．其他具有从重情节的。</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53" w:hRule="atLeast"/>
        </w:trPr>
        <w:tc>
          <w:tcPr>
            <w:tcW w:w="14329" w:type="dxa"/>
            <w:gridSpan w:val="15"/>
            <w:noWrap w:val="0"/>
            <w:vAlign w:val="center"/>
          </w:tcPr>
          <w:p>
            <w:pPr>
              <w:pStyle w:val="2"/>
              <w:bidi w:val="0"/>
              <w:rPr>
                <w:rFonts w:hint="eastAsia"/>
                <w:sz w:val="21"/>
                <w:szCs w:val="21"/>
              </w:rPr>
            </w:pPr>
            <w:bookmarkStart w:id="206" w:name="_Toc1112894806"/>
            <w:bookmarkStart w:id="207" w:name="_Toc1884371412"/>
            <w:bookmarkStart w:id="208" w:name="_Toc110851503"/>
            <w:bookmarkStart w:id="209" w:name="_Toc1642327804"/>
            <w:r>
              <w:rPr>
                <w:rFonts w:hint="eastAsia"/>
                <w:sz w:val="21"/>
                <w:szCs w:val="21"/>
              </w:rPr>
              <w:t>水务管理方面</w:t>
            </w:r>
            <w:r>
              <w:rPr>
                <w:rFonts w:hint="eastAsia"/>
                <w:sz w:val="21"/>
                <w:szCs w:val="21"/>
                <w:lang w:val="en-US" w:eastAsia="zh-CN"/>
              </w:rPr>
              <w:t>20</w:t>
            </w:r>
            <w:r>
              <w:rPr>
                <w:rFonts w:hint="eastAsia"/>
                <w:sz w:val="21"/>
                <w:szCs w:val="21"/>
              </w:rPr>
              <w:t>项</w:t>
            </w:r>
            <w:bookmarkEnd w:id="206"/>
            <w:bookmarkEnd w:id="207"/>
            <w:bookmarkEnd w:id="208"/>
            <w:bookmarkEnd w:id="209"/>
          </w:p>
          <w:p>
            <w:pPr>
              <w:rPr>
                <w:rFonts w:hint="eastAsia"/>
              </w:rPr>
            </w:pPr>
          </w:p>
          <w:p>
            <w:pPr>
              <w:rPr>
                <w:rFonts w:hint="eastAsia" w:eastAsia="宋体"/>
                <w:lang w:eastAsia="zh-CN"/>
              </w:rPr>
            </w:pPr>
            <w:r>
              <w:rPr>
                <w:rFonts w:hint="eastAsia" w:ascii="宋体" w:hAnsi="宋体" w:eastAsia="宋体"/>
                <w:sz w:val="15"/>
                <w:szCs w:val="15"/>
                <w:lang w:eastAsia="zh-CN"/>
              </w:rPr>
              <w:t>《北京市水务局关于印发</w:t>
            </w:r>
            <w:r>
              <w:rPr>
                <w:rFonts w:hint="default" w:ascii="宋体" w:hAnsi="宋体"/>
                <w:sz w:val="15"/>
                <w:szCs w:val="15"/>
                <w:lang w:val="en-US" w:eastAsia="zh-CN"/>
              </w:rPr>
              <w:t>&lt;</w:t>
            </w:r>
            <w:r>
              <w:rPr>
                <w:rFonts w:hint="eastAsia" w:ascii="宋体" w:hAnsi="宋体" w:eastAsia="宋体"/>
                <w:sz w:val="15"/>
                <w:szCs w:val="15"/>
                <w:lang w:eastAsia="zh-CN"/>
              </w:rPr>
              <w:t>北京市常用水行政处罚裁量基准表</w:t>
            </w:r>
            <w:r>
              <w:rPr>
                <w:rFonts w:hint="default" w:ascii="宋体" w:hAnsi="宋体"/>
                <w:sz w:val="15"/>
                <w:szCs w:val="15"/>
                <w:lang w:val="en-US" w:eastAsia="zh-CN"/>
              </w:rPr>
              <w:t>&gt;</w:t>
            </w:r>
            <w:r>
              <w:rPr>
                <w:rFonts w:hint="eastAsia" w:ascii="宋体" w:hAnsi="宋体" w:eastAsia="宋体"/>
                <w:sz w:val="15"/>
                <w:szCs w:val="15"/>
                <w:lang w:eastAsia="zh-CN"/>
              </w:rPr>
              <w:t>的通知》</w:t>
            </w:r>
            <w:r>
              <w:rPr>
                <w:rFonts w:hint="eastAsia" w:ascii="宋体" w:hAnsi="宋体"/>
                <w:sz w:val="15"/>
                <w:szCs w:val="15"/>
                <w:lang w:eastAsia="zh-CN"/>
              </w:rPr>
              <w:t>（京水务法〔2023〕12号）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32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向雨水收集口、雨水管道排放或者倾倒污水、污物和垃圾等废弃物</w:t>
            </w:r>
          </w:p>
        </w:tc>
        <w:tc>
          <w:tcPr>
            <w:tcW w:w="2789" w:type="dxa"/>
            <w:gridSpan w:val="2"/>
            <w:noWrap w:val="0"/>
            <w:vAlign w:val="center"/>
          </w:tcPr>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《北京市水污染防治条例》</w:t>
            </w:r>
          </w:p>
          <w:p>
            <w:pPr>
              <w:spacing w:line="232" w:lineRule="exact"/>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违反条款：第三十九条第二款；处罚条款：第八十六条，责令停止违法行为，对个人处一千元以上一万元以下的罚款；对单位处一万元以上十万元以下的罚款。</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对单位：倾倒少量生活污水的，1万≤罚款额≤3万；排放或者倾倒污水污物和垃圾等废弃物，3万＜罚款额≤6万；排放或者倾倒污水污物和垃圾等废弃物，情节严重的，6万＜罚款额≤10万。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对个人：倾倒少量生活污水的，0.1万≤罚款额≤0.3万；排放或者倾倒污水污物和垃圾等废弃物，0.3万＜罚款额≤0.6万；</w:t>
            </w:r>
            <w:r>
              <w:rPr>
                <w:rFonts w:hint="eastAsia" w:ascii="宋体" w:hAnsi="宋体" w:eastAsia="宋体" w:cs="仿宋_GB2312"/>
                <w:color w:val="000000"/>
                <w:kern w:val="0"/>
                <w:sz w:val="15"/>
                <w:szCs w:val="15"/>
                <w:lang w:bidi="ar"/>
              </w:rPr>
              <w:tab/>
            </w:r>
            <w:r>
              <w:rPr>
                <w:rFonts w:hint="eastAsia" w:ascii="宋体" w:hAnsi="宋体" w:eastAsia="宋体" w:cs="仿宋_GB2312"/>
                <w:color w:val="000000"/>
                <w:kern w:val="0"/>
                <w:sz w:val="15"/>
                <w:szCs w:val="15"/>
                <w:lang w:bidi="ar"/>
              </w:rPr>
              <w:t>排放或者倾倒污水污物和垃圾等废弃物，情节严重的，0.6万＜罚款额≤1万。</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4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textAlignment w:val="center"/>
              <w:rPr>
                <w:rFonts w:ascii="宋体" w:hAnsi="宋体" w:eastAsia="宋体"/>
                <w:kern w:val="0"/>
                <w:sz w:val="15"/>
                <w:szCs w:val="15"/>
              </w:rPr>
            </w:pPr>
            <w:r>
              <w:rPr>
                <w:rFonts w:hint="eastAsia" w:ascii="宋体" w:hAnsi="宋体" w:eastAsia="宋体"/>
                <w:sz w:val="15"/>
                <w:szCs w:val="15"/>
              </w:rPr>
              <w:t>擅自倾倒、堆放、丢弃、遗撒污泥</w:t>
            </w:r>
          </w:p>
        </w:tc>
        <w:tc>
          <w:tcPr>
            <w:tcW w:w="2789" w:type="dxa"/>
            <w:gridSpan w:val="2"/>
            <w:noWrap w:val="0"/>
            <w:vAlign w:val="center"/>
          </w:tcPr>
          <w:p>
            <w:pPr>
              <w:spacing w:line="190" w:lineRule="exact"/>
              <w:textAlignment w:val="center"/>
              <w:rPr>
                <w:rFonts w:ascii="宋体" w:hAnsi="宋体" w:eastAsia="宋体"/>
                <w:kern w:val="0"/>
                <w:sz w:val="15"/>
                <w:szCs w:val="15"/>
              </w:rPr>
            </w:pPr>
            <w:r>
              <w:rPr>
                <w:rFonts w:hint="eastAsia" w:ascii="宋体" w:hAnsi="宋体" w:eastAsia="宋体"/>
                <w:sz w:val="15"/>
                <w:szCs w:val="15"/>
              </w:rPr>
              <w:t>《城镇排水与污水处理条例</w:t>
            </w:r>
            <w:r>
              <w:rPr>
                <w:rFonts w:hint="eastAsia" w:ascii="宋体" w:hAnsi="宋体" w:eastAsia="宋体"/>
                <w:spacing w:val="-4"/>
                <w:sz w:val="15"/>
                <w:szCs w:val="15"/>
              </w:rPr>
              <w:t>》违反条款：第三十条；处罚条款：第五十三条第二款，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w:t>
            </w:r>
            <w:r>
              <w:rPr>
                <w:rFonts w:hint="eastAsia" w:ascii="宋体" w:hAnsi="宋体" w:eastAsia="宋体"/>
                <w:sz w:val="15"/>
                <w:szCs w:val="15"/>
              </w:rPr>
              <w:br w:type="textWrapping"/>
            </w:r>
            <w:r>
              <w:rPr>
                <w:rFonts w:hint="eastAsia" w:ascii="宋体" w:hAnsi="宋体" w:eastAsia="宋体"/>
                <w:sz w:val="15"/>
                <w:szCs w:val="15"/>
              </w:rPr>
              <w:t>《中华人民共和国固体废物污染环境防治法》违反条款：第七十二条第一款；处罚条款：第一百零八条第二款，违反本法规定，擅自倾倒、堆放、丢弃、遗撒城镇污水处理设施产生的污泥和处理后的污泥的，由城镇排水主管部门责令改正，处二十万元以上二百万元以下的罚款，对直接负责的主管人员和其他直接责任人员处二万元以上十万元以下的罚款；造成严重后果的，处二百万元以上五百万元以下的罚款，对直接负责的主管人员和其他直接责任人员处五万元以上五十万元以下的罚款；拒不改正的，城镇排水主管部门可以指定有治理能力的单位代为治理，所需费用由违法者承担。</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82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因巡查、维护不到位，导致窨井盖丢失、损毁，造成人员伤亡和财产损失</w:t>
            </w:r>
          </w:p>
        </w:tc>
        <w:tc>
          <w:tcPr>
            <w:tcW w:w="2789"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城镇排水与污水处理条例》违反条款：第三十八条第一款；处罚条款：第五十五条第一款第（三）项，责令改正，给予警告；逾期不改正或者造成严重后果的，处10万元以上50万元以下罚款；造成损失的，依法承担赔偿责任；构成犯罪的，依法追究刑事责任。</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逾期不改正，但未造成其他严重后果的，10万≤罚款额≤30万；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造成财产损失的，30万＜罚款额≤40万；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造成人员伤亡的，40万＜罚款额≤50万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textAlignment w:val="center"/>
              <w:rPr>
                <w:rFonts w:ascii="宋体" w:hAnsi="宋体" w:eastAsia="宋体"/>
                <w:sz w:val="15"/>
                <w:szCs w:val="15"/>
              </w:rPr>
            </w:pPr>
            <w:r>
              <w:rPr>
                <w:rFonts w:hint="eastAsia" w:ascii="宋体" w:hAnsi="宋体" w:eastAsia="宋体"/>
                <w:sz w:val="15"/>
                <w:szCs w:val="15"/>
              </w:rPr>
              <w:t>在河湖管理范围、保护范围内围河、挖筑鱼塘、挖坑开槽、勘探或者设立线杆、线塔、无线通信塔、标识</w:t>
            </w:r>
          </w:p>
        </w:tc>
        <w:tc>
          <w:tcPr>
            <w:tcW w:w="2789" w:type="dxa"/>
            <w:gridSpan w:val="2"/>
            <w:noWrap w:val="0"/>
            <w:vAlign w:val="center"/>
          </w:tcPr>
          <w:p>
            <w:pPr>
              <w:spacing w:line="216" w:lineRule="exact"/>
              <w:textAlignment w:val="center"/>
              <w:rPr>
                <w:rFonts w:ascii="宋体" w:hAnsi="宋体" w:eastAsia="宋体"/>
                <w:sz w:val="15"/>
                <w:szCs w:val="15"/>
              </w:rPr>
            </w:pPr>
            <w:r>
              <w:rPr>
                <w:rFonts w:hint="eastAsia" w:ascii="宋体" w:hAnsi="宋体" w:eastAsia="宋体"/>
                <w:sz w:val="15"/>
                <w:szCs w:val="15"/>
              </w:rPr>
              <w:t>《北京市河湖保护管理条例》违反条款：第二十条第一款第（二）项；处罚条款：第三十九条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在保护范围内，1万≤罚款额≤3万；</w:t>
            </w:r>
          </w:p>
          <w:p>
            <w:pPr>
              <w:pStyle w:val="22"/>
              <w:spacing w:after="0" w:line="232" w:lineRule="exact"/>
              <w:ind w:left="0" w:leftChars="0" w:firstLine="0" w:firstLineChars="0"/>
              <w:textAlignment w:val="center"/>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在管理范围内，3万＜罚款额≤5万</w:t>
            </w:r>
            <w:r>
              <w:rPr>
                <w:rFonts w:ascii="宋体" w:hAnsi="宋体" w:eastAsia="宋体" w:cs="仿宋_GB2312"/>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r>
              <w:rPr>
                <w:rFonts w:hint="eastAsia" w:ascii="宋体" w:hAnsi="宋体" w:eastAsia="宋体" w:cs="仿宋_GB2312"/>
                <w:sz w:val="15"/>
                <w:szCs w:val="15"/>
              </w:rPr>
              <w:t>备注：危害活动同时涉及管理范围和保护范围的，按在管理范围内确定罚款额。</w:t>
            </w: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在河湖管理范围、保护范围内设置固定停车场所</w:t>
            </w:r>
          </w:p>
        </w:tc>
        <w:tc>
          <w:tcPr>
            <w:tcW w:w="2789" w:type="dxa"/>
            <w:gridSpan w:val="2"/>
            <w:noWrap w:val="0"/>
            <w:vAlign w:val="center"/>
          </w:tcPr>
          <w:p>
            <w:pPr>
              <w:spacing w:line="216" w:lineRule="exact"/>
              <w:rPr>
                <w:rFonts w:ascii="宋体" w:hAnsi="宋体" w:eastAsia="宋体"/>
                <w:sz w:val="15"/>
                <w:szCs w:val="15"/>
              </w:rPr>
            </w:pPr>
            <w:r>
              <w:rPr>
                <w:rFonts w:hint="eastAsia" w:ascii="宋体" w:hAnsi="宋体" w:eastAsia="宋体"/>
                <w:sz w:val="15"/>
                <w:szCs w:val="15"/>
              </w:rPr>
              <w:t>《北京市河湖保护管理条例》违反条款：第二十条第一款第（三）项；处罚条款：第三十九条第（二）项，责令停止违法行为，限期补办行政许可手续，处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在河湖管理范围、保护范围内修路，或者修建园林小品、管理房及其附属设施</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一款第（四）项；处罚条款：第三十九条第（三）项，责令停止违法行为，限期补办行政许可手续，处1万元以上10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在河湖管理范围、保护范围内进行河道改线、开挖人工湖泊</w:t>
            </w:r>
          </w:p>
        </w:tc>
        <w:tc>
          <w:tcPr>
            <w:tcW w:w="2789" w:type="dxa"/>
            <w:gridSpan w:val="2"/>
            <w:noWrap w:val="0"/>
            <w:vAlign w:val="center"/>
          </w:tcPr>
          <w:p>
            <w:pPr>
              <w:spacing w:line="204" w:lineRule="exact"/>
              <w:rPr>
                <w:rFonts w:ascii="宋体" w:hAnsi="宋体" w:eastAsia="宋体"/>
                <w:sz w:val="15"/>
                <w:szCs w:val="15"/>
              </w:rPr>
            </w:pPr>
            <w:r>
              <w:rPr>
                <w:rFonts w:hint="eastAsia" w:ascii="宋体" w:hAnsi="宋体" w:eastAsia="宋体"/>
                <w:sz w:val="15"/>
                <w:szCs w:val="15"/>
              </w:rPr>
              <w:t>《北京市河湖保护管理条例》违反条款：第二十条第三款；处罚条款：第三十九条第（五）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毁坏或者拆除保护名录中的水工建筑物、构筑物、遗址</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《北京市河湖保护管理条例》违反条款：第二十四条第二款；处罚条款：第四十二条，责令其停止违法行为，限期恢复原状，处10万元以上50万元以下的罚款。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9</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开展水上旅游项目或者其他利用活动时使用以柴油、汽油为动力的游船</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《北京市河湖保护管理条例》违反条款：第三十一条第一款；处罚条款：第四十四条第一款，责令停止违法行为，限期改正，处8000元以上8万元以下的罚款；造成损失的，依法赔偿损失或者采取补救措施。</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4"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10</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未经批准擅自利用河湖进行开发利用活动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《北京市河湖保护管理条例》违反条款：第三十一条第二款；处罚条款：第四十四条第二款，责令停止违法行为，限期改正，处2万元以上10万元以下的罚款。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11</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在地表饮用水水源一级保护区的水域内垂钓</w:t>
            </w:r>
          </w:p>
        </w:tc>
        <w:tc>
          <w:tcPr>
            <w:tcW w:w="2789" w:type="dxa"/>
            <w:gridSpan w:val="2"/>
            <w:noWrap w:val="0"/>
            <w:vAlign w:val="center"/>
          </w:tcPr>
          <w:p>
            <w:pPr>
              <w:spacing w:line="212" w:lineRule="exact"/>
              <w:rPr>
                <w:rFonts w:ascii="宋体" w:hAnsi="宋体" w:eastAsia="宋体"/>
                <w:spacing w:val="-4"/>
                <w:sz w:val="15"/>
                <w:szCs w:val="15"/>
              </w:rPr>
            </w:pPr>
            <w:r>
              <w:rPr>
                <w:rFonts w:hint="eastAsia" w:ascii="宋体" w:hAnsi="宋体" w:eastAsia="宋体"/>
                <w:spacing w:val="-4"/>
                <w:sz w:val="15"/>
                <w:szCs w:val="15"/>
              </w:rPr>
              <w:t xml:space="preserve">《北京市水污染防治条例》违反条款：第五十七条第二款；处罚条款：第八十条第二款，责令停止违法行为，并可以处五百元以下的罚款。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12</w:t>
            </w:r>
          </w:p>
        </w:tc>
        <w:tc>
          <w:tcPr>
            <w:tcW w:w="1500" w:type="dxa"/>
            <w:gridSpan w:val="2"/>
            <w:noWrap w:val="0"/>
            <w:vAlign w:val="center"/>
          </w:tcPr>
          <w:p>
            <w:pPr>
              <w:spacing w:line="212" w:lineRule="exact"/>
              <w:rPr>
                <w:rFonts w:ascii="宋体" w:hAnsi="宋体" w:eastAsia="宋体"/>
                <w:sz w:val="15"/>
                <w:szCs w:val="15"/>
              </w:rPr>
            </w:pPr>
            <w:r>
              <w:rPr>
                <w:rFonts w:hint="eastAsia" w:ascii="宋体" w:hAnsi="宋体" w:eastAsia="宋体"/>
                <w:sz w:val="15"/>
                <w:szCs w:val="15"/>
              </w:rPr>
              <w:t>在堤防和护堤地，从事放牧、葬坟、晒粮、开渠、打井、挖窖、取土、存放物料、开办集市贸易、开采地下资源、进行考古发掘等活动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《北京市河湖保护管理条例》违反条款：第十九条第（六）项；处罚条款：第三十八条，责令停止违法行为，排除阻碍或者采取其他补救措施，可以处5万元以下罚款，有违法所得的，没收违法所得。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在堤防上及大型渠道内垦</w:t>
            </w:r>
            <w:r>
              <w:rPr>
                <w:rFonts w:hint="eastAsia" w:ascii="宋体" w:hAnsi="宋体" w:eastAsia="宋体"/>
                <w:sz w:val="15"/>
                <w:szCs w:val="15"/>
                <w:lang w:eastAsia="zh-CN"/>
              </w:rPr>
              <w:t>殖</w:t>
            </w:r>
            <w:r>
              <w:rPr>
                <w:rFonts w:hint="eastAsia" w:ascii="宋体" w:hAnsi="宋体" w:eastAsia="宋体"/>
                <w:sz w:val="15"/>
                <w:szCs w:val="15"/>
              </w:rPr>
              <w:t>、放牧</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《北京市水利工程保护管理条例》违反条款：第九条第（七）项；处罚条款：第二十一条第（四）项，除责令纠正违法行为、赔偿损失、采取补救措施外，并可以处警告、200元以下罚款。在堤坝及大型渠道垦</w:t>
            </w:r>
            <w:r>
              <w:rPr>
                <w:rFonts w:hint="eastAsia" w:ascii="宋体" w:hAnsi="宋体" w:eastAsia="宋体"/>
                <w:sz w:val="15"/>
                <w:szCs w:val="15"/>
                <w:lang w:eastAsia="zh-CN"/>
              </w:rPr>
              <w:t>殖</w:t>
            </w:r>
            <w:r>
              <w:rPr>
                <w:rFonts w:hint="eastAsia" w:ascii="宋体" w:hAnsi="宋体" w:eastAsia="宋体"/>
                <w:sz w:val="15"/>
                <w:szCs w:val="15"/>
              </w:rPr>
              <w:t xml:space="preserve">的，还应令其恢复地貌。 </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08"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在河道、湖泊管理范围内倾倒垃圾、渣土从事影响河势稳定、危害河岸堤防安全和其他妨碍河道行洪的活动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 xml:space="preserve">《中华人民共和国防洪法》违反条款：第二十二条第二款；处罚条款：第五十五条第（二）项，责令停止违法行为，排除阻碍或者采取其他补救措施，可以处五万元以下的罚款。                                                                  </w:t>
            </w:r>
            <w:r>
              <w:rPr>
                <w:rFonts w:hint="eastAsia" w:ascii="宋体" w:hAnsi="宋体" w:eastAsia="宋体"/>
                <w:sz w:val="15"/>
                <w:szCs w:val="15"/>
              </w:rPr>
              <w:br w:type="textWrapping"/>
            </w:r>
            <w:r>
              <w:rPr>
                <w:rFonts w:hint="eastAsia" w:ascii="宋体" w:hAnsi="宋体" w:eastAsia="宋体"/>
                <w:sz w:val="15"/>
                <w:szCs w:val="15"/>
              </w:rPr>
              <w:t>《北京市水利工程保护管理条例》违反条款：第九条第（三）项；处罚条款：第二十一条第（二）项，责令排除阻碍或者采取其他补救措施，可以处5万元以下罚款。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倾倒量≤5m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，罚款额≤1万；5m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倾倒量≤10m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，1万＜罚款额≤2万；10m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倾倒量≤20m</w:t>
            </w:r>
            <w:r>
              <w:rPr>
                <w:rFonts w:ascii="宋体" w:hAnsi="宋体" w:eastAsia="宋体" w:cs="Calibri"/>
                <w:color w:val="000000"/>
                <w:kern w:val="0"/>
                <w:sz w:val="15"/>
                <w:szCs w:val="15"/>
                <w:lang w:bidi="ar"/>
              </w:rPr>
              <w:t>³</w:t>
            </w:r>
            <w:r>
              <w:rPr>
                <w:rFonts w:hint="eastAsia" w:ascii="宋体" w:hAnsi="宋体" w:eastAsia="宋体" w:cs="Calibri"/>
                <w:color w:val="000000"/>
                <w:kern w:val="0"/>
                <w:sz w:val="15"/>
                <w:szCs w:val="15"/>
                <w:lang w:bidi="ar"/>
              </w:rPr>
              <w:t>，2万＜罚款额≤3万；20m</w:t>
            </w:r>
            <w:r>
              <w:rPr>
                <w:rFonts w:ascii="宋体" w:hAnsi="宋体" w:eastAsia="宋体" w:cs="Calibri"/>
                <w:color w:val="000000"/>
                <w:kern w:val="0"/>
                <w:sz w:val="15"/>
                <w:szCs w:val="15"/>
                <w:lang w:bidi="ar"/>
              </w:rPr>
              <w:t>³</w:t>
            </w:r>
            <w:r>
              <w:rPr>
                <w:rFonts w:hint="eastAsia" w:ascii="宋体" w:hAnsi="宋体" w:eastAsia="宋体" w:cs="仿宋_GB2312"/>
                <w:color w:val="000000"/>
                <w:kern w:val="0"/>
                <w:sz w:val="15"/>
                <w:szCs w:val="15"/>
                <w:lang w:bidi="ar"/>
              </w:rPr>
              <w:t>＜</w:t>
            </w:r>
            <w:r>
              <w:rPr>
                <w:rFonts w:hint="eastAsia" w:ascii="宋体" w:hAnsi="宋体" w:eastAsia="宋体" w:cs="Calibri"/>
                <w:color w:val="000000"/>
                <w:kern w:val="0"/>
                <w:sz w:val="15"/>
                <w:szCs w:val="15"/>
                <w:lang w:bidi="ar"/>
              </w:rPr>
              <w:t>倾倒量，3万＜罚款额≤5万</w:t>
            </w:r>
            <w:r>
              <w:rPr>
                <w:rFonts w:ascii="宋体" w:hAnsi="宋体" w:eastAsia="宋体" w:cs="Calibri"/>
                <w:color w:val="000000"/>
                <w:kern w:val="0"/>
                <w:sz w:val="15"/>
                <w:szCs w:val="15"/>
                <w:lang w:bidi="ar"/>
              </w:rPr>
              <w:t>。</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926"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在地表饮用水水源保护区和准保护区内、组织水上旅游或者其他可能污染饮用水水源活动</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《北京市水污染防治条例》违反条款：第六十条第一款第（一）项、第（二）项、第（三）项；第六十条第二款；处罚条款：第八十条第二款，责令停止违法行为，并处二万元以上十万元以下的罚款。</w:t>
            </w:r>
          </w:p>
        </w:tc>
        <w:tc>
          <w:tcPr>
            <w:tcW w:w="5784" w:type="dxa"/>
            <w:gridSpan w:val="3"/>
            <w:noWrap w:val="0"/>
            <w:vAlign w:val="center"/>
          </w:tcPr>
          <w:p>
            <w:pPr>
              <w:pStyle w:val="22"/>
              <w:spacing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82"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6</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在生态清洁小流域范围内的沟道内私搭乱建、堆放物品</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《北京市水土保持条例》违反条款：第二十条第一款第（一）项；处罚条款：第三十六条，责令改正，对个人可处500元以上5000元以下罚款；对单位可处1万元以上10万元以下罚款。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396"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7</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在生态清洁小流域范围内随意取土、挖砂、倾倒垃圾、排放污水</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《北京市水土保持条例》违反条款：第二十条第一款第（二）项；处罚条款：第三十六条，责令改正，对个人可处500元以上5000元以下罚款；对单位可处1万元以上10万元以下罚款。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771" w:hRule="atLeast"/>
        </w:trPr>
        <w:tc>
          <w:tcPr>
            <w:tcW w:w="940" w:type="dxa"/>
            <w:gridSpan w:val="2"/>
            <w:noWrap w:val="0"/>
            <w:vAlign w:val="center"/>
          </w:tcPr>
          <w:p>
            <w:pPr>
              <w:spacing w:line="232" w:lineRule="exact"/>
              <w:jc w:val="center"/>
              <w:rPr>
                <w:rFonts w:hint="eastAsia" w:ascii="宋体" w:hAnsi="宋体" w:eastAsia="宋体" w:cs="仿宋_GB2312"/>
                <w:kern w:val="0"/>
                <w:sz w:val="15"/>
                <w:szCs w:val="15"/>
                <w:lang w:eastAsia="zh-CN"/>
              </w:rPr>
            </w:pPr>
            <w:r>
              <w:rPr>
                <w:rFonts w:hint="eastAsia" w:ascii="宋体" w:hAnsi="宋体" w:eastAsia="宋体" w:cs="仿宋_GB2312"/>
                <w:kern w:val="0"/>
                <w:sz w:val="15"/>
                <w:szCs w:val="15"/>
              </w:rPr>
              <w:t>1</w:t>
            </w:r>
            <w:r>
              <w:rPr>
                <w:rFonts w:hint="eastAsia" w:ascii="宋体" w:hAnsi="宋体" w:cs="仿宋_GB2312"/>
                <w:kern w:val="0"/>
                <w:sz w:val="15"/>
                <w:szCs w:val="15"/>
                <w:lang w:val="en-US" w:eastAsia="zh-CN"/>
              </w:rPr>
              <w:t>8</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在生态清洁小流域范围内破坏水土保持设施或者干扰其正常运行</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《北京市水土保持条例》违反条款：第二十条第一款第（三）项；处罚条款：第三十六条，责令改正，对个人可处500元以上5000元以下罚款；对单位可处1万元以上10万元以下罚款。</w:t>
            </w:r>
          </w:p>
        </w:tc>
        <w:tc>
          <w:tcPr>
            <w:tcW w:w="5784" w:type="dxa"/>
            <w:gridSpan w:val="3"/>
            <w:noWrap w:val="0"/>
            <w:vAlign w:val="center"/>
          </w:tcPr>
          <w:p>
            <w:pPr>
              <w:pStyle w:val="22"/>
              <w:spacing w:line="232"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hint="default" w:ascii="宋体" w:hAnsi="宋体" w:eastAsia="宋体" w:cs="仿宋_GB2312"/>
                <w:kern w:val="0"/>
                <w:sz w:val="15"/>
                <w:szCs w:val="15"/>
                <w:lang w:val="en-US" w:eastAsia="zh-CN"/>
              </w:rPr>
            </w:pPr>
            <w:r>
              <w:rPr>
                <w:rFonts w:hint="eastAsia" w:ascii="宋体" w:hAnsi="宋体" w:cs="仿宋_GB2312"/>
                <w:kern w:val="0"/>
                <w:sz w:val="15"/>
                <w:szCs w:val="15"/>
                <w:lang w:val="en-US" w:eastAsia="zh-CN"/>
              </w:rPr>
              <w:t>19</w:t>
            </w:r>
          </w:p>
        </w:tc>
        <w:tc>
          <w:tcPr>
            <w:tcW w:w="1500"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擅自在河湖管理范围内新建、改建或者扩大排水口</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《北京市河湖保护管理条例》违反条款：第二十八条第一款；处罚条款：第四十三条，责令停止违法行为，限期恢复原状，处5万元以上10万元以下的罚款。</w:t>
            </w:r>
          </w:p>
        </w:tc>
        <w:tc>
          <w:tcPr>
            <w:tcW w:w="5784" w:type="dxa"/>
            <w:gridSpan w:val="3"/>
            <w:noWrap w:val="0"/>
            <w:vAlign w:val="center"/>
          </w:tcPr>
          <w:p>
            <w:pPr>
              <w:pStyle w:val="22"/>
              <w:spacing w:after="0" w:line="210" w:lineRule="exact"/>
              <w:ind w:left="0" w:leftChars="0" w:firstLine="0" w:firstLineChars="0"/>
              <w:jc w:val="left"/>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无</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shd w:val="clear" w:color="auto" w:fill="auto"/>
            <w:noWrap w:val="0"/>
            <w:vAlign w:val="center"/>
          </w:tcPr>
          <w:p>
            <w:pPr>
              <w:spacing w:line="232" w:lineRule="exact"/>
              <w:jc w:val="center"/>
              <w:rPr>
                <w:rFonts w:hint="default" w:ascii="宋体" w:hAnsi="宋体" w:eastAsia="宋体" w:cs="仿宋_GB2312"/>
                <w:kern w:val="0"/>
                <w:sz w:val="15"/>
                <w:szCs w:val="15"/>
                <w:lang w:val="en-US" w:eastAsia="zh-CN" w:bidi="ar-SA"/>
              </w:rPr>
            </w:pPr>
            <w:bookmarkStart w:id="210" w:name="_Toc110851504"/>
            <w:bookmarkStart w:id="211" w:name="_Toc1290044525"/>
            <w:bookmarkStart w:id="212" w:name="_Toc473764242"/>
            <w:r>
              <w:rPr>
                <w:rFonts w:hint="default" w:ascii="宋体" w:hAnsi="宋体" w:eastAsia="宋体" w:cs="仿宋_GB2312"/>
                <w:kern w:val="0"/>
                <w:sz w:val="15"/>
                <w:szCs w:val="15"/>
                <w:lang w:val="en-US"/>
              </w:rPr>
              <w:t>20</w:t>
            </w:r>
          </w:p>
        </w:tc>
        <w:tc>
          <w:tcPr>
            <w:tcW w:w="1500" w:type="dxa"/>
            <w:gridSpan w:val="2"/>
            <w:shd w:val="clear" w:color="auto" w:fill="auto"/>
            <w:noWrap w:val="0"/>
            <w:vAlign w:val="center"/>
          </w:tcPr>
          <w:p>
            <w:pPr>
              <w:spacing w:line="232"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在河道、湖泊管理范围内建设妨碍行洪的建筑物、构筑物，或者从事影响河势稳定、危害河岸堤防安全和其他妨碍河道行洪的活动</w:t>
            </w:r>
          </w:p>
        </w:tc>
        <w:tc>
          <w:tcPr>
            <w:tcW w:w="2789" w:type="dxa"/>
            <w:gridSpan w:val="2"/>
            <w:shd w:val="clear" w:color="auto" w:fill="auto"/>
            <w:noWrap w:val="0"/>
            <w:vAlign w:val="center"/>
          </w:tcPr>
          <w:p>
            <w:pPr>
              <w:spacing w:line="232" w:lineRule="exact"/>
              <w:jc w:val="left"/>
              <w:rPr>
                <w:rFonts w:ascii="宋体" w:hAnsi="宋体" w:eastAsia="宋体"/>
                <w:sz w:val="15"/>
                <w:szCs w:val="15"/>
              </w:rPr>
            </w:pPr>
            <w:r>
              <w:rPr>
                <w:rFonts w:hint="eastAsia" w:ascii="宋体" w:hAnsi="宋体" w:eastAsia="宋体"/>
                <w:sz w:val="15"/>
                <w:szCs w:val="15"/>
              </w:rPr>
              <w:t>《中华人民共和国水法》违反条款：第三十七条第二款；处罚条款：第六十五条第一款，责令停止违法行为，限期拆除违法建筑物、构筑物，恢复原状；逾期不拆除、不恢复原状的，强行拆除，所需费用由违法单位或者个人负担，并处一万元以上十万元以下的罚款。                                                   《中华人民共和国防洪法》违反条款：第二十二条第二款、第三款；处罚条款：第五十五条第（一）项、第（二）项、第（三）项，责令停止违法行为，排除阻碍或者采取其他补救措施，可以处五万元以下的罚款。                                                                                                                           《北京市水利工程保护管理条例》违反条款：第九条第（二）项、第（八）项；处罚条款：第二十一条第（二）项 有下列行为之一的单位或个人，给予处罚：（二）违反本条例第九条第二项、第三项、第八项规定的，责令排除阻碍或者采取其他补救措施，可以处5万元以下罚款。</w:t>
            </w:r>
          </w:p>
          <w:p>
            <w:pPr>
              <w:spacing w:line="204" w:lineRule="exact"/>
              <w:rPr>
                <w:rFonts w:hint="eastAsia" w:ascii="宋体" w:hAnsi="宋体" w:eastAsia="宋体" w:cs="Times New Roman"/>
                <w:kern w:val="2"/>
                <w:sz w:val="15"/>
                <w:szCs w:val="15"/>
                <w:lang w:val="en-US" w:eastAsia="zh-CN" w:bidi="ar-SA"/>
              </w:rPr>
            </w:pPr>
            <w:r>
              <w:rPr>
                <w:rFonts w:hint="eastAsia" w:ascii="宋体" w:hAnsi="宋体" w:eastAsia="宋体"/>
                <w:sz w:val="15"/>
                <w:szCs w:val="15"/>
              </w:rPr>
              <w:t>《北京市河湖保护管理条例》违反条款：第二十条第一款第（四）项；处罚条款：第三十九第（一）项，责令停止违法行为，限期补办行政许可手续，处1万元以上5万元以下的罚款；逾期未能取得行政许可手续的，责令限期恢复原状，赔偿损失或者采取补救措施。逾期不恢复原状的，按程序依法强制清除，所需费用由当事人承担。</w:t>
            </w:r>
          </w:p>
        </w:tc>
        <w:tc>
          <w:tcPr>
            <w:tcW w:w="5784" w:type="dxa"/>
            <w:gridSpan w:val="3"/>
            <w:shd w:val="clear" w:color="auto" w:fill="auto"/>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1</w:t>
            </w:r>
            <w:r>
              <w:rPr>
                <w:rFonts w:ascii="宋体" w:hAnsi="宋体" w:eastAsia="宋体" w:cs="仿宋_GB2312"/>
                <w:color w:val="000000"/>
                <w:kern w:val="0"/>
                <w:sz w:val="15"/>
                <w:szCs w:val="15"/>
                <w:lang w:bidi="ar"/>
              </w:rPr>
              <w:t>.</w:t>
            </w:r>
            <w:r>
              <w:rPr>
                <w:rFonts w:hint="eastAsia" w:ascii="宋体" w:hAnsi="宋体" w:eastAsia="宋体" w:cs="仿宋_GB2312"/>
                <w:color w:val="000000"/>
                <w:kern w:val="0"/>
                <w:sz w:val="15"/>
                <w:szCs w:val="15"/>
                <w:lang w:bidi="ar"/>
              </w:rPr>
              <w:t>依据《中华人民共和国水法》处罚：</w:t>
            </w:r>
          </w:p>
          <w:p>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仿宋_GB2312"/>
                <w:color w:val="000000"/>
                <w:kern w:val="0"/>
                <w:sz w:val="15"/>
                <w:szCs w:val="15"/>
                <w:lang w:bidi="ar"/>
              </w:rPr>
              <w:t>在限期内拆除，恢复原状的，不予处罚；逾期不拆除，不恢复原状的，占地面积≤25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，3万＜罚款额≤6万；100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＜占地面积，6万＜罚款额≤10万</w:t>
            </w:r>
            <w:r>
              <w:rPr>
                <w:rFonts w:ascii="宋体" w:hAnsi="宋体" w:eastAsia="宋体" w:cs="Batang"/>
                <w:color w:val="000000"/>
                <w:kern w:val="0"/>
                <w:sz w:val="15"/>
                <w:szCs w:val="15"/>
                <w:lang w:bidi="ar"/>
              </w:rPr>
              <w:t>。</w:t>
            </w:r>
          </w:p>
          <w:p>
            <w:pPr>
              <w:pStyle w:val="22"/>
              <w:spacing w:after="0" w:line="232" w:lineRule="exact"/>
              <w:ind w:left="0" w:leftChars="0" w:firstLine="0" w:firstLineChars="0"/>
              <w:rPr>
                <w:rFonts w:ascii="宋体" w:hAnsi="宋体" w:eastAsia="宋体" w:cs="Batang"/>
                <w:color w:val="000000"/>
                <w:kern w:val="0"/>
                <w:sz w:val="15"/>
                <w:szCs w:val="15"/>
                <w:lang w:bidi="ar"/>
              </w:rPr>
            </w:pPr>
            <w:r>
              <w:rPr>
                <w:rFonts w:hint="eastAsia" w:ascii="宋体" w:hAnsi="宋体" w:eastAsia="宋体" w:cs="Batang"/>
                <w:color w:val="000000"/>
                <w:kern w:val="0"/>
                <w:sz w:val="15"/>
                <w:szCs w:val="15"/>
                <w:lang w:bidi="ar"/>
              </w:rPr>
              <w:t>2</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依据《中华人民共和国防洪法》《北京市水利工程保护管理条例》《北京市河湖保护管理条例》处罚：</w:t>
            </w:r>
          </w:p>
          <w:p>
            <w:pPr>
              <w:pStyle w:val="22"/>
              <w:spacing w:after="0" w:line="232" w:lineRule="exact"/>
              <w:ind w:left="0" w:leftChars="0" w:firstLine="0" w:firstLineChars="0"/>
              <w:rPr>
                <w:rFonts w:hint="eastAsia" w:ascii="宋体" w:hAnsi="宋体" w:eastAsia="宋体" w:cs="Batang"/>
                <w:color w:val="000000"/>
                <w:kern w:val="0"/>
                <w:sz w:val="15"/>
                <w:szCs w:val="15"/>
                <w:lang w:val="en-US" w:eastAsia="zh-CN" w:bidi="ar"/>
              </w:rPr>
            </w:pPr>
            <w:r>
              <w:rPr>
                <w:rFonts w:hint="eastAsia" w:ascii="宋体" w:hAnsi="宋体" w:eastAsia="宋体" w:cs="仿宋_GB2312"/>
                <w:color w:val="000000"/>
                <w:kern w:val="0"/>
                <w:sz w:val="15"/>
                <w:szCs w:val="15"/>
                <w:lang w:bidi="ar"/>
              </w:rPr>
              <w:t>占地面积≤25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，罚款额≤1万；25</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，1万＜罚款额≤3万；100</w:t>
            </w:r>
            <w:r>
              <w:rPr>
                <w:rFonts w:ascii="宋体" w:hAnsi="宋体" w:eastAsia="宋体" w:cs="Batang"/>
                <w:color w:val="000000"/>
                <w:kern w:val="0"/>
                <w:sz w:val="15"/>
                <w:szCs w:val="15"/>
                <w:lang w:bidi="ar"/>
              </w:rPr>
              <w:t>㎡</w:t>
            </w:r>
            <w:r>
              <w:rPr>
                <w:rFonts w:hint="eastAsia" w:ascii="宋体" w:hAnsi="宋体" w:eastAsia="宋体" w:cs="Batang"/>
                <w:color w:val="000000"/>
                <w:kern w:val="0"/>
                <w:sz w:val="15"/>
                <w:szCs w:val="15"/>
                <w:lang w:bidi="ar"/>
              </w:rPr>
              <w:t>＜占地面积，3万＜罚款额≤5万</w:t>
            </w:r>
            <w:r>
              <w:rPr>
                <w:rFonts w:ascii="宋体" w:hAnsi="宋体" w:eastAsia="宋体" w:cs="Batang"/>
                <w:color w:val="000000"/>
                <w:kern w:val="0"/>
                <w:sz w:val="15"/>
                <w:szCs w:val="15"/>
                <w:lang w:bidi="ar"/>
              </w:rPr>
              <w:t>。</w:t>
            </w:r>
          </w:p>
        </w:tc>
        <w:tc>
          <w:tcPr>
            <w:tcW w:w="2108" w:type="dxa"/>
            <w:gridSpan w:val="4"/>
            <w:shd w:val="clear" w:color="auto" w:fill="auto"/>
            <w:noWrap w:val="0"/>
            <w:vAlign w:val="center"/>
          </w:tcPr>
          <w:p>
            <w:pPr>
              <w:spacing w:line="232" w:lineRule="exact"/>
              <w:rPr>
                <w:rFonts w:ascii="宋体" w:hAnsi="宋体" w:eastAsia="宋体" w:cs="仿宋_GB2312"/>
                <w:kern w:val="2"/>
                <w:sz w:val="15"/>
                <w:szCs w:val="15"/>
                <w:lang w:val="en-US" w:eastAsia="zh-CN" w:bidi="ar-SA"/>
              </w:rPr>
            </w:pPr>
          </w:p>
        </w:tc>
        <w:tc>
          <w:tcPr>
            <w:tcW w:w="1208" w:type="dxa"/>
            <w:gridSpan w:val="2"/>
            <w:shd w:val="clear" w:color="auto" w:fill="auto"/>
            <w:noWrap w:val="0"/>
            <w:vAlign w:val="center"/>
          </w:tcPr>
          <w:p>
            <w:pPr>
              <w:spacing w:line="232" w:lineRule="exact"/>
              <w:jc w:val="both"/>
              <w:rPr>
                <w:rFonts w:hint="default" w:ascii="宋体" w:hAnsi="宋体" w:eastAsia="宋体" w:cs="仿宋_GB2312"/>
                <w:kern w:val="2"/>
                <w:sz w:val="15"/>
                <w:szCs w:val="15"/>
                <w:lang w:val="en-US" w:eastAsia="zh-CN" w:bidi="ar-SA"/>
              </w:rPr>
            </w:pPr>
            <w:r>
              <w:rPr>
                <w:rFonts w:hint="eastAsia" w:ascii="宋体" w:hAnsi="宋体" w:eastAsia="宋体" w:cs="仿宋_GB2312"/>
                <w:kern w:val="2"/>
                <w:sz w:val="15"/>
                <w:szCs w:val="15"/>
                <w:lang w:val="en-US" w:eastAsia="zh-CN" w:bidi="ar-SA"/>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65" w:hRule="atLeast"/>
        </w:trPr>
        <w:tc>
          <w:tcPr>
            <w:tcW w:w="14329" w:type="dxa"/>
            <w:gridSpan w:val="15"/>
            <w:noWrap w:val="0"/>
            <w:vAlign w:val="center"/>
          </w:tcPr>
          <w:p>
            <w:pPr>
              <w:pStyle w:val="2"/>
              <w:bidi w:val="0"/>
              <w:rPr>
                <w:rFonts w:ascii="宋体" w:hAnsi="宋体" w:eastAsia="宋体"/>
                <w:szCs w:val="15"/>
              </w:rPr>
            </w:pPr>
            <w:bookmarkStart w:id="213" w:name="_Toc1421698366"/>
            <w:r>
              <w:rPr>
                <w:rFonts w:hint="eastAsia"/>
                <w:sz w:val="21"/>
                <w:szCs w:val="21"/>
              </w:rPr>
              <w:t>农业农村</w:t>
            </w:r>
            <w:r>
              <w:rPr>
                <w:rFonts w:hint="eastAsia"/>
                <w:sz w:val="21"/>
                <w:szCs w:val="21"/>
                <w:lang w:eastAsia="zh-CN"/>
              </w:rPr>
              <w:t>下放</w:t>
            </w:r>
            <w:r>
              <w:rPr>
                <w:rFonts w:hint="eastAsia"/>
                <w:sz w:val="21"/>
                <w:szCs w:val="21"/>
              </w:rPr>
              <w:t>1项</w:t>
            </w:r>
            <w:bookmarkEnd w:id="210"/>
            <w:bookmarkEnd w:id="211"/>
            <w:bookmarkEnd w:id="212"/>
            <w:bookmarkEnd w:id="2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在增殖放流水域垂钓</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《北京市实施〈中华人民共和国渔业法〉办法》违反条款：第二十一条第一款第（七）项；处罚条款：第二十六条第一款第（五）项，责令停止违法行为，没收渔具，并可以处50元以上500元以下罚款。</w:t>
            </w:r>
          </w:p>
        </w:tc>
        <w:tc>
          <w:tcPr>
            <w:tcW w:w="5784" w:type="dxa"/>
            <w:gridSpan w:val="3"/>
            <w:noWrap w:val="0"/>
            <w:vAlign w:val="center"/>
          </w:tcPr>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宋体"/>
                <w:color w:val="000000"/>
                <w:kern w:val="0"/>
                <w:sz w:val="15"/>
                <w:szCs w:val="15"/>
              </w:rPr>
              <w:t>责令停止违法行为，没收渔具，并可处50元以上500元以下罚款。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07" w:hRule="atLeast"/>
        </w:trPr>
        <w:tc>
          <w:tcPr>
            <w:tcW w:w="14329" w:type="dxa"/>
            <w:gridSpan w:val="15"/>
            <w:noWrap w:val="0"/>
            <w:vAlign w:val="center"/>
          </w:tcPr>
          <w:p>
            <w:pPr>
              <w:pStyle w:val="2"/>
              <w:bidi w:val="0"/>
              <w:rPr>
                <w:rFonts w:hint="eastAsia"/>
                <w:sz w:val="21"/>
                <w:szCs w:val="21"/>
              </w:rPr>
            </w:pPr>
            <w:bookmarkStart w:id="214" w:name="_Toc110851505"/>
            <w:bookmarkStart w:id="215" w:name="_Toc589852508"/>
            <w:bookmarkStart w:id="216" w:name="_Toc2011773058"/>
            <w:bookmarkStart w:id="217" w:name="_Toc1956716489"/>
            <w:r>
              <w:rPr>
                <w:rFonts w:hint="eastAsia"/>
                <w:sz w:val="21"/>
                <w:szCs w:val="21"/>
              </w:rPr>
              <w:t>卫生健康</w:t>
            </w:r>
            <w:r>
              <w:rPr>
                <w:rFonts w:hint="eastAsia"/>
                <w:sz w:val="21"/>
                <w:szCs w:val="21"/>
                <w:lang w:eastAsia="zh-CN"/>
              </w:rPr>
              <w:t>下放</w:t>
            </w:r>
            <w:r>
              <w:rPr>
                <w:rFonts w:hint="eastAsia"/>
                <w:sz w:val="21"/>
                <w:szCs w:val="21"/>
                <w:lang w:val="en-US" w:eastAsia="zh-CN"/>
              </w:rPr>
              <w:t>5</w:t>
            </w:r>
            <w:r>
              <w:rPr>
                <w:rFonts w:hint="eastAsia"/>
                <w:sz w:val="21"/>
                <w:szCs w:val="21"/>
              </w:rPr>
              <w:t>项</w:t>
            </w:r>
            <w:bookmarkEnd w:id="214"/>
            <w:bookmarkEnd w:id="215"/>
            <w:bookmarkEnd w:id="216"/>
            <w:bookmarkEnd w:id="217"/>
          </w:p>
          <w:p>
            <w:pPr>
              <w:rPr>
                <w:rFonts w:hint="eastAsia"/>
              </w:rPr>
            </w:pPr>
          </w:p>
          <w:p>
            <w:pPr>
              <w:rPr>
                <w:rFonts w:hint="eastAsia" w:eastAsia="宋体"/>
                <w:lang w:eastAsia="zh-CN"/>
              </w:rPr>
            </w:pPr>
            <w:r>
              <w:rPr>
                <w:rFonts w:hint="eastAsia" w:ascii="宋体" w:hAnsi="宋体"/>
                <w:sz w:val="15"/>
                <w:szCs w:val="15"/>
                <w:lang w:eastAsia="zh-CN"/>
              </w:rPr>
              <w:t>《北京市卫生健康委员会关于印发北京市卫生健康行政处罚裁量细则（2023年1月修订）的通知》（京卫监督〔2023〕1号）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1</w:t>
            </w:r>
          </w:p>
        </w:tc>
        <w:tc>
          <w:tcPr>
            <w:tcW w:w="1500" w:type="dxa"/>
            <w:gridSpan w:val="2"/>
            <w:noWrap w:val="0"/>
            <w:vAlign w:val="center"/>
          </w:tcPr>
          <w:p>
            <w:pPr>
              <w:spacing w:line="210" w:lineRule="exact"/>
              <w:rPr>
                <w:rFonts w:ascii="宋体" w:hAnsi="宋体" w:eastAsia="宋体"/>
                <w:kern w:val="0"/>
                <w:sz w:val="15"/>
                <w:szCs w:val="15"/>
              </w:rPr>
            </w:pPr>
            <w:r>
              <w:rPr>
                <w:rFonts w:hint="eastAsia" w:ascii="宋体" w:hAnsi="宋体" w:eastAsia="宋体"/>
                <w:sz w:val="15"/>
                <w:szCs w:val="15"/>
              </w:rPr>
              <w:t>未按规定采取清除鼠迹、堵塞鼠洞、添设防范设施等措施及毒杀、诱捕等方法消灭老鼠，使鼠密度等指标符合国家控制标准</w:t>
            </w:r>
          </w:p>
        </w:tc>
        <w:tc>
          <w:tcPr>
            <w:tcW w:w="2789" w:type="dxa"/>
            <w:gridSpan w:val="2"/>
            <w:noWrap w:val="0"/>
            <w:vAlign w:val="center"/>
          </w:tcPr>
          <w:p>
            <w:pPr>
              <w:spacing w:line="210" w:lineRule="exact"/>
              <w:rPr>
                <w:rFonts w:ascii="宋体" w:hAnsi="宋体" w:eastAsia="宋体"/>
                <w:sz w:val="15"/>
                <w:szCs w:val="15"/>
              </w:rPr>
            </w:pPr>
            <w:r>
              <w:rPr>
                <w:rFonts w:hint="eastAsia" w:ascii="宋体" w:hAnsi="宋体" w:eastAsia="宋体"/>
                <w:sz w:val="15"/>
                <w:szCs w:val="15"/>
              </w:rPr>
              <w:t>《北京市除四害工作管理规定》违反条款：第八条；处罚条款：第十六条第（一）项，予以警告，责令限期改正，并可处以20元以上500元以下罚款；情节严重的，处以500元以上1000元以下罚款。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10"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10" w:lineRule="exact"/>
              <w:rPr>
                <w:rFonts w:ascii="宋体" w:hAnsi="宋体" w:eastAsia="宋体" w:cs="仿宋_GB2312"/>
                <w:sz w:val="15"/>
                <w:szCs w:val="15"/>
              </w:rPr>
            </w:pPr>
          </w:p>
        </w:tc>
        <w:tc>
          <w:tcPr>
            <w:tcW w:w="1208" w:type="dxa"/>
            <w:gridSpan w:val="2"/>
            <w:noWrap w:val="0"/>
            <w:vAlign w:val="center"/>
          </w:tcPr>
          <w:p>
            <w:pPr>
              <w:spacing w:line="210"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10"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2</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未按规定清除蚊蝇孳生地并运用化学、物理、生物等方法消灭蚊蝇及其幼虫，使蚊蝇密度等指标符合国家控制标准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九条第（一）项、第（二）项、第（三）项；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3</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发现蟑螂未按规定及时采取灭杀措施，使蟑螂密度等指标符合国家控制标准</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《北京市除四害工作管理规定》违反条款：第十条；处罚条款：第十六条第（一）项，予以警告，责令限期改正，并可处以20元以上500元以下罚款；情节严重的，处以500元以上1000元以下罚款。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4</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未按规定配置四害防治设施或者无人负责除四害工作</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《北京市除四害工作管理规定》违反条款：第十一条；处罚条款：第十六条第（二）项，予以警告，责令限期改正，并可处以20元以上1000元以下罚款。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未造成严重后果的，情节轻微，警告，处以20元以上（含）500元以下（含）罚款；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未造成严重后果的，情节严重的，警告，处以500元以上（不含）1000元以下（含）罚款。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2" w:hRule="atLeast"/>
        </w:trPr>
        <w:tc>
          <w:tcPr>
            <w:tcW w:w="940" w:type="dxa"/>
            <w:gridSpan w:val="2"/>
            <w:noWrap w:val="0"/>
            <w:vAlign w:val="center"/>
          </w:tcPr>
          <w:p>
            <w:pPr>
              <w:spacing w:line="232" w:lineRule="exact"/>
              <w:jc w:val="center"/>
              <w:rPr>
                <w:rFonts w:ascii="宋体" w:hAnsi="宋体" w:eastAsia="宋体" w:cs="仿宋_GB2312"/>
                <w:kern w:val="0"/>
                <w:sz w:val="15"/>
                <w:szCs w:val="15"/>
              </w:rPr>
            </w:pPr>
            <w:r>
              <w:rPr>
                <w:rFonts w:hint="eastAsia" w:ascii="宋体" w:hAnsi="宋体" w:eastAsia="宋体" w:cs="仿宋_GB2312"/>
                <w:kern w:val="0"/>
                <w:sz w:val="15"/>
                <w:szCs w:val="15"/>
              </w:rPr>
              <w:t>5</w:t>
            </w:r>
          </w:p>
        </w:tc>
        <w:tc>
          <w:tcPr>
            <w:tcW w:w="1500"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未按规定采取统一的除四害措施</w:t>
            </w:r>
          </w:p>
        </w:tc>
        <w:tc>
          <w:tcPr>
            <w:tcW w:w="2789" w:type="dxa"/>
            <w:gridSpan w:val="2"/>
            <w:noWrap w:val="0"/>
            <w:vAlign w:val="center"/>
          </w:tcPr>
          <w:p>
            <w:pPr>
              <w:spacing w:line="232" w:lineRule="exact"/>
              <w:rPr>
                <w:rFonts w:ascii="宋体" w:hAnsi="宋体" w:eastAsia="宋体"/>
                <w:sz w:val="15"/>
                <w:szCs w:val="15"/>
              </w:rPr>
            </w:pPr>
            <w:r>
              <w:rPr>
                <w:rFonts w:hint="eastAsia" w:ascii="宋体" w:hAnsi="宋体" w:eastAsia="宋体"/>
                <w:sz w:val="15"/>
                <w:szCs w:val="15"/>
              </w:rPr>
              <w:t>《北京市除四害工作管理规定》违反条款：第十二条；处罚条款：第十六条第（三）项，给予警告，责令限期改正；逾期不改正的，可处以20元以上1000元以下罚款。</w:t>
            </w:r>
          </w:p>
        </w:tc>
        <w:tc>
          <w:tcPr>
            <w:tcW w:w="5784" w:type="dxa"/>
            <w:gridSpan w:val="3"/>
            <w:noWrap w:val="0"/>
            <w:vAlign w:val="center"/>
          </w:tcPr>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w:t>
            </w:r>
            <w:r>
              <w:rPr>
                <w:rFonts w:ascii="宋体" w:hAnsi="宋体" w:eastAsia="宋体" w:cs="仿宋_GB2312"/>
                <w:color w:val="000000"/>
                <w:kern w:val="0"/>
                <w:sz w:val="15"/>
                <w:szCs w:val="15"/>
                <w:lang w:bidi="ar"/>
              </w:rPr>
              <w:t>警告；</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未造成严重后果的，情节轻微，处以20元以上（含）500元以下（含）罚款；</w:t>
            </w:r>
          </w:p>
          <w:p>
            <w:pPr>
              <w:pStyle w:val="22"/>
              <w:spacing w:after="0" w:line="232" w:lineRule="exact"/>
              <w:ind w:left="0" w:leftChars="0" w:firstLine="0" w:firstLineChars="0"/>
              <w:rPr>
                <w:rFonts w:ascii="宋体" w:hAnsi="宋体" w:eastAsia="宋体" w:cs="仿宋_GB2312"/>
                <w:color w:val="000000"/>
                <w:kern w:val="0"/>
                <w:sz w:val="15"/>
                <w:szCs w:val="15"/>
                <w:lang w:bidi="ar"/>
              </w:rPr>
            </w:pPr>
            <w:r>
              <w:rPr>
                <w:rFonts w:hint="eastAsia" w:ascii="宋体" w:hAnsi="宋体" w:eastAsia="宋体" w:cs="仿宋_GB2312"/>
                <w:color w:val="000000"/>
                <w:kern w:val="0"/>
                <w:sz w:val="15"/>
                <w:szCs w:val="15"/>
                <w:lang w:bidi="ar"/>
              </w:rPr>
              <w:t>未造成严重后果的，情节严重的，处以500元以上（不含）1000元以下（含）罚款。</w:t>
            </w:r>
          </w:p>
        </w:tc>
        <w:tc>
          <w:tcPr>
            <w:tcW w:w="2108" w:type="dxa"/>
            <w:gridSpan w:val="4"/>
            <w:noWrap w:val="0"/>
            <w:vAlign w:val="center"/>
          </w:tcPr>
          <w:p>
            <w:pPr>
              <w:spacing w:line="232" w:lineRule="exact"/>
              <w:rPr>
                <w:rFonts w:ascii="宋体" w:hAnsi="宋体" w:eastAsia="宋体" w:cs="仿宋_GB2312"/>
                <w:sz w:val="15"/>
                <w:szCs w:val="15"/>
              </w:rPr>
            </w:pPr>
          </w:p>
        </w:tc>
        <w:tc>
          <w:tcPr>
            <w:tcW w:w="1208" w:type="dxa"/>
            <w:gridSpan w:val="2"/>
            <w:noWrap w:val="0"/>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spacing w:line="232" w:lineRule="exact"/>
              <w:jc w:val="center"/>
              <w:rPr>
                <w:rFonts w:ascii="宋体" w:hAnsi="宋体" w:eastAsia="宋体" w:cs="仿宋_GB2312"/>
                <w:sz w:val="15"/>
                <w:szCs w:val="15"/>
              </w:rPr>
            </w:pPr>
            <w:r>
              <w:rPr>
                <w:rFonts w:hint="eastAsia" w:ascii="宋体" w:hAnsi="宋体" w:eastAsia="宋体"/>
                <w:color w:val="000000"/>
                <w:sz w:val="15"/>
                <w:szCs w:val="15"/>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9" w:hRule="atLeast"/>
        </w:trPr>
        <w:tc>
          <w:tcPr>
            <w:tcW w:w="14329" w:type="dxa"/>
            <w:gridSpan w:val="15"/>
            <w:noWrap w:val="0"/>
            <w:vAlign w:val="center"/>
          </w:tcPr>
          <w:p>
            <w:pPr>
              <w:pStyle w:val="2"/>
              <w:bidi w:val="0"/>
              <w:rPr>
                <w:rFonts w:hint="default" w:ascii="宋体" w:hAnsi="宋体" w:eastAsia="宋体" w:cs="Times New Roman"/>
                <w:b/>
                <w:bCs/>
                <w:color w:val="000000"/>
                <w:kern w:val="44"/>
                <w:szCs w:val="15"/>
                <w:lang w:val="en-US" w:eastAsia="zh-CN" w:bidi="ar-SA"/>
              </w:rPr>
            </w:pPr>
            <w:bookmarkStart w:id="218" w:name="_Toc889625702"/>
            <w:bookmarkStart w:id="219" w:name="_Toc979026322"/>
            <w:r>
              <w:rPr>
                <w:rFonts w:hint="eastAsia"/>
                <w:b/>
                <w:bCs/>
                <w:sz w:val="21"/>
                <w:szCs w:val="21"/>
                <w:lang w:eastAsia="zh-CN"/>
              </w:rPr>
              <w:t>住房城乡建设下放</w:t>
            </w:r>
            <w:r>
              <w:rPr>
                <w:rFonts w:hint="eastAsia"/>
                <w:b/>
                <w:bCs/>
                <w:sz w:val="21"/>
                <w:szCs w:val="21"/>
                <w:lang w:val="en-US" w:eastAsia="zh-CN"/>
              </w:rPr>
              <w:t>3项</w:t>
            </w:r>
            <w:bookmarkEnd w:id="2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0" w:hRule="atLeast"/>
        </w:trPr>
        <w:tc>
          <w:tcPr>
            <w:tcW w:w="14329" w:type="dxa"/>
            <w:gridSpan w:val="15"/>
            <w:noWrap w:val="0"/>
            <w:vAlign w:val="center"/>
          </w:tcPr>
          <w:p>
            <w:pPr>
              <w:autoSpaceDE w:val="0"/>
              <w:autoSpaceDN w:val="0"/>
              <w:adjustRightInd w:val="0"/>
              <w:spacing w:line="520" w:lineRule="exact"/>
              <w:jc w:val="center"/>
              <w:rPr>
                <w:rFonts w:hint="default"/>
                <w:b/>
                <w:bCs/>
                <w:sz w:val="21"/>
                <w:szCs w:val="21"/>
                <w:lang w:val="en-US" w:eastAsia="zh-CN"/>
              </w:rPr>
            </w:pPr>
            <w:r>
              <w:rPr>
                <w:rFonts w:hint="eastAsia"/>
                <w:b/>
                <w:bCs/>
                <w:sz w:val="21"/>
                <w:szCs w:val="21"/>
                <w:lang w:eastAsia="zh-CN"/>
              </w:rPr>
              <w:t>《北京市物业管理条例案由》</w:t>
            </w:r>
            <w:r>
              <w:rPr>
                <w:rFonts w:hint="eastAsia"/>
                <w:b/>
                <w:bCs/>
                <w:sz w:val="21"/>
                <w:szCs w:val="21"/>
                <w:lang w:val="en-US" w:eastAsia="zh-CN"/>
              </w:rPr>
              <w:t>2项</w:t>
            </w:r>
          </w:p>
          <w:p>
            <w:pPr>
              <w:autoSpaceDE w:val="0"/>
              <w:autoSpaceDN w:val="0"/>
              <w:adjustRightInd w:val="0"/>
              <w:spacing w:line="520" w:lineRule="exact"/>
              <w:jc w:val="center"/>
              <w:rPr>
                <w:rFonts w:hint="eastAsia"/>
                <w:sz w:val="21"/>
                <w:szCs w:val="21"/>
                <w:lang w:val="en-US" w:eastAsia="zh-CN"/>
              </w:rPr>
            </w:pPr>
            <w:r>
              <w:rPr>
                <w:rFonts w:hint="eastAsia"/>
                <w:sz w:val="21"/>
                <w:szCs w:val="21"/>
                <w:lang w:eastAsia="zh-CN"/>
              </w:rPr>
              <w:t>《北京市住房和城乡建设委员会关于调整</w:t>
            </w:r>
            <w:r>
              <w:rPr>
                <w:rFonts w:hint="default"/>
                <w:sz w:val="21"/>
                <w:szCs w:val="21"/>
                <w:lang w:val="en-US" w:eastAsia="zh-CN"/>
              </w:rPr>
              <w:t>&lt;</w:t>
            </w:r>
            <w:r>
              <w:rPr>
                <w:rFonts w:hint="eastAsia"/>
                <w:sz w:val="21"/>
                <w:szCs w:val="21"/>
                <w:lang w:eastAsia="zh-CN"/>
              </w:rPr>
              <w:t>北京市住房城乡建设系统行政处罚裁量基准</w:t>
            </w:r>
            <w:r>
              <w:rPr>
                <w:rFonts w:hint="default"/>
                <w:sz w:val="21"/>
                <w:szCs w:val="21"/>
                <w:lang w:val="en-US" w:eastAsia="zh-CN"/>
              </w:rPr>
              <w:t>&gt;</w:t>
            </w:r>
            <w:r>
              <w:rPr>
                <w:rFonts w:hint="eastAsia"/>
                <w:sz w:val="21"/>
                <w:szCs w:val="21"/>
                <w:lang w:eastAsia="zh-CN"/>
              </w:rPr>
              <w:t>部分条款的通知》（</w:t>
            </w:r>
            <w:r>
              <w:rPr>
                <w:rFonts w:hint="eastAsia" w:ascii="仿宋_GB2312" w:eastAsia="仿宋_GB2312" w:cs="楷体_GB2312"/>
                <w:sz w:val="21"/>
                <w:szCs w:val="21"/>
                <w:lang w:val="zh-CN"/>
              </w:rPr>
              <w:t>京建法〔202</w:t>
            </w:r>
            <w:r>
              <w:rPr>
                <w:rFonts w:hint="eastAsia" w:ascii="仿宋_GB2312" w:eastAsia="仿宋_GB2312" w:cs="楷体_GB2312"/>
                <w:sz w:val="21"/>
                <w:szCs w:val="21"/>
                <w:lang w:val="en-US" w:eastAsia="zh-CN"/>
              </w:rPr>
              <w:t>3</w:t>
            </w:r>
            <w:r>
              <w:rPr>
                <w:rFonts w:hint="eastAsia" w:ascii="仿宋_GB2312" w:eastAsia="仿宋_GB2312" w:cs="楷体_GB2312"/>
                <w:sz w:val="21"/>
                <w:szCs w:val="21"/>
                <w:lang w:val="zh-CN"/>
              </w:rPr>
              <w:t>〕</w:t>
            </w:r>
            <w:r>
              <w:rPr>
                <w:rFonts w:hint="eastAsia" w:ascii="仿宋_GB2312" w:eastAsia="仿宋_GB2312" w:cs="楷体_GB2312"/>
                <w:sz w:val="21"/>
                <w:szCs w:val="21"/>
                <w:lang w:val="en-US" w:eastAsia="zh-CN"/>
              </w:rPr>
              <w:t>5</w:t>
            </w:r>
            <w:r>
              <w:rPr>
                <w:rFonts w:hint="eastAsia" w:ascii="仿宋_GB2312" w:eastAsia="仿宋_GB2312" w:cs="楷体_GB2312"/>
                <w:sz w:val="21"/>
                <w:szCs w:val="21"/>
                <w:lang w:val="zh-CN"/>
              </w:rPr>
              <w:t>号</w:t>
            </w:r>
            <w:r>
              <w:rPr>
                <w:rFonts w:hint="eastAsia"/>
                <w:sz w:val="21"/>
                <w:szCs w:val="21"/>
                <w:lang w:eastAsia="zh-CN"/>
              </w:rPr>
              <w:t>）</w:t>
            </w:r>
          </w:p>
        </w:tc>
      </w:tr>
      <w:bookmarkEnd w:id="21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bookmarkStart w:id="220" w:name="_Toc1056450575"/>
            <w:r>
              <w:rPr>
                <w:rFonts w:hint="eastAsia" w:ascii="宋体" w:hAnsi="宋体" w:eastAsia="宋体" w:cs="宋体"/>
                <w:i w:val="0"/>
                <w:color w:val="000000"/>
                <w:kern w:val="0"/>
                <w:sz w:val="15"/>
                <w:szCs w:val="15"/>
                <w:u w:val="none"/>
                <w:lang w:val="en-US" w:eastAsia="zh-CN" w:bidi="ar"/>
              </w:rPr>
              <w:t>37</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物业服务人未按规定将物业服务合同报街道办事处、乡镇人民政府、区住房和城乡建设或者房屋主管部门备案</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《北京市物业管理条例》违反条款：第六十三条第三款；</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处罚条款：第九十一条，责令限期改正，给予警告；逾期不改的，处五千元以上一万元以下的罚款。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责令7日内改正，警告</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1"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C1620300B020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38</w:t>
            </w:r>
          </w:p>
        </w:tc>
        <w:tc>
          <w:tcPr>
            <w:tcW w:w="9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w:t>
            </w:r>
          </w:p>
        </w:tc>
        <w:tc>
          <w:tcPr>
            <w:tcW w:w="17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物业服务企业项目负责人未按时报到</w:t>
            </w:r>
          </w:p>
        </w:tc>
        <w:tc>
          <w:tcPr>
            <w:tcW w:w="2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《北京市物业管理条例》</w:t>
            </w:r>
            <w:r>
              <w:rPr>
                <w:rFonts w:hint="eastAsia" w:ascii="宋体" w:hAnsi="宋体" w:cs="宋体"/>
                <w:i w:val="0"/>
                <w:color w:val="000000"/>
                <w:kern w:val="0"/>
                <w:sz w:val="15"/>
                <w:szCs w:val="15"/>
                <w:u w:val="none"/>
                <w:lang w:val="en-US" w:eastAsia="zh-CN" w:bidi="ar"/>
              </w:rPr>
              <w:t>违反条款：</w:t>
            </w:r>
            <w:r>
              <w:rPr>
                <w:rFonts w:hint="eastAsia" w:ascii="宋体" w:hAnsi="宋体" w:eastAsia="宋体" w:cs="宋体"/>
                <w:i w:val="0"/>
                <w:color w:val="000000"/>
                <w:kern w:val="0"/>
                <w:sz w:val="15"/>
                <w:szCs w:val="15"/>
                <w:u w:val="none"/>
                <w:lang w:val="en-US" w:eastAsia="zh-CN" w:bidi="ar"/>
              </w:rPr>
              <w:t>第六十六条</w:t>
            </w:r>
            <w:r>
              <w:rPr>
                <w:rFonts w:hint="eastAsia" w:ascii="宋体" w:hAnsi="宋体" w:cs="宋体"/>
                <w:i w:val="0"/>
                <w:color w:val="000000"/>
                <w:kern w:val="0"/>
                <w:sz w:val="15"/>
                <w:szCs w:val="15"/>
                <w:u w:val="none"/>
                <w:lang w:val="en-US" w:eastAsia="zh-CN" w:bidi="ar"/>
              </w:rPr>
              <w:t>；处罚条款：</w:t>
            </w:r>
            <w:r>
              <w:rPr>
                <w:rFonts w:hint="eastAsia" w:ascii="宋体" w:hAnsi="宋体" w:eastAsia="宋体" w:cs="宋体"/>
                <w:i w:val="0"/>
                <w:color w:val="000000"/>
                <w:kern w:val="0"/>
                <w:sz w:val="15"/>
                <w:szCs w:val="15"/>
                <w:u w:val="none"/>
                <w:lang w:val="en-US" w:eastAsia="zh-CN" w:bidi="ar"/>
              </w:rPr>
              <w:t>第九十三条，责令限期改正；逾期不改的，处五千元以上一万元以下的罚款。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责令7日内改正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restart"/>
            <w:tcBorders>
              <w:top w:val="single" w:color="000000" w:sz="4" w:space="0"/>
              <w:left w:val="single" w:color="auto" w:sz="4" w:space="0"/>
              <w:right w:val="single" w:color="000000" w:sz="4" w:space="0"/>
            </w:tcBorders>
            <w:shd w:val="clear" w:color="auto" w:fill="auto"/>
            <w:vAlign w:val="center"/>
          </w:tcPr>
          <w:p>
            <w:pPr>
              <w:spacing w:line="232" w:lineRule="exact"/>
              <w:jc w:val="center"/>
              <w:rPr>
                <w:rFonts w:ascii="宋体" w:hAnsi="宋体" w:eastAsia="宋体"/>
                <w:color w:val="000000"/>
                <w:sz w:val="15"/>
                <w:szCs w:val="15"/>
              </w:rPr>
            </w:pPr>
            <w:r>
              <w:rPr>
                <w:rFonts w:hint="eastAsia" w:ascii="宋体" w:hAnsi="宋体" w:eastAsia="宋体"/>
                <w:color w:val="000000"/>
                <w:sz w:val="15"/>
                <w:szCs w:val="15"/>
              </w:rPr>
              <w:t>街道</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olor w:val="000000"/>
                <w:sz w:val="15"/>
                <w:szCs w:val="15"/>
              </w:rPr>
              <w:t>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责令改正限期内改正违法行为（违法行为轻微并及时纠正，没有造成危害后果）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责令期满后7日内改正违法行为的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处5000元以上7500元以下罚款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4" w:hRule="atLeast"/>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7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2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C1674800B020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责令期满后7日以上改正违法行为或违法情节严重的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处7500元以上10000元以下罚款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6个月</w:t>
            </w:r>
          </w:p>
        </w:tc>
        <w:tc>
          <w:tcPr>
            <w:tcW w:w="1060"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14329"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eastAsia"/>
                <w:b/>
                <w:bCs/>
                <w:lang w:val="en-US" w:eastAsia="zh-CN"/>
              </w:rPr>
            </w:pPr>
            <w:r>
              <w:rPr>
                <w:rFonts w:hint="eastAsia"/>
                <w:b/>
                <w:bCs/>
                <w:lang w:eastAsia="zh-CN"/>
              </w:rPr>
              <w:t>《北京市住房租赁条例》案由</w:t>
            </w:r>
            <w:r>
              <w:rPr>
                <w:rFonts w:hint="eastAsia"/>
                <w:b/>
                <w:bCs/>
                <w:lang w:val="en-US" w:eastAsia="zh-CN"/>
              </w:rPr>
              <w:t>1项</w:t>
            </w:r>
          </w:p>
          <w:p>
            <w:pPr>
              <w:jc w:val="left"/>
              <w:rPr>
                <w:rFonts w:hint="eastAsia"/>
                <w:sz w:val="15"/>
                <w:szCs w:val="15"/>
                <w:lang w:val="en-US" w:eastAsia="zh-CN"/>
              </w:rPr>
            </w:pPr>
            <w:r>
              <w:rPr>
                <w:rFonts w:hint="eastAsia"/>
                <w:sz w:val="15"/>
                <w:szCs w:val="15"/>
                <w:lang w:val="en-US" w:eastAsia="zh-CN"/>
              </w:rPr>
              <w:t>《北京市住房和城乡建设委员会关于印发</w:t>
            </w:r>
            <w:r>
              <w:rPr>
                <w:rFonts w:hint="default"/>
                <w:sz w:val="15"/>
                <w:szCs w:val="15"/>
                <w:lang w:val="en-US" w:eastAsia="zh-CN"/>
              </w:rPr>
              <w:t>&lt;</w:t>
            </w:r>
            <w:r>
              <w:rPr>
                <w:rFonts w:hint="eastAsia"/>
                <w:sz w:val="15"/>
                <w:szCs w:val="15"/>
                <w:lang w:val="en-US" w:eastAsia="zh-CN"/>
              </w:rPr>
              <w:t>北京市住房租赁条例</w:t>
            </w:r>
            <w:r>
              <w:rPr>
                <w:rFonts w:hint="default"/>
                <w:sz w:val="15"/>
                <w:szCs w:val="15"/>
                <w:lang w:val="en-US" w:eastAsia="zh-CN"/>
              </w:rPr>
              <w:t>&gt;</w:t>
            </w:r>
            <w:r>
              <w:rPr>
                <w:rFonts w:hint="eastAsia"/>
                <w:sz w:val="15"/>
                <w:szCs w:val="15"/>
                <w:lang w:val="en-US" w:eastAsia="zh-CN"/>
              </w:rPr>
              <w:t>行政处罚裁量基准的通知》（</w:t>
            </w:r>
            <w:r>
              <w:rPr>
                <w:rFonts w:ascii="微软雅黑" w:hAnsi="微软雅黑" w:eastAsia="微软雅黑" w:cs="微软雅黑"/>
                <w:i w:val="0"/>
                <w:iCs w:val="0"/>
                <w:caps w:val="0"/>
                <w:color w:val="333333"/>
                <w:spacing w:val="0"/>
                <w:sz w:val="14"/>
                <w:szCs w:val="14"/>
                <w:shd w:val="clear" w:fill="FFFFFF"/>
              </w:rPr>
              <w:t>京建法〔2022〕10号</w:t>
            </w:r>
            <w:r>
              <w:rPr>
                <w:rFonts w:hint="eastAsia"/>
                <w:sz w:val="15"/>
                <w:szCs w:val="15"/>
                <w:lang w:val="en-US" w:eastAsia="zh-CN"/>
              </w:rPr>
              <w:t>）</w:t>
            </w:r>
          </w:p>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5"/>
                <w:szCs w:val="15"/>
                <w:u w:val="none"/>
                <w:lang w:val="en-US" w:eastAsia="zh-CN" w:bidi="ar"/>
              </w:rPr>
            </w:pPr>
            <w:r>
              <w:rPr>
                <w:rFonts w:hint="default" w:ascii="宋体" w:hAnsi="宋体" w:cs="宋体"/>
                <w:i w:val="0"/>
                <w:color w:val="000000"/>
                <w:kern w:val="0"/>
                <w:sz w:val="15"/>
                <w:szCs w:val="15"/>
                <w:u w:val="none"/>
                <w:lang w:val="en-US" w:eastAsia="zh-CN" w:bidi="ar"/>
              </w:rPr>
              <w:t>1</w:t>
            </w:r>
          </w:p>
        </w:tc>
        <w:tc>
          <w:tcPr>
            <w:tcW w:w="93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w:t>
            </w:r>
          </w:p>
        </w:tc>
        <w:tc>
          <w:tcPr>
            <w:tcW w:w="170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未按照规定出租住房</w:t>
            </w:r>
          </w:p>
        </w:tc>
        <w:tc>
          <w:tcPr>
            <w:tcW w:w="20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《北京市住房租赁条例》 违反条款：第十三条第一款第（三）项至第（五）项；处罚条款：第六十三条第三款，责令限期改正或者恢复原状，对个人可处二千元以上一万元以下罚款，对单位可处二万元以上十万元以下罚款；逾期不改的，改正前停止出租，对个人处一万元以上五万元以下罚款，对单位处十万元以上五十万元以下罚款。</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发现违法行为</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责令改正</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restart"/>
            <w:tcBorders>
              <w:left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color w:val="000000"/>
                <w:kern w:val="0"/>
                <w:sz w:val="15"/>
                <w:szCs w:val="15"/>
                <w:u w:val="none"/>
                <w:lang w:val="en-US" w:eastAsia="zh-CN" w:bidi="ar"/>
              </w:rPr>
            </w:pPr>
            <w:r>
              <w:rPr>
                <w:rFonts w:hint="eastAsia" w:ascii="宋体" w:hAnsi="宋体" w:cs="宋体"/>
                <w:i w:val="0"/>
                <w:color w:val="000000"/>
                <w:kern w:val="0"/>
                <w:sz w:val="15"/>
                <w:szCs w:val="15"/>
                <w:u w:val="none"/>
                <w:lang w:val="en-US" w:eastAsia="zh-CN" w:bidi="ar"/>
              </w:rPr>
              <w:t>街道乡镇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C1672300T</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违法行为轻微并及时纠正，没有造成危害后果</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不予行政处罚</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在规定期限内改正，违法情节轻微</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对个人可处二千元以上四千元以下罚款，对单位可处二万元以上四万元以下罚款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在规定期限内改正，违法情节一般的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对个人可处四千元以上七千元以下罚款，对单位可处四万元以上七万元以下罚款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一般</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6个月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C1672300A030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在规定期限内改正，违法情节严重的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对个人可处七千元以上一万元以下罚款，对单位可处七万元以上十万元以下罚款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C1672300A040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逾期3日内改正的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改正前停止出租，对个人处一万元以上二万元以下罚款，对单位处十万元以上二十万元以下罚款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C1672300A050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逾期3日以上7日以内的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改正前停止出租，对个人处二万元以上四万元以下罚款，对单位处二十万元以上四十万元以下罚款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24个月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12个月</w:t>
            </w:r>
          </w:p>
        </w:tc>
        <w:tc>
          <w:tcPr>
            <w:tcW w:w="1060"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499"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c>
          <w:tcPr>
            <w:tcW w:w="930"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1707"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209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C1672300A060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逾期7日以上或违法情节严重的</w:t>
            </w:r>
          </w:p>
        </w:tc>
        <w:tc>
          <w:tcPr>
            <w:tcW w:w="19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改正前停止出租，对个人处四万元以上五万元以下罚款，对单位处四十万元以上五十万元以下罚款</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严重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36个月</w:t>
            </w:r>
          </w:p>
        </w:tc>
        <w:tc>
          <w:tcPr>
            <w:tcW w:w="86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w:t>
            </w:r>
          </w:p>
        </w:tc>
        <w:tc>
          <w:tcPr>
            <w:tcW w:w="106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p>
        </w:tc>
      </w:tr>
      <w:bookmarkEnd w:id="220"/>
    </w:tbl>
    <w:p>
      <w:pPr>
        <w:pStyle w:val="8"/>
      </w:pPr>
    </w:p>
    <w:p>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yZmRlNjE4MWQyYWU5Mzg4NzNjM2NhNzA3YTQzYTI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9F64F97"/>
    <w:rsid w:val="0A0D460E"/>
    <w:rsid w:val="0AEF46DA"/>
    <w:rsid w:val="0B9F92F6"/>
    <w:rsid w:val="0BF216FD"/>
    <w:rsid w:val="0BFBDC50"/>
    <w:rsid w:val="0C14055E"/>
    <w:rsid w:val="0DB203EF"/>
    <w:rsid w:val="0EA6FEA5"/>
    <w:rsid w:val="0EC7610D"/>
    <w:rsid w:val="0EEE2A65"/>
    <w:rsid w:val="0F260DF9"/>
    <w:rsid w:val="0FBFF7C9"/>
    <w:rsid w:val="0FC138D0"/>
    <w:rsid w:val="0FD550EB"/>
    <w:rsid w:val="0FEFC186"/>
    <w:rsid w:val="1126007C"/>
    <w:rsid w:val="11443462"/>
    <w:rsid w:val="11AE7893"/>
    <w:rsid w:val="11BB0CCA"/>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93B6A"/>
    <w:rsid w:val="178B26DA"/>
    <w:rsid w:val="17CEEBA9"/>
    <w:rsid w:val="17FEE426"/>
    <w:rsid w:val="17FFDA05"/>
    <w:rsid w:val="19376D81"/>
    <w:rsid w:val="19DD6741"/>
    <w:rsid w:val="1ADCBA5F"/>
    <w:rsid w:val="1AFF4782"/>
    <w:rsid w:val="1B0BDA71"/>
    <w:rsid w:val="1B644773"/>
    <w:rsid w:val="1B7D324B"/>
    <w:rsid w:val="1BEF7657"/>
    <w:rsid w:val="1BF35E59"/>
    <w:rsid w:val="1BFE9E91"/>
    <w:rsid w:val="1C0F2D2D"/>
    <w:rsid w:val="1C4C4F36"/>
    <w:rsid w:val="1CDEA6F5"/>
    <w:rsid w:val="1CEDBEA8"/>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2C62F3A"/>
    <w:rsid w:val="23415B68"/>
    <w:rsid w:val="23F10D53"/>
    <w:rsid w:val="23F6AEF3"/>
    <w:rsid w:val="23FFEB2E"/>
    <w:rsid w:val="245E2EB0"/>
    <w:rsid w:val="24D3A756"/>
    <w:rsid w:val="24E81237"/>
    <w:rsid w:val="261563B9"/>
    <w:rsid w:val="26E75257"/>
    <w:rsid w:val="271E9C29"/>
    <w:rsid w:val="272E548B"/>
    <w:rsid w:val="273C0B62"/>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D14DB"/>
    <w:rsid w:val="2BFEB9B3"/>
    <w:rsid w:val="2BFFA8A5"/>
    <w:rsid w:val="2C555706"/>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DF2FBB"/>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B2E0D"/>
    <w:rsid w:val="3B7F89B9"/>
    <w:rsid w:val="3B8A0DC3"/>
    <w:rsid w:val="3BA443B8"/>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BB99B1"/>
    <w:rsid w:val="3DEFACC2"/>
    <w:rsid w:val="3DFC7DDF"/>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C0F1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B33DD"/>
    <w:rsid w:val="3FEF1047"/>
    <w:rsid w:val="3FEF1726"/>
    <w:rsid w:val="3FEF3A59"/>
    <w:rsid w:val="3FEF617D"/>
    <w:rsid w:val="3FF200B2"/>
    <w:rsid w:val="3FF7FB14"/>
    <w:rsid w:val="3FF91D4E"/>
    <w:rsid w:val="3FFABA1D"/>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C669F"/>
    <w:rsid w:val="4B5FD1C2"/>
    <w:rsid w:val="4B7E4857"/>
    <w:rsid w:val="4C9630E6"/>
    <w:rsid w:val="4D796D4B"/>
    <w:rsid w:val="4DA78014"/>
    <w:rsid w:val="4DD29871"/>
    <w:rsid w:val="4DEF0CAE"/>
    <w:rsid w:val="4DEFFB07"/>
    <w:rsid w:val="4E7FD645"/>
    <w:rsid w:val="4E9D1594"/>
    <w:rsid w:val="4EBF4AED"/>
    <w:rsid w:val="4ED5FB2D"/>
    <w:rsid w:val="4EE40807"/>
    <w:rsid w:val="4EFEE3CF"/>
    <w:rsid w:val="4EFFCC04"/>
    <w:rsid w:val="4F4DC02C"/>
    <w:rsid w:val="4F4E3BCE"/>
    <w:rsid w:val="4F4F56C9"/>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DE26C8"/>
    <w:rsid w:val="53E7DABE"/>
    <w:rsid w:val="53EE158E"/>
    <w:rsid w:val="53FDFCAE"/>
    <w:rsid w:val="548B2661"/>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AFF1B8"/>
    <w:rsid w:val="5BBBAF0A"/>
    <w:rsid w:val="5BD7D220"/>
    <w:rsid w:val="5BDDF1F8"/>
    <w:rsid w:val="5BF3A74E"/>
    <w:rsid w:val="5BF68CF6"/>
    <w:rsid w:val="5BF8AA04"/>
    <w:rsid w:val="5BFC5027"/>
    <w:rsid w:val="5BFD1224"/>
    <w:rsid w:val="5BFD3CB7"/>
    <w:rsid w:val="5BFDB7EC"/>
    <w:rsid w:val="5C6FBA19"/>
    <w:rsid w:val="5C7EB9DA"/>
    <w:rsid w:val="5C9B734C"/>
    <w:rsid w:val="5CD78333"/>
    <w:rsid w:val="5CEBCAD6"/>
    <w:rsid w:val="5CF3E376"/>
    <w:rsid w:val="5CFF2307"/>
    <w:rsid w:val="5D177A7A"/>
    <w:rsid w:val="5D7F530F"/>
    <w:rsid w:val="5D8CAEE6"/>
    <w:rsid w:val="5D953CD4"/>
    <w:rsid w:val="5DB3473A"/>
    <w:rsid w:val="5DBF23B5"/>
    <w:rsid w:val="5DC67B8B"/>
    <w:rsid w:val="5DCD2524"/>
    <w:rsid w:val="5DDB479A"/>
    <w:rsid w:val="5DED387C"/>
    <w:rsid w:val="5DF5385C"/>
    <w:rsid w:val="5DF7A785"/>
    <w:rsid w:val="5DFDEB58"/>
    <w:rsid w:val="5DFE02C1"/>
    <w:rsid w:val="5E2FF403"/>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9D7187"/>
    <w:rsid w:val="5FAA78F5"/>
    <w:rsid w:val="5FD9895F"/>
    <w:rsid w:val="5FDB01DB"/>
    <w:rsid w:val="5FDC4B56"/>
    <w:rsid w:val="5FE744AA"/>
    <w:rsid w:val="5FEB83AD"/>
    <w:rsid w:val="5FEEFD8E"/>
    <w:rsid w:val="5FEF519A"/>
    <w:rsid w:val="5FEF96F0"/>
    <w:rsid w:val="5FEFD330"/>
    <w:rsid w:val="5FF33712"/>
    <w:rsid w:val="5FF79CF0"/>
    <w:rsid w:val="5FF980EC"/>
    <w:rsid w:val="5FF98146"/>
    <w:rsid w:val="5FF999D4"/>
    <w:rsid w:val="5FFA2044"/>
    <w:rsid w:val="5FFA3473"/>
    <w:rsid w:val="5FFBE073"/>
    <w:rsid w:val="5FFC2FA4"/>
    <w:rsid w:val="5FFDD2DA"/>
    <w:rsid w:val="5FFF5029"/>
    <w:rsid w:val="5FFFFC6E"/>
    <w:rsid w:val="617D4A6A"/>
    <w:rsid w:val="61B31169"/>
    <w:rsid w:val="61D35B82"/>
    <w:rsid w:val="62C73DF1"/>
    <w:rsid w:val="62CF0EFF"/>
    <w:rsid w:val="62FFDDCB"/>
    <w:rsid w:val="638377A8"/>
    <w:rsid w:val="63EB71E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D8961"/>
    <w:rsid w:val="67DE850A"/>
    <w:rsid w:val="67EAE887"/>
    <w:rsid w:val="694D1DDC"/>
    <w:rsid w:val="69774823"/>
    <w:rsid w:val="697E3C46"/>
    <w:rsid w:val="69BC06BD"/>
    <w:rsid w:val="69FE0A5F"/>
    <w:rsid w:val="6A3D2095"/>
    <w:rsid w:val="6A4515FF"/>
    <w:rsid w:val="6A723F09"/>
    <w:rsid w:val="6A7D6FBC"/>
    <w:rsid w:val="6A860352"/>
    <w:rsid w:val="6A8B0F56"/>
    <w:rsid w:val="6ABF683F"/>
    <w:rsid w:val="6ABFCBE9"/>
    <w:rsid w:val="6AEC4A2D"/>
    <w:rsid w:val="6AF57D44"/>
    <w:rsid w:val="6B7BBC6F"/>
    <w:rsid w:val="6BBE8DC3"/>
    <w:rsid w:val="6BDB9361"/>
    <w:rsid w:val="6BDC5CA0"/>
    <w:rsid w:val="6BDCF144"/>
    <w:rsid w:val="6BE73003"/>
    <w:rsid w:val="6BEFAF24"/>
    <w:rsid w:val="6BEFFBC2"/>
    <w:rsid w:val="6BF3BB87"/>
    <w:rsid w:val="6BFD7552"/>
    <w:rsid w:val="6BFE00A3"/>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56785"/>
    <w:rsid w:val="6EBBEFC4"/>
    <w:rsid w:val="6EDF3A8D"/>
    <w:rsid w:val="6EEEA5EE"/>
    <w:rsid w:val="6EEF3DBB"/>
    <w:rsid w:val="6EEF5774"/>
    <w:rsid w:val="6EF1815E"/>
    <w:rsid w:val="6EF7BA2F"/>
    <w:rsid w:val="6EFEF699"/>
    <w:rsid w:val="6F2F60A1"/>
    <w:rsid w:val="6F5BAD55"/>
    <w:rsid w:val="6F5E201F"/>
    <w:rsid w:val="6F5ECC87"/>
    <w:rsid w:val="6F7723CE"/>
    <w:rsid w:val="6F7E0090"/>
    <w:rsid w:val="6F7FF651"/>
    <w:rsid w:val="6F9A6F50"/>
    <w:rsid w:val="6F9B5ADC"/>
    <w:rsid w:val="6F9BDB6C"/>
    <w:rsid w:val="6F9D25AC"/>
    <w:rsid w:val="6F9FCFB9"/>
    <w:rsid w:val="6FA58BCC"/>
    <w:rsid w:val="6FAF19E1"/>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A7572A"/>
    <w:rsid w:val="73B51EF9"/>
    <w:rsid w:val="73BB12E0"/>
    <w:rsid w:val="73D68846"/>
    <w:rsid w:val="73ED6581"/>
    <w:rsid w:val="73EFF68F"/>
    <w:rsid w:val="73F31CE6"/>
    <w:rsid w:val="73F67713"/>
    <w:rsid w:val="73FEF627"/>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6FF95A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16EBF"/>
    <w:rsid w:val="795E8D68"/>
    <w:rsid w:val="795F75BD"/>
    <w:rsid w:val="798FDD30"/>
    <w:rsid w:val="79AD4284"/>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B924A"/>
    <w:rsid w:val="7BBF08EE"/>
    <w:rsid w:val="7BBF1625"/>
    <w:rsid w:val="7BBFFAA8"/>
    <w:rsid w:val="7BC3E1CB"/>
    <w:rsid w:val="7BD734A3"/>
    <w:rsid w:val="7BDD7B37"/>
    <w:rsid w:val="7BDDA73C"/>
    <w:rsid w:val="7BE44CF8"/>
    <w:rsid w:val="7BEA6A05"/>
    <w:rsid w:val="7BEB247B"/>
    <w:rsid w:val="7BEFE6DA"/>
    <w:rsid w:val="7BF3BF39"/>
    <w:rsid w:val="7BF5B9F7"/>
    <w:rsid w:val="7BF70AB0"/>
    <w:rsid w:val="7BF767AD"/>
    <w:rsid w:val="7BFA25E7"/>
    <w:rsid w:val="7BFC3C65"/>
    <w:rsid w:val="7BFE72B7"/>
    <w:rsid w:val="7BFEEFEC"/>
    <w:rsid w:val="7BFF41CF"/>
    <w:rsid w:val="7C1FED41"/>
    <w:rsid w:val="7C67BD8A"/>
    <w:rsid w:val="7C9E0C08"/>
    <w:rsid w:val="7CD098CE"/>
    <w:rsid w:val="7CDFF093"/>
    <w:rsid w:val="7CE42760"/>
    <w:rsid w:val="7CF5A78E"/>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626"/>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BB3B8"/>
    <w:rsid w:val="7F3E124F"/>
    <w:rsid w:val="7F3E61DB"/>
    <w:rsid w:val="7F3FBDFD"/>
    <w:rsid w:val="7F532DA4"/>
    <w:rsid w:val="7F59FBAD"/>
    <w:rsid w:val="7F5A1869"/>
    <w:rsid w:val="7F5D4CA1"/>
    <w:rsid w:val="7F66564B"/>
    <w:rsid w:val="7F736BB3"/>
    <w:rsid w:val="7F759B80"/>
    <w:rsid w:val="7F7A0D5A"/>
    <w:rsid w:val="7F7D6F11"/>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39406"/>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0A8D"/>
    <w:rsid w:val="7FF7841C"/>
    <w:rsid w:val="7FF79A2F"/>
    <w:rsid w:val="7FF7AD73"/>
    <w:rsid w:val="7FF7AE27"/>
    <w:rsid w:val="7FF95C95"/>
    <w:rsid w:val="7FFB0B36"/>
    <w:rsid w:val="7FFBB955"/>
    <w:rsid w:val="7FFBC8F2"/>
    <w:rsid w:val="7FFBE6EF"/>
    <w:rsid w:val="7FFD647B"/>
    <w:rsid w:val="7FFE2D43"/>
    <w:rsid w:val="7FFE6059"/>
    <w:rsid w:val="7FFE6B32"/>
    <w:rsid w:val="7FFEABF9"/>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BFDA9B9"/>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FA229E"/>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9FFB879"/>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ED2E20"/>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89F54"/>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175FC02"/>
    <w:rsid w:val="C22D1432"/>
    <w:rsid w:val="C377D33E"/>
    <w:rsid w:val="C3817AF8"/>
    <w:rsid w:val="C6F79AA3"/>
    <w:rsid w:val="C6FF5552"/>
    <w:rsid w:val="C74F1025"/>
    <w:rsid w:val="C7A6E0C6"/>
    <w:rsid w:val="C7D5E229"/>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0F8E025"/>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7D4576"/>
    <w:rsid w:val="D787430D"/>
    <w:rsid w:val="D79D7F56"/>
    <w:rsid w:val="D7A7460B"/>
    <w:rsid w:val="D7DF94DA"/>
    <w:rsid w:val="D7E7FDB1"/>
    <w:rsid w:val="D7EB2526"/>
    <w:rsid w:val="D7EBD1A5"/>
    <w:rsid w:val="D7F62A5C"/>
    <w:rsid w:val="D7FDE049"/>
    <w:rsid w:val="D7FF623E"/>
    <w:rsid w:val="D8FD8BAE"/>
    <w:rsid w:val="D9EFD876"/>
    <w:rsid w:val="D9F6D5BA"/>
    <w:rsid w:val="DA9DC0C0"/>
    <w:rsid w:val="DA9FB462"/>
    <w:rsid w:val="DADB344B"/>
    <w:rsid w:val="DB370689"/>
    <w:rsid w:val="DB3F8FB7"/>
    <w:rsid w:val="DB5D723C"/>
    <w:rsid w:val="DB6FB61A"/>
    <w:rsid w:val="DB73D7DF"/>
    <w:rsid w:val="DB7920D3"/>
    <w:rsid w:val="DB7DAEAA"/>
    <w:rsid w:val="DBD34663"/>
    <w:rsid w:val="DBEAF5C3"/>
    <w:rsid w:val="DBEAFEFE"/>
    <w:rsid w:val="DBEB7774"/>
    <w:rsid w:val="DBFBF72A"/>
    <w:rsid w:val="DBFFA3A0"/>
    <w:rsid w:val="DBFFE62A"/>
    <w:rsid w:val="DCA61F6F"/>
    <w:rsid w:val="DCBE0BF0"/>
    <w:rsid w:val="DCEFDE86"/>
    <w:rsid w:val="DD36A020"/>
    <w:rsid w:val="DD7DD9E1"/>
    <w:rsid w:val="DD7F06CB"/>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5F8B2D"/>
    <w:rsid w:val="EA7A1829"/>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F5DABD"/>
    <w:rsid w:val="EBFF99F0"/>
    <w:rsid w:val="EC3F4107"/>
    <w:rsid w:val="ECBE870D"/>
    <w:rsid w:val="ECCFCABF"/>
    <w:rsid w:val="ED3AF84A"/>
    <w:rsid w:val="ED3E8DCE"/>
    <w:rsid w:val="ED457A82"/>
    <w:rsid w:val="ED5E20C3"/>
    <w:rsid w:val="ED5E5821"/>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DFCCE8"/>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294D4"/>
    <w:rsid w:val="F3DB2C35"/>
    <w:rsid w:val="F3EB7093"/>
    <w:rsid w:val="F3F7F6B9"/>
    <w:rsid w:val="F3FE868E"/>
    <w:rsid w:val="F46DC9F9"/>
    <w:rsid w:val="F49B07CE"/>
    <w:rsid w:val="F4B95111"/>
    <w:rsid w:val="F4FDB1E4"/>
    <w:rsid w:val="F552A8DB"/>
    <w:rsid w:val="F56B5BAD"/>
    <w:rsid w:val="F5729ABB"/>
    <w:rsid w:val="F57F4DA8"/>
    <w:rsid w:val="F58FFD66"/>
    <w:rsid w:val="F5B9D0C9"/>
    <w:rsid w:val="F5BDD1EE"/>
    <w:rsid w:val="F5CF8F43"/>
    <w:rsid w:val="F5E7485D"/>
    <w:rsid w:val="F5E78F19"/>
    <w:rsid w:val="F5EBBEC7"/>
    <w:rsid w:val="F5F58577"/>
    <w:rsid w:val="F5F7717B"/>
    <w:rsid w:val="F5F7CC98"/>
    <w:rsid w:val="F5F908CE"/>
    <w:rsid w:val="F5F91F09"/>
    <w:rsid w:val="F5FE5C2F"/>
    <w:rsid w:val="F5FFBB49"/>
    <w:rsid w:val="F62D44B6"/>
    <w:rsid w:val="F6BF00C6"/>
    <w:rsid w:val="F6F5656B"/>
    <w:rsid w:val="F6FA9E45"/>
    <w:rsid w:val="F6FBD95B"/>
    <w:rsid w:val="F6FD14F3"/>
    <w:rsid w:val="F6FFD7B4"/>
    <w:rsid w:val="F71E64CF"/>
    <w:rsid w:val="F73D9369"/>
    <w:rsid w:val="F73FC669"/>
    <w:rsid w:val="F76E9065"/>
    <w:rsid w:val="F7751416"/>
    <w:rsid w:val="F77570B5"/>
    <w:rsid w:val="F7767906"/>
    <w:rsid w:val="F7792F0B"/>
    <w:rsid w:val="F78FE489"/>
    <w:rsid w:val="F79B70F7"/>
    <w:rsid w:val="F79F3EE3"/>
    <w:rsid w:val="F7A7BE7D"/>
    <w:rsid w:val="F7B63B30"/>
    <w:rsid w:val="F7B77A11"/>
    <w:rsid w:val="F7BBDB1B"/>
    <w:rsid w:val="F7BBF1CE"/>
    <w:rsid w:val="F7BD39CA"/>
    <w:rsid w:val="F7BEC53E"/>
    <w:rsid w:val="F7CB21F0"/>
    <w:rsid w:val="F7CFDD56"/>
    <w:rsid w:val="F7D72319"/>
    <w:rsid w:val="F7D9F7D4"/>
    <w:rsid w:val="F7E9353E"/>
    <w:rsid w:val="F7ED4F59"/>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B7534"/>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7B68C"/>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8BA7E3"/>
    <w:rsid w:val="FE9EA054"/>
    <w:rsid w:val="FEAF6FD6"/>
    <w:rsid w:val="FEAFA5FE"/>
    <w:rsid w:val="FEBFBEB7"/>
    <w:rsid w:val="FED20F90"/>
    <w:rsid w:val="FED6F92A"/>
    <w:rsid w:val="FEE79552"/>
    <w:rsid w:val="FEEF1E6E"/>
    <w:rsid w:val="FEEF70A3"/>
    <w:rsid w:val="FEF36EFC"/>
    <w:rsid w:val="FEF6CEFE"/>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15A06"/>
    <w:rsid w:val="FF952D36"/>
    <w:rsid w:val="FF9F4B0B"/>
    <w:rsid w:val="FF9F5B82"/>
    <w:rsid w:val="FF9FC2BD"/>
    <w:rsid w:val="FFAB6C8F"/>
    <w:rsid w:val="FFAEDC16"/>
    <w:rsid w:val="FFB3B41D"/>
    <w:rsid w:val="FFB5F89A"/>
    <w:rsid w:val="FFB67D11"/>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7C4"/>
    <w:rsid w:val="FFE78811"/>
    <w:rsid w:val="FFED5E70"/>
    <w:rsid w:val="FFEDD336"/>
    <w:rsid w:val="FFEDD7C6"/>
    <w:rsid w:val="FFEE288D"/>
    <w:rsid w:val="FFEF91AF"/>
    <w:rsid w:val="FFEFC1C4"/>
    <w:rsid w:val="FFEFE133"/>
    <w:rsid w:val="FFF38FB5"/>
    <w:rsid w:val="FFF5E6CB"/>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3">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4">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spacing w:line="240" w:lineRule="atLeast"/>
      <w:ind w:firstLine="420" w:firstLineChars="200"/>
    </w:pPr>
    <w:rPr>
      <w:rFonts w:eastAsia="仿宋_GB2312"/>
      <w:spacing w:val="-6"/>
      <w:sz w:val="32"/>
      <w:szCs w:val="20"/>
    </w:rPr>
  </w:style>
  <w:style w:type="paragraph" w:styleId="6">
    <w:name w:val="Document Map"/>
    <w:basedOn w:val="1"/>
    <w:link w:val="58"/>
    <w:qFormat/>
    <w:uiPriority w:val="0"/>
    <w:pPr>
      <w:shd w:val="clear" w:color="auto" w:fill="000080"/>
    </w:pPr>
  </w:style>
  <w:style w:type="paragraph" w:styleId="7">
    <w:name w:val="annotation text"/>
    <w:basedOn w:val="1"/>
    <w:link w:val="33"/>
    <w:qFormat/>
    <w:uiPriority w:val="0"/>
    <w:pPr>
      <w:jc w:val="left"/>
    </w:pPr>
  </w:style>
  <w:style w:type="paragraph" w:styleId="8">
    <w:name w:val="Body Text"/>
    <w:basedOn w:val="1"/>
    <w:next w:val="9"/>
    <w:qFormat/>
    <w:uiPriority w:val="0"/>
    <w:rPr>
      <w:rFonts w:ascii="仿宋_GB2312" w:eastAsia="仿宋_GB2312"/>
      <w:sz w:val="30"/>
      <w:szCs w:val="20"/>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7"/>
    <w:next w:val="7"/>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2"/>
    <w:qFormat/>
    <w:uiPriority w:val="0"/>
    <w:rPr>
      <w:rFonts w:ascii="Times New Roman" w:hAnsi="Times New Roman" w:eastAsia="方正小标宋简体" w:cs="Times New Roman"/>
      <w:b/>
      <w:bCs/>
      <w:kern w:val="44"/>
      <w:sz w:val="36"/>
      <w:szCs w:val="44"/>
    </w:rPr>
  </w:style>
  <w:style w:type="character" w:customStyle="1" w:styleId="32">
    <w:name w:val="标题 2 字符"/>
    <w:link w:val="3"/>
    <w:qFormat/>
    <w:uiPriority w:val="0"/>
    <w:rPr>
      <w:rFonts w:ascii="宋体" w:hAnsi="宋体" w:eastAsia="宋体" w:cs="宋体"/>
      <w:b/>
      <w:bCs/>
      <w:sz w:val="30"/>
      <w:szCs w:val="36"/>
    </w:rPr>
  </w:style>
  <w:style w:type="character" w:customStyle="1" w:styleId="33">
    <w:name w:val="批注文字 字符"/>
    <w:link w:val="7"/>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4"/>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6"/>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2"/>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6"/>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 w:type="character" w:customStyle="1" w:styleId="62">
    <w:name w:val="font01"/>
    <w:basedOn w:val="2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136</Pages>
  <Words>124895</Words>
  <Characters>131914</Characters>
  <Lines>1186</Lines>
  <Paragraphs>334</Paragraphs>
  <TotalTime>0</TotalTime>
  <ScaleCrop>false</ScaleCrop>
  <LinksUpToDate>false</LinksUpToDate>
  <CharactersWithSpaces>134862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2022-09-05T02:35:00Z</dcterms:created>
  <dc:creator>张通</dc:creator>
  <cp:lastModifiedBy>Mayn</cp:lastModifiedBy>
  <cp:lastPrinted>2024-09-07T23:37:00Z</cp:lastPrinted>
  <dcterms:modified xsi:type="dcterms:W3CDTF">2025-04-15T03:12:25Z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124BE05945A608BAC113EA6786105068_43</vt:lpwstr>
  </property>
</Properties>
</file>