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69处</w:t>
      </w:r>
      <w:bookmarkStart w:id="2" w:name="_GoBack"/>
      <w:bookmarkEnd w:id="2"/>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w:t>
            </w:r>
            <w:r>
              <w:rPr>
                <w:rFonts w:hint="eastAsia" w:ascii="仿宋_GB2312" w:hAnsi="Calibri" w:eastAsia="仿宋_GB2312"/>
                <w:color w:val="auto"/>
                <w:sz w:val="20"/>
                <w:szCs w:val="20"/>
                <w:highlight w:val="none"/>
                <w:lang w:val="en-US" w:eastAsia="zh-CN"/>
              </w:rPr>
              <w:t>东</w:t>
            </w:r>
            <w:r>
              <w:rPr>
                <w:rFonts w:hint="eastAsia" w:ascii="仿宋_GB2312" w:hAnsi="Calibri" w:eastAsia="仿宋_GB2312"/>
                <w:color w:val="auto"/>
                <w:sz w:val="20"/>
                <w:szCs w:val="20"/>
                <w:highlight w:val="none"/>
                <w:lang w:eastAsia="zh-CN"/>
              </w:rPr>
              <w:t>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w:t>
            </w:r>
            <w:r>
              <w:rPr>
                <w:rFonts w:hint="eastAsia" w:ascii="仿宋_GB2312" w:hAnsi="宋体" w:eastAsia="仿宋_GB2312" w:cs="宋体"/>
                <w:color w:val="auto"/>
                <w:kern w:val="0"/>
                <w:sz w:val="20"/>
                <w:szCs w:val="20"/>
                <w:lang w:eastAsia="zh-CN"/>
              </w:rPr>
              <w:t>南</w:t>
            </w:r>
            <w:r>
              <w:rPr>
                <w:rFonts w:hint="eastAsia" w:ascii="仿宋_GB2312" w:hAnsi="宋体" w:eastAsia="仿宋_GB2312" w:cs="宋体"/>
                <w:color w:val="auto"/>
                <w:kern w:val="0"/>
                <w:sz w:val="20"/>
                <w:szCs w:val="20"/>
              </w:rPr>
              <w:t>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D894C8-808C-4993-8C8F-051222CB2397}"/>
  </w:font>
  <w:font w:name="黑体">
    <w:panose1 w:val="02010609060101010101"/>
    <w:charset w:val="86"/>
    <w:family w:val="auto"/>
    <w:pitch w:val="default"/>
    <w:sig w:usb0="800002BF" w:usb1="38CF7CFA" w:usb2="00000016" w:usb3="00000000" w:csb0="00040001" w:csb1="00000000"/>
    <w:embedRegular r:id="rId2" w:fontKey="{AA971A09-0064-4D98-8BE5-D4805AFAC5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6559470-58CE-4C48-99E7-A40E11AFA444}"/>
  </w:font>
  <w:font w:name="等线">
    <w:panose1 w:val="02010600030101010101"/>
    <w:charset w:val="86"/>
    <w:family w:val="auto"/>
    <w:pitch w:val="default"/>
    <w:sig w:usb0="A00002BF" w:usb1="38CF7CFA" w:usb2="00000016" w:usb3="00000000" w:csb0="0004000F" w:csb1="00000000"/>
    <w:embedRegular r:id="rId4" w:fontKey="{18ECE53C-F950-4ADE-8B01-EA92826B10EE}"/>
  </w:font>
  <w:font w:name="仿宋_GB2312">
    <w:altName w:val="仿宋"/>
    <w:panose1 w:val="02010609030101010101"/>
    <w:charset w:val="86"/>
    <w:family w:val="modern"/>
    <w:pitch w:val="default"/>
    <w:sig w:usb0="00000000" w:usb1="00000000" w:usb2="00000000" w:usb3="00000000" w:csb0="00040000" w:csb1="00000000"/>
    <w:embedRegular r:id="rId5" w:fontKey="{F81329A9-7296-4D97-B483-F08393A56261}"/>
  </w:font>
  <w:font w:name="方正小标宋简体">
    <w:panose1 w:val="02000000000000000000"/>
    <w:charset w:val="86"/>
    <w:family w:val="auto"/>
    <w:pitch w:val="default"/>
    <w:sig w:usb0="00000001" w:usb1="08000000" w:usb2="00000000" w:usb3="00000000" w:csb0="00040000" w:csb1="00000000"/>
    <w:embedRegular r:id="rId6" w:fontKey="{2D5B2D0E-43E8-414A-955A-6A2A1E9C5545}"/>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7" w:fontKey="{EC330B82-1B0E-44AD-BB0A-5D06FD2DDBCF}"/>
  </w:font>
  <w:font w:name="华文新魏">
    <w:panose1 w:val="02010800040101010101"/>
    <w:charset w:val="86"/>
    <w:family w:val="auto"/>
    <w:pitch w:val="default"/>
    <w:sig w:usb0="00000001" w:usb1="080F0000" w:usb2="00000000" w:usb3="00000000" w:csb0="00040000" w:csb1="00000000"/>
    <w:embedRegular r:id="rId8" w:fontKey="{75274FCE-6E7E-431C-9280-683579AC114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YTcwNWEzYTc0MmIwODY5ZGViNWI3MWI0MDg3Yzc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7EF17B8"/>
    <w:rsid w:val="09D556C8"/>
    <w:rsid w:val="0AFF5F9E"/>
    <w:rsid w:val="0EAE3E0B"/>
    <w:rsid w:val="163F76A3"/>
    <w:rsid w:val="17FF7729"/>
    <w:rsid w:val="19DB7C70"/>
    <w:rsid w:val="1F7417E1"/>
    <w:rsid w:val="1FAFA0CB"/>
    <w:rsid w:val="20F52909"/>
    <w:rsid w:val="22FF2F34"/>
    <w:rsid w:val="25237319"/>
    <w:rsid w:val="266877EA"/>
    <w:rsid w:val="275F649B"/>
    <w:rsid w:val="2BFB35A0"/>
    <w:rsid w:val="2D7BC7E6"/>
    <w:rsid w:val="2DF6E26A"/>
    <w:rsid w:val="2EDEF656"/>
    <w:rsid w:val="2F1E3727"/>
    <w:rsid w:val="2F69E2F2"/>
    <w:rsid w:val="30BB1AC1"/>
    <w:rsid w:val="33E10878"/>
    <w:rsid w:val="379E34F6"/>
    <w:rsid w:val="37F15E4E"/>
    <w:rsid w:val="37FF73FB"/>
    <w:rsid w:val="3BEFF4B0"/>
    <w:rsid w:val="3BFAFA56"/>
    <w:rsid w:val="3C5FBCA3"/>
    <w:rsid w:val="3DB94837"/>
    <w:rsid w:val="3DBE1B7D"/>
    <w:rsid w:val="3EBDFE35"/>
    <w:rsid w:val="3F5FCFED"/>
    <w:rsid w:val="3FAEB7AF"/>
    <w:rsid w:val="3FC2F989"/>
    <w:rsid w:val="46BE4CE1"/>
    <w:rsid w:val="46FF2203"/>
    <w:rsid w:val="4E1729FE"/>
    <w:rsid w:val="4F5B79A0"/>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22621</Words>
  <Characters>30283</Characters>
  <Lines>327</Lines>
  <Paragraphs>92</Paragraphs>
  <TotalTime>5</TotalTime>
  <ScaleCrop>false</ScaleCrop>
  <LinksUpToDate>false</LinksUpToDate>
  <CharactersWithSpaces>30612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田娜</cp:lastModifiedBy>
  <cp:lastPrinted>2023-11-18T10:03:00Z</cp:lastPrinted>
  <dcterms:modified xsi:type="dcterms:W3CDTF">2026-03-05T01:52:19Z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CAB3042975F147D4B814B52CEE9829CB_13</vt:lpwstr>
  </property>
</Properties>
</file>