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pPr>
        <w:rPr>
          <w:rFonts w:ascii="仿宋_GB2312" w:eastAsia="仿宋_GB2312"/>
          <w:color w:val="auto"/>
          <w:sz w:val="32"/>
          <w:szCs w:val="32"/>
        </w:rPr>
      </w:pPr>
    </w:p>
    <w:p>
      <w:pPr>
        <w:rPr>
          <w:rFonts w:ascii="仿宋_GB2312" w:eastAsia="仿宋_GB2312"/>
          <w:color w:val="auto"/>
          <w:sz w:val="32"/>
          <w:szCs w:val="32"/>
        </w:rPr>
      </w:pPr>
    </w:p>
    <w:p>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pPr>
        <w:spacing w:line="640" w:lineRule="exact"/>
        <w:jc w:val="center"/>
        <w:rPr>
          <w:rFonts w:ascii="仿宋_GB2312" w:eastAsia="仿宋_GB2312"/>
          <w:color w:val="auto"/>
          <w:sz w:val="52"/>
          <w:szCs w:val="52"/>
        </w:rPr>
      </w:pPr>
    </w:p>
    <w:p>
      <w:pPr>
        <w:spacing w:line="560" w:lineRule="exact"/>
        <w:rPr>
          <w:rFonts w:ascii="仿宋_GB2312" w:eastAsia="仿宋_GB2312"/>
          <w:color w:val="auto"/>
          <w:sz w:val="52"/>
          <w:szCs w:val="52"/>
        </w:rPr>
      </w:pPr>
    </w:p>
    <w:p>
      <w:pPr>
        <w:spacing w:line="640" w:lineRule="exact"/>
        <w:jc w:val="center"/>
        <w:rPr>
          <w:rFonts w:ascii="仿宋_GB2312" w:eastAsia="仿宋_GB2312"/>
          <w:color w:val="auto"/>
          <w:sz w:val="52"/>
          <w:szCs w:val="52"/>
        </w:rPr>
      </w:pPr>
    </w:p>
    <w:p>
      <w:pPr>
        <w:spacing w:line="640" w:lineRule="exact"/>
        <w:jc w:val="center"/>
        <w:rPr>
          <w:rFonts w:ascii="仿宋_GB2312" w:hAnsi="仿宋_GB2312" w:eastAsia="仿宋_GB2312" w:cs="仿宋_GB2312"/>
          <w:color w:val="auto"/>
          <w:sz w:val="52"/>
          <w:szCs w:val="52"/>
        </w:rPr>
      </w:pPr>
    </w:p>
    <w:p>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pPr>
        <w:spacing w:line="560" w:lineRule="exact"/>
        <w:jc w:val="center"/>
        <w:rPr>
          <w:rFonts w:ascii="方正小标宋简体" w:eastAsia="方正小标宋简体"/>
          <w:color w:val="auto"/>
          <w:sz w:val="44"/>
          <w:szCs w:val="44"/>
        </w:rPr>
      </w:pPr>
    </w:p>
    <w:p>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pPr>
        <w:spacing w:line="560" w:lineRule="exact"/>
        <w:jc w:val="center"/>
        <w:rPr>
          <w:rFonts w:ascii="宋体" w:hAnsi="宋体"/>
          <w:color w:val="auto"/>
          <w:sz w:val="28"/>
          <w:szCs w:val="28"/>
        </w:rPr>
      </w:pPr>
    </w:p>
    <w:p>
      <w:pPr>
        <w:adjustRightInd w:val="0"/>
        <w:snapToGrid w:val="0"/>
        <w:spacing w:line="500" w:lineRule="exact"/>
        <w:rPr>
          <w:rFonts w:ascii="宋体" w:hAnsi="宋体"/>
          <w:color w:val="auto"/>
          <w:sz w:val="44"/>
          <w:szCs w:val="44"/>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jc w:val="center"/>
        <w:rPr>
          <w:rFonts w:hint="eastAsia" w:ascii="微软雅黑" w:hAnsi="微软雅黑" w:eastAsia="微软雅黑" w:cs="微软雅黑"/>
          <w:color w:val="auto"/>
          <w:sz w:val="44"/>
          <w:szCs w:val="44"/>
        </w:rPr>
      </w:pPr>
    </w:p>
    <w:p>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default" w:ascii="仿宋_GB2312" w:hAnsi="宋体" w:eastAsia="仿宋_GB2312" w:cs="宋体"/>
                <w:color w:val="auto"/>
                <w:kern w:val="0"/>
                <w:sz w:val="24"/>
                <w:highlight w:val="none"/>
                <w:lang w:val="en-US" w:eastAsia="zh-CN"/>
              </w:rPr>
              <w:t>6</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pPr>
              <w:widowControl/>
              <w:jc w:val="center"/>
              <w:rPr>
                <w:rFonts w:ascii="仿宋_GB2312" w:hAnsi="宋体" w:eastAsia="仿宋_GB2312" w:cs="宋体"/>
                <w:color w:val="auto"/>
                <w:kern w:val="0"/>
                <w:sz w:val="24"/>
              </w:rPr>
            </w:pP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w:t>
            </w:r>
            <w:r>
              <w:rPr>
                <w:rFonts w:hint="default" w:ascii="仿宋_GB2312" w:hAnsi="宋体" w:eastAsia="仿宋_GB2312" w:cs="宋体"/>
                <w:color w:val="auto"/>
                <w:kern w:val="0"/>
                <w:sz w:val="24"/>
                <w:highlight w:val="none"/>
                <w:lang w:val="en-US" w:eastAsia="zh-CN"/>
              </w:rPr>
              <w:t>1</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w:t>
            </w:r>
            <w:r>
              <w:rPr>
                <w:rFonts w:hint="default" w:ascii="仿宋_GB2312" w:hAnsi="宋体" w:eastAsia="仿宋_GB2312" w:cs="宋体"/>
                <w:color w:val="auto"/>
                <w:kern w:val="0"/>
                <w:sz w:val="24"/>
                <w:highlight w:val="none"/>
                <w:lang w:val="en-US" w:eastAsia="zh-CN"/>
              </w:rPr>
              <w:t>1</w:t>
            </w: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rPr>
      </w:pPr>
    </w:p>
    <w:p>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pPr>
              <w:widowControl/>
              <w:jc w:val="left"/>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pPr>
              <w:jc w:val="center"/>
              <w:rPr>
                <w:rFonts w:ascii="仿宋_GB2312" w:hAnsi="Calibri" w:eastAsia="仿宋_GB2312"/>
                <w:b/>
                <w:bCs/>
                <w:color w:val="auto"/>
                <w:sz w:val="20"/>
                <w:szCs w:val="20"/>
              </w:rPr>
            </w:pPr>
          </w:p>
        </w:tc>
        <w:tc>
          <w:tcPr>
            <w:tcW w:w="3593" w:type="dxa"/>
            <w:vMerge w:val="continue"/>
            <w:noWrap w:val="0"/>
            <w:vAlign w:val="center"/>
          </w:tcPr>
          <w:p>
            <w:pPr>
              <w:widowControl/>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从雍和宫桥往东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pPr>
              <w:widowControl/>
              <w:jc w:val="center"/>
              <w:rPr>
                <w:rFonts w:hint="eastAsia"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hint="eastAsia"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widowControl/>
              <w:jc w:val="center"/>
              <w:rPr>
                <w:rFonts w:ascii="仿宋_GB2312" w:eastAsia="仿宋_GB2312"/>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b/>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pPr>
              <w:widowControl/>
              <w:jc w:val="both"/>
              <w:rPr>
                <w:rFonts w:hint="eastAsia" w:ascii="仿宋_GB2312" w:hAnsi="宋体" w:eastAsia="仿宋_GB2312" w:cs="宋体"/>
                <w:b/>
                <w:bCs/>
                <w:color w:val="auto"/>
                <w:kern w:val="0"/>
                <w:sz w:val="20"/>
                <w:szCs w:val="20"/>
              </w:rPr>
            </w:pPr>
          </w:p>
          <w:p>
            <w:pPr>
              <w:widowControl/>
              <w:jc w:val="center"/>
              <w:rPr>
                <w:rFonts w:hint="eastAsia" w:ascii="仿宋_GB2312" w:hAnsi="宋体" w:eastAsia="仿宋_GB2312" w:cs="宋体"/>
                <w:b/>
                <w:bCs/>
                <w:color w:val="auto"/>
                <w:kern w:val="0"/>
                <w:sz w:val="20"/>
                <w:szCs w:val="20"/>
              </w:rPr>
            </w:pP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bl>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color w:val="auto"/>
        </w:rPr>
      </w:pPr>
    </w:p>
    <w:p>
      <w:pPr>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jc w:val="left"/>
              <w:rPr>
                <w:rFonts w:ascii="宋体" w:hAnsi="宋体" w:cs="宋体"/>
                <w:b/>
                <w:bCs/>
                <w:color w:val="auto"/>
                <w:kern w:val="0"/>
                <w:sz w:val="24"/>
              </w:rPr>
            </w:pPr>
          </w:p>
        </w:tc>
        <w:tc>
          <w:tcPr>
            <w:tcW w:w="252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一队</w:t>
            </w:r>
          </w:p>
        </w:tc>
        <w:tc>
          <w:tcPr>
            <w:tcW w:w="1870" w:type="dxa"/>
            <w:vAlign w:val="center"/>
          </w:tcPr>
          <w:p>
            <w:pPr>
              <w:widowControl/>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spacing w:line="240" w:lineRule="exact"/>
              <w:jc w:val="center"/>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both"/>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pStyle w:val="6"/>
        <w:rPr>
          <w:color w:val="auto"/>
        </w:rPr>
      </w:pPr>
    </w:p>
    <w:p>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69处</w:t>
      </w:r>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hint="eastAsia" w:ascii="仿宋_GB2312" w:hAnsi="Calibri" w:eastAsia="仿宋_GB2312"/>
                <w:strike/>
                <w:dstrike w:val="0"/>
                <w:color w:val="auto"/>
                <w:sz w:val="20"/>
                <w:szCs w:val="20"/>
              </w:rPr>
            </w:pP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w:t>
            </w:r>
            <w:bookmarkStart w:id="2" w:name="_GoBack"/>
            <w:bookmarkEnd w:id="2"/>
            <w:r>
              <w:rPr>
                <w:rFonts w:hint="eastAsia" w:ascii="仿宋_GB2312" w:hAnsi="Calibri" w:eastAsia="仿宋_GB2312"/>
                <w:color w:val="auto"/>
                <w:sz w:val="20"/>
                <w:szCs w:val="20"/>
                <w:highlight w:val="none"/>
              </w:rPr>
              <w:t>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w:t>
            </w:r>
            <w:r>
              <w:rPr>
                <w:rFonts w:hint="eastAsia" w:ascii="仿宋_GB2312" w:hAnsi="Calibri" w:eastAsia="仿宋_GB2312"/>
                <w:color w:val="auto"/>
                <w:sz w:val="20"/>
                <w:szCs w:val="20"/>
                <w:highlight w:val="none"/>
                <w:lang w:val="en-US" w:eastAsia="zh-CN"/>
              </w:rPr>
              <w:t>东</w:t>
            </w:r>
            <w:r>
              <w:rPr>
                <w:rFonts w:hint="eastAsia" w:ascii="仿宋_GB2312" w:hAnsi="Calibri" w:eastAsia="仿宋_GB2312"/>
                <w:color w:val="auto"/>
                <w:sz w:val="20"/>
                <w:szCs w:val="20"/>
                <w:highlight w:val="none"/>
                <w:lang w:eastAsia="zh-CN"/>
              </w:rPr>
              <w:t>至西四环中路，复兴路南侧为西至玉泉路，东至采石南路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北至罗道庄桥，南至莲花池西路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西至西翠路，东至万寿路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pPr>
              <w:jc w:val="center"/>
              <w:rPr>
                <w:rFonts w:ascii="仿宋_GB2312" w:hAnsi="Calibri" w:eastAsia="仿宋_GB2312"/>
                <w:color w:val="auto"/>
                <w:sz w:val="20"/>
                <w:szCs w:val="20"/>
              </w:rPr>
            </w:pP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pPr>
              <w:jc w:val="center"/>
              <w:rPr>
                <w:rFonts w:hint="eastAsia"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hint="default" w:ascii="仿宋_GB2312" w:hAnsi="Calibri" w:eastAsia="仿宋_GB2312"/>
                <w:color w:val="auto"/>
                <w:sz w:val="20"/>
                <w:szCs w:val="20"/>
                <w:lang w:val="en-US"/>
              </w:rPr>
            </w:pPr>
            <w:r>
              <w:rPr>
                <w:rFonts w:hint="eastAsia" w:ascii="仿宋_GB2312" w:hAnsi="Calibri" w:eastAsia="仿宋_GB2312"/>
                <w:color w:val="auto"/>
                <w:sz w:val="20"/>
                <w:szCs w:val="20"/>
                <w:lang w:val="en-US" w:eastAsia="zh-CN"/>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b/>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hint="eastAsia" w:ascii="仿宋_GB2312" w:hAnsi="Calibri" w:eastAsia="仿宋_GB2312"/>
                <w:color w:val="auto"/>
                <w:sz w:val="20"/>
                <w:szCs w:val="20"/>
              </w:rPr>
            </w:pP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pPr>
              <w:spacing w:line="240" w:lineRule="atLeast"/>
              <w:jc w:val="center"/>
              <w:rPr>
                <w:rFonts w:ascii="仿宋_GB2312" w:hAnsi="宋体" w:eastAsia="仿宋_GB2312" w:cs="宋体"/>
                <w:color w:val="auto"/>
                <w:sz w:val="20"/>
                <w:szCs w:val="20"/>
              </w:rPr>
            </w:pP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w:t>
            </w:r>
            <w:r>
              <w:rPr>
                <w:rFonts w:hint="eastAsia" w:ascii="仿宋_GB2312" w:hAnsi="宋体" w:eastAsia="仿宋_GB2312" w:cs="宋体"/>
                <w:color w:val="auto"/>
                <w:kern w:val="0"/>
                <w:sz w:val="20"/>
                <w:szCs w:val="20"/>
                <w:lang w:val="en-US" w:eastAsia="zh-CN"/>
              </w:rPr>
              <w:t>南</w:t>
            </w:r>
            <w:r>
              <w:rPr>
                <w:rFonts w:hint="eastAsia" w:ascii="仿宋_GB2312" w:hAnsi="宋体" w:eastAsia="仿宋_GB2312" w:cs="宋体"/>
                <w:color w:val="auto"/>
                <w:kern w:val="0"/>
                <w:sz w:val="20"/>
                <w:szCs w:val="20"/>
              </w:rPr>
              <w:t>公交车站至莲池公园西门）</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widowControl/>
              <w:spacing w:line="24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pPr>
        <w:rPr>
          <w:color w:val="auto"/>
        </w:rPr>
      </w:pPr>
    </w:p>
    <w:p>
      <w:pPr>
        <w:rPr>
          <w:rFonts w:cs="Arial"/>
          <w:color w:val="auto"/>
        </w:rPr>
      </w:pPr>
    </w:p>
    <w:p>
      <w:pPr>
        <w:pStyle w:val="2"/>
        <w:rPr>
          <w:rFonts w:cs="Arial"/>
          <w:color w:val="auto"/>
        </w:rPr>
      </w:pPr>
    </w:p>
    <w:p>
      <w:pPr>
        <w:pStyle w:val="3"/>
        <w:rPr>
          <w:color w:val="auto"/>
        </w:rPr>
      </w:pPr>
    </w:p>
    <w:p>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pPr>
              <w:widowControl/>
              <w:jc w:val="left"/>
              <w:rPr>
                <w:rFonts w:ascii="仿宋_GB2312" w:hAnsi="宋体" w:eastAsia="仿宋_GB2312" w:cs="宋体"/>
                <w:color w:val="auto"/>
                <w:kern w:val="0"/>
                <w:sz w:val="20"/>
                <w:szCs w:val="20"/>
              </w:rPr>
            </w:pPr>
          </w:p>
        </w:tc>
        <w:tc>
          <w:tcPr>
            <w:tcW w:w="1600" w:type="dxa"/>
            <w:vMerge w:val="continue"/>
            <w:vAlign w:val="center"/>
          </w:tcPr>
          <w:p>
            <w:pPr>
              <w:widowControl/>
              <w:jc w:val="left"/>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spacing w:line="0" w:lineRule="atLeast"/>
        <w:jc w:val="center"/>
        <w:rPr>
          <w:rFonts w:ascii="方正小标宋简体" w:eastAsia="方正小标宋简体"/>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pStyle w:val="6"/>
        <w:rPr>
          <w:rFonts w:ascii="方正小标宋简体" w:eastAsia="方正小标宋简体" w:cs="Arial"/>
          <w:color w:val="auto"/>
          <w:sz w:val="32"/>
          <w:szCs w:val="32"/>
        </w:rPr>
      </w:pPr>
    </w:p>
    <w:p>
      <w:pPr>
        <w:pStyle w:val="6"/>
        <w:rPr>
          <w:color w:val="auto"/>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w:t>
      </w:r>
    </w:p>
    <w:p>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pPr>
              <w:rPr>
                <w:rFonts w:ascii="仿宋_GB2312"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pPr>
              <w:widowControl/>
              <w:spacing w:line="240" w:lineRule="atLeast"/>
              <w:rPr>
                <w:rFonts w:ascii="仿宋_GB2312" w:hAnsi="宋体" w:eastAsia="仿宋_GB2312"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北京通州站地区（临时管理范围）</w:t>
            </w:r>
          </w:p>
        </w:tc>
        <w:tc>
          <w:tcPr>
            <w:tcW w:w="2122" w:type="dxa"/>
            <w:noWrap w:val="0"/>
            <w:vAlign w:val="center"/>
          </w:tcPr>
          <w:p>
            <w:pPr>
              <w:widowControl/>
              <w:spacing w:line="240" w:lineRule="atLeast"/>
              <w:jc w:val="center"/>
              <w:rPr>
                <w:rFonts w:hint="eastAsia" w:ascii="仿宋_GB2312" w:hAnsi="宋体" w:eastAsia="仿宋_GB2312" w:cs="宋体"/>
                <w:strike w:val="0"/>
                <w:dstrike w:val="0"/>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北京通州站全区域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通州站地区执法大队</w:t>
            </w:r>
          </w:p>
        </w:tc>
        <w:tc>
          <w:tcPr>
            <w:tcW w:w="1415"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63956021</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bl>
    <w:p>
      <w:pPr>
        <w:pStyle w:val="6"/>
        <w:rPr>
          <w:color w:val="auto"/>
        </w:rPr>
      </w:pPr>
    </w:p>
    <w:p>
      <w:pPr>
        <w:rPr>
          <w:color w:val="auto"/>
        </w:rPr>
      </w:pPr>
    </w:p>
    <w:p>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pPr>
              <w:jc w:val="center"/>
              <w:rPr>
                <w:rFonts w:ascii="仿宋_GB2312" w:eastAsia="仿宋_GB2312" w:cs="宋体"/>
                <w:color w:val="auto"/>
                <w:kern w:val="0"/>
                <w:sz w:val="20"/>
                <w:szCs w:val="20"/>
              </w:rPr>
            </w:pP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restart"/>
            <w:shd w:val="clear" w:color="auto" w:fill="auto"/>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hAnsi="宋体"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pPr>
              <w:widowControl/>
              <w:jc w:val="center"/>
              <w:rPr>
                <w:rFonts w:ascii="仿宋_GB2312" w:eastAsia="仿宋_GB2312" w:cs="宋体"/>
                <w:color w:val="auto"/>
                <w:kern w:val="0"/>
                <w:sz w:val="20"/>
                <w:szCs w:val="20"/>
              </w:rPr>
            </w:pPr>
          </w:p>
        </w:tc>
      </w:tr>
    </w:tbl>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pStyle w:val="6"/>
        <w:rPr>
          <w:color w:val="auto"/>
        </w:rPr>
      </w:pPr>
    </w:p>
    <w:p>
      <w:pPr>
        <w:spacing w:line="0" w:lineRule="atLeast"/>
        <w:rPr>
          <w:rFonts w:ascii="方正小标宋简体" w:eastAsia="方正小标宋简体"/>
          <w:color w:val="auto"/>
          <w:sz w:val="32"/>
          <w:szCs w:val="32"/>
          <w:highlight w:val="yellow"/>
        </w:rPr>
      </w:pPr>
    </w:p>
    <w:p>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hint="eastAsia" w:ascii="仿宋_GB2312" w:hAnsi="宋体" w:eastAsia="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jc w:val="both"/>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jc w:val="center"/>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default"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pPr>
              <w:jc w:val="center"/>
              <w:rPr>
                <w:rFonts w:ascii="仿宋_GB2312" w:hAnsi="宋体" w:eastAsia="仿宋_GB2312"/>
                <w:color w:val="auto"/>
                <w:sz w:val="20"/>
                <w:szCs w:val="20"/>
              </w:rPr>
            </w:pPr>
          </w:p>
        </w:tc>
        <w:tc>
          <w:tcPr>
            <w:tcW w:w="1260" w:type="dxa"/>
            <w:vMerge w:val="continue"/>
            <w:shd w:val="clear" w:color="auto" w:fill="auto"/>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rPr>
                <w:rFonts w:ascii="仿宋_GB2312" w:eastAsia="仿宋_GB2312" w:cs="宋体"/>
                <w:color w:val="auto"/>
                <w:kern w:val="0"/>
                <w:sz w:val="20"/>
                <w:szCs w:val="20"/>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pPr>
              <w:widowControl/>
              <w:spacing w:line="0" w:lineRule="atLeast"/>
              <w:rPr>
                <w:rFonts w:ascii="仿宋_GB2312"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pStyle w:val="6"/>
        <w:rPr>
          <w:rFonts w:hint="eastAsia"/>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left"/>
              <w:rPr>
                <w:rFonts w:ascii="仿宋_GB2312" w:hAnsi="宋体" w:eastAsia="仿宋_GB2312" w:cs="宋体"/>
                <w:color w:val="auto"/>
                <w:kern w:val="0"/>
                <w:sz w:val="20"/>
                <w:szCs w:val="20"/>
              </w:rPr>
            </w:pPr>
          </w:p>
        </w:tc>
        <w:tc>
          <w:tcPr>
            <w:tcW w:w="2855" w:type="dxa"/>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pPr>
        <w:rPr>
          <w:rFonts w:ascii="仿宋_GB2312" w:eastAsia="仿宋_GB2312"/>
          <w:color w:val="auto"/>
          <w:sz w:val="20"/>
          <w:szCs w:val="20"/>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highlight w:val="cy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pP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bl>
    <w:p>
      <w:pPr>
        <w:jc w:val="both"/>
        <w:rPr>
          <w:rFonts w:ascii="方正小标宋简体" w:eastAsia="方正小标宋简体"/>
          <w:color w:val="auto"/>
          <w:sz w:val="32"/>
          <w:szCs w:val="32"/>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pStyle w:val="6"/>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pPr>
              <w:spacing w:line="0" w:lineRule="atLeast"/>
              <w:jc w:val="both"/>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pPr>
              <w:spacing w:line="0" w:lineRule="atLeast"/>
              <w:jc w:val="center"/>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773" w:type="dxa"/>
            <w:vMerge w:val="continue"/>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both"/>
        <w:rPr>
          <w:rFonts w:hint="eastAsia" w:ascii="微软雅黑" w:hAnsi="微软雅黑" w:eastAsia="微软雅黑" w:cs="微软雅黑"/>
          <w:color w:val="auto"/>
          <w:sz w:val="32"/>
          <w:szCs w:val="32"/>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pPr>
              <w:widowControl/>
              <w:jc w:val="left"/>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pPr>
              <w:widowControl/>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pPr>
              <w:widowControl/>
              <w:jc w:val="center"/>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hAnsi="宋体" w:eastAsia="仿宋_GB2312" w:cs="宋体"/>
                <w:color w:val="auto"/>
                <w:kern w:val="0"/>
                <w:sz w:val="20"/>
                <w:szCs w:val="20"/>
              </w:rPr>
            </w:pPr>
          </w:p>
        </w:tc>
        <w:tc>
          <w:tcPr>
            <w:tcW w:w="1785" w:type="dxa"/>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pPr>
              <w:widowControl/>
              <w:jc w:val="center"/>
              <w:rPr>
                <w:rFonts w:ascii="仿宋_GB2312" w:hAnsi="宋体" w:eastAsia="仿宋_GB2312" w:cs="宋体"/>
                <w:b/>
                <w:bCs/>
                <w:color w:val="auto"/>
                <w:kern w:val="0"/>
                <w:sz w:val="20"/>
                <w:szCs w:val="20"/>
              </w:rPr>
            </w:pPr>
          </w:p>
        </w:tc>
        <w:tc>
          <w:tcPr>
            <w:tcW w:w="1739" w:type="dxa"/>
            <w:vMerge w:val="continue"/>
            <w:vAlign w:val="center"/>
          </w:tcPr>
          <w:p>
            <w:pPr>
              <w:widowControl/>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bl>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75B55B-079B-4914-AFF3-DA66522F262E}"/>
  </w:font>
  <w:font w:name="黑体">
    <w:panose1 w:val="02010609060101010101"/>
    <w:charset w:val="86"/>
    <w:family w:val="auto"/>
    <w:pitch w:val="default"/>
    <w:sig w:usb0="800002BF" w:usb1="38CF7CFA" w:usb2="00000016" w:usb3="00000000" w:csb0="00040001" w:csb1="00000000"/>
    <w:embedRegular r:id="rId2" w:fontKey="{EF6114F0-3550-4185-92F3-E77CF85130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70D5B76-7E95-4EF1-8D07-3C34CFE62A71}"/>
  </w:font>
  <w:font w:name="等线">
    <w:panose1 w:val="02010600030101010101"/>
    <w:charset w:val="86"/>
    <w:family w:val="auto"/>
    <w:pitch w:val="default"/>
    <w:sig w:usb0="A00002BF" w:usb1="38CF7CFA" w:usb2="00000016" w:usb3="00000000" w:csb0="0004000F" w:csb1="00000000"/>
    <w:embedRegular r:id="rId4" w:fontKey="{2DC9E94F-8956-4314-BB95-4E1892B5C7E4}"/>
  </w:font>
  <w:font w:name="仿宋_GB2312">
    <w:altName w:val="仿宋"/>
    <w:panose1 w:val="02010609030101010101"/>
    <w:charset w:val="86"/>
    <w:family w:val="modern"/>
    <w:pitch w:val="default"/>
    <w:sig w:usb0="00000000" w:usb1="00000000" w:usb2="00000000" w:usb3="00000000" w:csb0="00040000" w:csb1="00000000"/>
    <w:embedRegular r:id="rId5" w:fontKey="{92C652BB-046A-4837-AF8C-FB753F9C85DE}"/>
  </w:font>
  <w:font w:name="方正小标宋简体">
    <w:panose1 w:val="02000000000000000000"/>
    <w:charset w:val="86"/>
    <w:family w:val="auto"/>
    <w:pitch w:val="default"/>
    <w:sig w:usb0="00000001" w:usb1="08000000" w:usb2="00000000" w:usb3="00000000" w:csb0="00040000" w:csb1="00000000"/>
    <w:embedRegular r:id="rId6" w:fontKey="{AF05398F-CEC0-45C2-B26D-E56515A2ECA9}"/>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embedRegular r:id="rId7" w:fontKey="{78210B1E-B462-47BD-89A4-9919CB24F539}"/>
  </w:font>
  <w:font w:name="华文新魏">
    <w:panose1 w:val="02010800040101010101"/>
    <w:charset w:val="86"/>
    <w:family w:val="auto"/>
    <w:pitch w:val="default"/>
    <w:sig w:usb0="00000001" w:usb1="080F0000" w:usb2="00000000" w:usb3="00000000" w:csb0="00040000" w:csb1="00000000"/>
    <w:embedRegular r:id="rId8" w:fontKey="{A0C56FBC-7972-4E9F-A596-146F68CE3B5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YTcwNWEzYTc0MmIwODY5ZGViNWI3MWI0MDg3Yzc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56B00FD"/>
    <w:rsid w:val="09D556C8"/>
    <w:rsid w:val="0AFF5F9E"/>
    <w:rsid w:val="0EAE3E0B"/>
    <w:rsid w:val="163F76A3"/>
    <w:rsid w:val="17FF7729"/>
    <w:rsid w:val="18C701E3"/>
    <w:rsid w:val="19DB7C70"/>
    <w:rsid w:val="1F7417E1"/>
    <w:rsid w:val="1FAFA0CB"/>
    <w:rsid w:val="22FF2F34"/>
    <w:rsid w:val="266877EA"/>
    <w:rsid w:val="275F649B"/>
    <w:rsid w:val="2BFB35A0"/>
    <w:rsid w:val="2D7BC7E6"/>
    <w:rsid w:val="2DF6E26A"/>
    <w:rsid w:val="2EDEF656"/>
    <w:rsid w:val="2F1E3727"/>
    <w:rsid w:val="2F69E2F2"/>
    <w:rsid w:val="379E34F6"/>
    <w:rsid w:val="37F15E4E"/>
    <w:rsid w:val="37FF73FB"/>
    <w:rsid w:val="3BEFF4B0"/>
    <w:rsid w:val="3BFAFA56"/>
    <w:rsid w:val="3C5FBCA3"/>
    <w:rsid w:val="3DB94837"/>
    <w:rsid w:val="3DBE1B7D"/>
    <w:rsid w:val="3EBDFE35"/>
    <w:rsid w:val="3F5FCFED"/>
    <w:rsid w:val="3FAEB7AF"/>
    <w:rsid w:val="3FC2F989"/>
    <w:rsid w:val="46FF2203"/>
    <w:rsid w:val="4E1729FE"/>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5F7A495"/>
    <w:rsid w:val="69797B95"/>
    <w:rsid w:val="6BEC1CB8"/>
    <w:rsid w:val="6D5D6E69"/>
    <w:rsid w:val="6D752ACF"/>
    <w:rsid w:val="6DF93880"/>
    <w:rsid w:val="6DFBC804"/>
    <w:rsid w:val="6E5E5E20"/>
    <w:rsid w:val="6F4F2B15"/>
    <w:rsid w:val="6FDD2A09"/>
    <w:rsid w:val="6FE62900"/>
    <w:rsid w:val="6FF627B3"/>
    <w:rsid w:val="6FFAE9CE"/>
    <w:rsid w:val="6FFDE7DF"/>
    <w:rsid w:val="725935AB"/>
    <w:rsid w:val="72F87037"/>
    <w:rsid w:val="73D7A27B"/>
    <w:rsid w:val="74FDB080"/>
    <w:rsid w:val="76F15554"/>
    <w:rsid w:val="77D6A7F6"/>
    <w:rsid w:val="77FF29C6"/>
    <w:rsid w:val="7867EDF7"/>
    <w:rsid w:val="7B6B834E"/>
    <w:rsid w:val="7BC67D21"/>
    <w:rsid w:val="7BEB0DB8"/>
    <w:rsid w:val="7BF7A949"/>
    <w:rsid w:val="7CE896C4"/>
    <w:rsid w:val="7D5E036C"/>
    <w:rsid w:val="7D6B1087"/>
    <w:rsid w:val="7DF3DACF"/>
    <w:rsid w:val="7DFEF2B8"/>
    <w:rsid w:val="7E38788B"/>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DFF64801"/>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7FE7458"/>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6889</Words>
  <Characters>39268</Characters>
  <Lines>327</Lines>
  <Paragraphs>92</Paragraphs>
  <TotalTime>1</TotalTime>
  <ScaleCrop>false</ScaleCrop>
  <LinksUpToDate>false</LinksUpToDate>
  <CharactersWithSpaces>46065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2020-07-23T09:52:00Z</dcterms:created>
  <dc:creator>兰台</dc:creator>
  <cp:lastModifiedBy>田娜</cp:lastModifiedBy>
  <cp:lastPrinted>2023-11-18T10:03:00Z</cp:lastPrinted>
  <dcterms:modified xsi:type="dcterms:W3CDTF">2026-03-10T07:21:21Z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901B3313AF5B9D992F98DC64F7839BD8</vt:lpwstr>
  </property>
</Properties>
</file>